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322580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59690</wp:posOffset>
            </wp:positionV>
            <wp:extent cx="1644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66040</wp:posOffset>
            </wp:positionV>
            <wp:extent cx="1644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(Mark One)</w:t>
      </w:r>
    </w:p>
    <w:p>
      <w:pPr>
        <w:spacing w:after="0" w:line="36" w:lineRule="exact"/>
        <w:rPr>
          <w:sz w:val="24"/>
          <w:szCs w:val="24"/>
          <w:color w:val="auto"/>
        </w:rPr>
      </w:pPr>
    </w:p>
    <w:p>
      <w:pPr>
        <w:ind w:left="3420" w:hanging="196"/>
        <w:spacing w:after="0"/>
        <w:tabs>
          <w:tab w:leader="none" w:pos="3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jc w:val="center"/>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34" w:lineRule="exact"/>
        <w:rPr>
          <w:sz w:val="24"/>
          <w:szCs w:val="24"/>
          <w:color w:val="auto"/>
        </w:rPr>
      </w:pPr>
    </w:p>
    <w:p>
      <w:pPr>
        <w:ind w:left="3240" w:hanging="197"/>
        <w:spacing w:after="0"/>
        <w:tabs>
          <w:tab w:leader="none" w:pos="3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3"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700" w:type="dxa"/>
            <w:vAlign w:val="bottom"/>
          </w:tcPr>
          <w:p>
            <w:pPr>
              <w:spacing w:after="0"/>
              <w:rPr>
                <w:sz w:val="16"/>
                <w:szCs w:val="16"/>
                <w:color w:val="auto"/>
              </w:rPr>
            </w:pPr>
          </w:p>
        </w:tc>
        <w:tc>
          <w:tcPr>
            <w:tcW w:w="4020" w:type="dxa"/>
            <w:vAlign w:val="bottom"/>
            <w:gridSpan w:val="7"/>
          </w:tcPr>
          <w:p>
            <w:pPr>
              <w:jc w:val="center"/>
              <w:ind w:right="180"/>
              <w:spacing w:after="0"/>
              <w:rPr>
                <w:sz w:val="20"/>
                <w:szCs w:val="20"/>
                <w:color w:val="auto"/>
              </w:rPr>
            </w:pPr>
            <w:r>
              <w:rPr>
                <w:rFonts w:ascii="Arial" w:cs="Arial" w:eastAsia="Arial" w:hAnsi="Arial"/>
                <w:sz w:val="15"/>
                <w:szCs w:val="15"/>
                <w:b w:val="1"/>
                <w:bCs w:val="1"/>
                <w:color w:val="auto"/>
                <w:w w:val="90"/>
              </w:rPr>
              <w:t>For the transition period from ___________ to ___________</w:t>
            </w:r>
          </w:p>
        </w:tc>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0" w:type="dxa"/>
            <w:vAlign w:val="bottom"/>
            <w:gridSpan w:val="6"/>
          </w:tcPr>
          <w:p>
            <w:pPr>
              <w:jc w:val="center"/>
              <w:ind w:right="800"/>
              <w:spacing w:after="0"/>
              <w:rPr>
                <w:sz w:val="20"/>
                <w:szCs w:val="20"/>
                <w:color w:val="auto"/>
              </w:rPr>
            </w:pPr>
            <w:r>
              <w:rPr>
                <w:rFonts w:ascii="Arial" w:cs="Arial" w:eastAsia="Arial" w:hAnsi="Arial"/>
                <w:sz w:val="15"/>
                <w:szCs w:val="15"/>
                <w:b w:val="1"/>
                <w:bCs w:val="1"/>
                <w:color w:val="auto"/>
                <w:w w:val="89"/>
              </w:rPr>
              <w:t>Commission file number 001-33812</w:t>
            </w:r>
          </w:p>
        </w:tc>
        <w:tc>
          <w:tcPr>
            <w:tcW w:w="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3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6"/>
        </w:trPr>
        <w:tc>
          <w:tcPr>
            <w:tcW w:w="3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4"/>
          </w:tcPr>
          <w:p>
            <w:pPr>
              <w:jc w:val="center"/>
              <w:ind w:right="1100"/>
              <w:spacing w:after="0"/>
              <w:rPr>
                <w:sz w:val="20"/>
                <w:szCs w:val="20"/>
                <w:color w:val="auto"/>
              </w:rPr>
            </w:pPr>
            <w:r>
              <w:rPr>
                <w:rFonts w:ascii="Arial" w:cs="Arial" w:eastAsia="Arial" w:hAnsi="Arial"/>
                <w:sz w:val="35"/>
                <w:szCs w:val="35"/>
                <w:b w:val="1"/>
                <w:bCs w:val="1"/>
                <w:color w:val="auto"/>
              </w:rPr>
              <w:t>MSCI INC.</w:t>
            </w:r>
          </w:p>
        </w:tc>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4020" w:type="dxa"/>
            <w:vAlign w:val="bottom"/>
            <w:gridSpan w:val="7"/>
          </w:tcPr>
          <w:p>
            <w:pPr>
              <w:jc w:val="center"/>
              <w:ind w:right="180"/>
              <w:spacing w:after="0"/>
              <w:rPr>
                <w:sz w:val="20"/>
                <w:szCs w:val="20"/>
                <w:color w:val="auto"/>
              </w:rPr>
            </w:pPr>
            <w:r>
              <w:rPr>
                <w:rFonts w:ascii="Arial" w:cs="Arial" w:eastAsia="Arial" w:hAnsi="Arial"/>
                <w:sz w:val="15"/>
                <w:szCs w:val="15"/>
                <w:b w:val="1"/>
                <w:bCs w:val="1"/>
                <w:color w:val="auto"/>
                <w:w w:val="90"/>
              </w:rPr>
              <w:t>(Exact Name of Registrant as Specified in Its Charter)</w:t>
            </w:r>
          </w:p>
        </w:tc>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700" w:type="dxa"/>
            <w:vAlign w:val="bottom"/>
            <w:vMerge w:val="restart"/>
          </w:tcPr>
          <w:p>
            <w:pPr>
              <w:jc w:val="center"/>
              <w:ind w:left="1849"/>
              <w:spacing w:after="0"/>
              <w:rPr>
                <w:sz w:val="20"/>
                <w:szCs w:val="20"/>
                <w:color w:val="auto"/>
              </w:rPr>
            </w:pPr>
            <w:r>
              <w:rPr>
                <w:rFonts w:ascii="Arial" w:cs="Arial" w:eastAsia="Arial" w:hAnsi="Arial"/>
                <w:sz w:val="16"/>
                <w:szCs w:val="16"/>
                <w:b w:val="1"/>
                <w:bCs w:val="1"/>
                <w:color w:val="auto"/>
                <w:w w:val="88"/>
              </w:rPr>
              <w:t>Delaware</w:t>
            </w:r>
          </w:p>
        </w:tc>
        <w:tc>
          <w:tcPr>
            <w:tcW w:w="6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3520" w:type="dxa"/>
            <w:vAlign w:val="bottom"/>
            <w:gridSpan w:val="2"/>
            <w:vMerge w:val="restart"/>
          </w:tcPr>
          <w:p>
            <w:pPr>
              <w:jc w:val="center"/>
              <w:ind w:right="1766"/>
              <w:spacing w:after="0"/>
              <w:rPr>
                <w:sz w:val="20"/>
                <w:szCs w:val="20"/>
                <w:color w:val="auto"/>
              </w:rPr>
            </w:pPr>
            <w:r>
              <w:rPr>
                <w:rFonts w:ascii="Arial" w:cs="Arial" w:eastAsia="Arial" w:hAnsi="Arial"/>
                <w:sz w:val="16"/>
                <w:szCs w:val="16"/>
                <w:b w:val="1"/>
                <w:bCs w:val="1"/>
                <w:color w:val="auto"/>
                <w:w w:val="88"/>
              </w:rPr>
              <w:t>13-4038723</w:t>
            </w:r>
          </w:p>
        </w:tc>
        <w:tc>
          <w:tcPr>
            <w:tcW w:w="0" w:type="dxa"/>
            <w:vAlign w:val="bottom"/>
          </w:tcPr>
          <w:p>
            <w:pPr>
              <w:spacing w:after="0"/>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700" w:type="dxa"/>
            <w:vAlign w:val="bottom"/>
          </w:tcPr>
          <w:p>
            <w:pPr>
              <w:jc w:val="center"/>
              <w:ind w:left="1849"/>
              <w:spacing w:after="0" w:line="132" w:lineRule="exact"/>
              <w:rPr>
                <w:sz w:val="20"/>
                <w:szCs w:val="20"/>
                <w:color w:val="auto"/>
              </w:rPr>
            </w:pPr>
            <w:r>
              <w:rPr>
                <w:rFonts w:ascii="Arial" w:cs="Arial" w:eastAsia="Arial" w:hAnsi="Arial"/>
                <w:sz w:val="12"/>
                <w:szCs w:val="12"/>
                <w:b w:val="1"/>
                <w:bCs w:val="1"/>
                <w:color w:val="auto"/>
                <w:w w:val="92"/>
              </w:rPr>
              <w:t>(State or Other Jurisdiction of</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520" w:type="dxa"/>
            <w:vAlign w:val="bottom"/>
            <w:gridSpan w:val="2"/>
          </w:tcPr>
          <w:p>
            <w:pPr>
              <w:jc w:val="center"/>
              <w:ind w:right="1766"/>
              <w:spacing w:after="0" w:line="132"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9"/>
        </w:trPr>
        <w:tc>
          <w:tcPr>
            <w:tcW w:w="3700" w:type="dxa"/>
            <w:vAlign w:val="bottom"/>
          </w:tcPr>
          <w:p>
            <w:pPr>
              <w:jc w:val="center"/>
              <w:ind w:left="1849"/>
              <w:spacing w:after="0"/>
              <w:rPr>
                <w:sz w:val="20"/>
                <w:szCs w:val="20"/>
                <w:color w:val="auto"/>
              </w:rPr>
            </w:pPr>
            <w:r>
              <w:rPr>
                <w:rFonts w:ascii="Arial" w:cs="Arial" w:eastAsia="Arial" w:hAnsi="Arial"/>
                <w:sz w:val="12"/>
                <w:szCs w:val="12"/>
                <w:b w:val="1"/>
                <w:bCs w:val="1"/>
                <w:color w:val="auto"/>
                <w:w w:val="95"/>
              </w:rPr>
              <w:t>Incorporation or Organization)</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20" w:type="dxa"/>
            <w:vAlign w:val="bottom"/>
            <w:gridSpan w:val="2"/>
          </w:tcPr>
          <w:p>
            <w:pPr>
              <w:jc w:val="center"/>
              <w:ind w:right="1786"/>
              <w:spacing w:after="0"/>
              <w:rPr>
                <w:sz w:val="20"/>
                <w:szCs w:val="20"/>
                <w:color w:val="auto"/>
              </w:rPr>
            </w:pPr>
            <w:r>
              <w:rPr>
                <w:rFonts w:ascii="Arial" w:cs="Arial" w:eastAsia="Arial" w:hAnsi="Arial"/>
                <w:sz w:val="12"/>
                <w:szCs w:val="12"/>
                <w:b w:val="1"/>
                <w:bCs w:val="1"/>
                <w:color w:val="auto"/>
                <w:w w:val="95"/>
              </w:rPr>
              <w:t>Identification Number)</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4"/>
          </w:tcPr>
          <w:p>
            <w:pPr>
              <w:jc w:val="center"/>
              <w:ind w:right="1120"/>
              <w:spacing w:after="0"/>
              <w:rPr>
                <w:sz w:val="20"/>
                <w:szCs w:val="20"/>
                <w:color w:val="auto"/>
              </w:rPr>
            </w:pPr>
            <w:r>
              <w:rPr>
                <w:rFonts w:ascii="Arial" w:cs="Arial" w:eastAsia="Arial" w:hAnsi="Arial"/>
                <w:sz w:val="15"/>
                <w:szCs w:val="15"/>
                <w:b w:val="1"/>
                <w:bCs w:val="1"/>
                <w:color w:val="auto"/>
                <w:w w:val="92"/>
              </w:rPr>
              <w:t>7 World Trade Center</w:t>
            </w:r>
          </w:p>
        </w:tc>
        <w:tc>
          <w:tcPr>
            <w:tcW w:w="7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5"/>
          </w:tcPr>
          <w:p>
            <w:pPr>
              <w:jc w:val="center"/>
              <w:ind w:right="980"/>
              <w:spacing w:after="0" w:line="158" w:lineRule="exact"/>
              <w:rPr>
                <w:sz w:val="20"/>
                <w:szCs w:val="20"/>
                <w:color w:val="auto"/>
              </w:rPr>
            </w:pPr>
            <w:r>
              <w:rPr>
                <w:rFonts w:ascii="Arial" w:cs="Arial" w:eastAsia="Arial" w:hAnsi="Arial"/>
                <w:sz w:val="15"/>
                <w:szCs w:val="15"/>
                <w:b w:val="1"/>
                <w:bCs w:val="1"/>
                <w:color w:val="auto"/>
                <w:w w:val="89"/>
              </w:rPr>
              <w:t>250 Greenwich Street, 49th Floor</w:t>
            </w:r>
          </w:p>
        </w:tc>
        <w:tc>
          <w:tcPr>
            <w:tcW w:w="7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4"/>
          </w:tcPr>
          <w:p>
            <w:pPr>
              <w:jc w:val="center"/>
              <w:ind w:right="1120"/>
              <w:spacing w:after="0" w:line="158" w:lineRule="exact"/>
              <w:rPr>
                <w:sz w:val="20"/>
                <w:szCs w:val="20"/>
                <w:color w:val="auto"/>
              </w:rPr>
            </w:pPr>
            <w:r>
              <w:rPr>
                <w:rFonts w:ascii="Arial" w:cs="Arial" w:eastAsia="Arial" w:hAnsi="Arial"/>
                <w:sz w:val="15"/>
                <w:szCs w:val="15"/>
                <w:b w:val="1"/>
                <w:bCs w:val="1"/>
                <w:color w:val="auto"/>
                <w:w w:val="92"/>
              </w:rPr>
              <w:t>New York, New York 10007</w:t>
            </w:r>
          </w:p>
        </w:tc>
        <w:tc>
          <w:tcPr>
            <w:tcW w:w="7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4020" w:type="dxa"/>
            <w:vAlign w:val="bottom"/>
            <w:gridSpan w:val="7"/>
          </w:tcPr>
          <w:p>
            <w:pPr>
              <w:jc w:val="center"/>
              <w:ind w:right="160"/>
              <w:spacing w:after="0"/>
              <w:rPr>
                <w:sz w:val="20"/>
                <w:szCs w:val="20"/>
                <w:color w:val="auto"/>
              </w:rPr>
            </w:pPr>
            <w:r>
              <w:rPr>
                <w:rFonts w:ascii="Arial" w:cs="Arial" w:eastAsia="Arial" w:hAnsi="Arial"/>
                <w:sz w:val="15"/>
                <w:szCs w:val="15"/>
                <w:b w:val="1"/>
                <w:bCs w:val="1"/>
                <w:color w:val="auto"/>
                <w:w w:val="88"/>
              </w:rPr>
              <w:t>(Address of Principal Executive Offices, zip code)</w:t>
            </w:r>
          </w:p>
        </w:tc>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960" w:type="dxa"/>
            <w:vAlign w:val="bottom"/>
            <w:gridSpan w:val="4"/>
          </w:tcPr>
          <w:p>
            <w:pPr>
              <w:jc w:val="center"/>
              <w:ind w:left="806"/>
              <w:spacing w:after="0"/>
              <w:rPr>
                <w:sz w:val="20"/>
                <w:szCs w:val="20"/>
                <w:color w:val="auto"/>
              </w:rPr>
            </w:pPr>
            <w:r>
              <w:rPr>
                <w:rFonts w:ascii="Arial" w:cs="Arial" w:eastAsia="Arial" w:hAnsi="Arial"/>
                <w:sz w:val="15"/>
                <w:szCs w:val="15"/>
                <w:b w:val="1"/>
                <w:bCs w:val="1"/>
                <w:color w:val="auto"/>
                <w:w w:val="89"/>
              </w:rPr>
              <w:t>(212) 804-3900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4020" w:type="dxa"/>
            <w:vAlign w:val="bottom"/>
            <w:gridSpan w:val="7"/>
          </w:tcPr>
          <w:p>
            <w:pPr>
              <w:jc w:val="center"/>
              <w:ind w:right="180"/>
              <w:spacing w:after="0"/>
              <w:rPr>
                <w:sz w:val="20"/>
                <w:szCs w:val="20"/>
                <w:color w:val="auto"/>
              </w:rPr>
            </w:pPr>
            <w:r>
              <w:rPr>
                <w:rFonts w:ascii="Arial" w:cs="Arial" w:eastAsia="Arial" w:hAnsi="Arial"/>
                <w:sz w:val="15"/>
                <w:szCs w:val="15"/>
                <w:b w:val="1"/>
                <w:bCs w:val="1"/>
                <w:color w:val="auto"/>
                <w:w w:val="88"/>
              </w:rPr>
              <w:t>(Registrant’s telephone number, including area code)</w:t>
            </w:r>
          </w:p>
        </w:tc>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4020" w:type="dxa"/>
            <w:vAlign w:val="bottom"/>
            <w:gridSpan w:val="7"/>
          </w:tcPr>
          <w:p>
            <w:pPr>
              <w:jc w:val="center"/>
              <w:ind w:right="180"/>
              <w:spacing w:after="0"/>
              <w:rPr>
                <w:sz w:val="20"/>
                <w:szCs w:val="20"/>
                <w:color w:val="auto"/>
              </w:rPr>
            </w:pPr>
            <w:r>
              <w:rPr>
                <w:rFonts w:ascii="Arial" w:cs="Arial" w:eastAsia="Arial" w:hAnsi="Arial"/>
                <w:sz w:val="15"/>
                <w:szCs w:val="15"/>
                <w:b w:val="1"/>
                <w:bCs w:val="1"/>
                <w:color w:val="auto"/>
                <w:w w:val="88"/>
              </w:rPr>
              <w:t>Securities registered pursuant to Section 12(b) of the Act:</w:t>
            </w:r>
          </w:p>
        </w:tc>
        <w:tc>
          <w:tcPr>
            <w:tcW w:w="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700" w:type="dxa"/>
            <w:vAlign w:val="bottom"/>
            <w:tcBorders>
              <w:bottom w:val="single" w:sz="8" w:color="auto"/>
            </w:tcBorders>
          </w:tcPr>
          <w:p>
            <w:pPr>
              <w:jc w:val="center"/>
              <w:ind w:left="749"/>
              <w:spacing w:after="0"/>
              <w:rPr>
                <w:sz w:val="20"/>
                <w:szCs w:val="20"/>
                <w:color w:val="auto"/>
              </w:rPr>
            </w:pPr>
            <w:r>
              <w:rPr>
                <w:rFonts w:ascii="Arial" w:cs="Arial" w:eastAsia="Arial" w:hAnsi="Arial"/>
                <w:sz w:val="12"/>
                <w:szCs w:val="12"/>
                <w:b w:val="1"/>
                <w:bCs w:val="1"/>
                <w:color w:val="auto"/>
                <w:w w:val="88"/>
              </w:rPr>
              <w:t>Title of each class</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120" w:type="dxa"/>
            <w:vAlign w:val="bottom"/>
          </w:tcPr>
          <w:p>
            <w:pPr>
              <w:spacing w:after="0"/>
              <w:rPr>
                <w:sz w:val="15"/>
                <w:szCs w:val="15"/>
                <w:color w:val="auto"/>
              </w:rPr>
            </w:pPr>
          </w:p>
        </w:tc>
        <w:tc>
          <w:tcPr>
            <w:tcW w:w="940" w:type="dxa"/>
            <w:vAlign w:val="bottom"/>
            <w:tcBorders>
              <w:bottom w:val="single" w:sz="8" w:color="auto"/>
            </w:tcBorders>
            <w:gridSpan w:val="2"/>
          </w:tcPr>
          <w:p>
            <w:pPr>
              <w:spacing w:after="0"/>
              <w:rPr>
                <w:sz w:val="15"/>
                <w:szCs w:val="15"/>
                <w:color w:val="auto"/>
              </w:rPr>
            </w:pPr>
          </w:p>
        </w:tc>
        <w:tc>
          <w:tcPr>
            <w:tcW w:w="35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3700" w:type="dxa"/>
            <w:vAlign w:val="bottom"/>
          </w:tcPr>
          <w:p>
            <w:pPr>
              <w:jc w:val="center"/>
              <w:ind w:left="749"/>
              <w:spacing w:after="0"/>
              <w:rPr>
                <w:sz w:val="20"/>
                <w:szCs w:val="20"/>
                <w:color w:val="auto"/>
              </w:rPr>
            </w:pPr>
            <w:r>
              <w:rPr>
                <w:rFonts w:ascii="Arial" w:cs="Arial" w:eastAsia="Arial" w:hAnsi="Arial"/>
                <w:sz w:val="16"/>
                <w:szCs w:val="16"/>
                <w:b w:val="1"/>
                <w:bCs w:val="1"/>
                <w:color w:val="auto"/>
                <w:w w:val="88"/>
              </w:rPr>
              <w:t>Common stock, par value $0.01 per share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4"/>
          </w:tcPr>
          <w:p>
            <w:pPr>
              <w:jc w:val="center"/>
              <w:ind w:right="1060"/>
              <w:spacing w:after="0"/>
              <w:rPr>
                <w:sz w:val="20"/>
                <w:szCs w:val="20"/>
                <w:color w:val="auto"/>
              </w:rPr>
            </w:pPr>
            <w:r>
              <w:rPr>
                <w:rFonts w:ascii="Arial" w:cs="Arial" w:eastAsia="Arial" w:hAnsi="Arial"/>
                <w:sz w:val="16"/>
                <w:szCs w:val="16"/>
                <w:b w:val="1"/>
                <w:bCs w:val="1"/>
                <w:color w:val="auto"/>
              </w:rPr>
              <w:t>MSCI</w:t>
            </w:r>
          </w:p>
        </w:tc>
        <w:tc>
          <w:tcPr>
            <w:tcW w:w="3520" w:type="dxa"/>
            <w:vAlign w:val="bottom"/>
            <w:gridSpan w:val="2"/>
          </w:tcPr>
          <w:p>
            <w:pPr>
              <w:ind w:left="400"/>
              <w:spacing w:after="0"/>
              <w:rPr>
                <w:sz w:val="20"/>
                <w:szCs w:val="20"/>
                <w:color w:val="auto"/>
              </w:rPr>
            </w:pPr>
            <w:r>
              <w:rPr>
                <w:rFonts w:ascii="Arial" w:cs="Arial" w:eastAsia="Arial" w:hAnsi="Arial"/>
                <w:sz w:val="16"/>
                <w:szCs w:val="16"/>
                <w:b w:val="1"/>
                <w:bCs w:val="1"/>
                <w:color w:val="auto"/>
              </w:rPr>
              <w:t>New York Stock Exchange</w:t>
            </w:r>
          </w:p>
        </w:tc>
        <w:tc>
          <w:tcPr>
            <w:tcW w:w="0" w:type="dxa"/>
            <w:vAlign w:val="bottom"/>
          </w:tcPr>
          <w:p>
            <w:pPr>
              <w:spacing w:after="0"/>
              <w:rPr>
                <w:sz w:val="1"/>
                <w:szCs w:val="1"/>
                <w:color w:val="auto"/>
              </w:rPr>
            </w:pPr>
          </w:p>
        </w:tc>
      </w:tr>
      <w:tr>
        <w:trPr>
          <w:trHeight w:val="261"/>
        </w:trPr>
        <w:tc>
          <w:tcPr>
            <w:tcW w:w="7720" w:type="dxa"/>
            <w:vAlign w:val="bottom"/>
            <w:gridSpan w:val="8"/>
          </w:tcPr>
          <w:p>
            <w:pPr>
              <w:jc w:val="center"/>
              <w:ind w:left="3449"/>
              <w:spacing w:after="0"/>
              <w:rPr>
                <w:sz w:val="20"/>
                <w:szCs w:val="20"/>
                <w:color w:val="auto"/>
              </w:rPr>
            </w:pPr>
            <w:r>
              <w:rPr>
                <w:rFonts w:ascii="Arial" w:cs="Arial" w:eastAsia="Arial" w:hAnsi="Arial"/>
                <w:sz w:val="15"/>
                <w:szCs w:val="15"/>
                <w:b w:val="1"/>
                <w:bCs w:val="1"/>
                <w:color w:val="auto"/>
                <w:w w:val="88"/>
              </w:rPr>
              <w:t>Securities registered pursuant to Section 12(g) of the Act: None</w:t>
            </w:r>
          </w:p>
        </w:tc>
        <w:tc>
          <w:tcPr>
            <w:tcW w:w="7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320" w:type="dxa"/>
            <w:vAlign w:val="bottom"/>
            <w:gridSpan w:val="2"/>
          </w:tcPr>
          <w:p>
            <w:pPr>
              <w:spacing w:after="0"/>
              <w:rPr>
                <w:sz w:val="5"/>
                <w:szCs w:val="5"/>
                <w:color w:val="auto"/>
              </w:rPr>
            </w:pPr>
          </w:p>
        </w:tc>
        <w:tc>
          <w:tcPr>
            <w:tcW w:w="2600" w:type="dxa"/>
            <w:vAlign w:val="bottom"/>
            <w:tcBorders>
              <w:bottom w:val="single" w:sz="8" w:color="auto"/>
            </w:tcBorders>
            <w:gridSpan w:val="5"/>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vMerge w:val="restart"/>
          </w:tcPr>
          <w:p>
            <w:pPr>
              <w:ind w:left="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820" w:type="dxa"/>
            <w:vAlign w:val="bottom"/>
            <w:vMerge w:val="restart"/>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0"/>
        </w:trPr>
        <w:tc>
          <w:tcPr>
            <w:tcW w:w="7720" w:type="dxa"/>
            <w:vAlign w:val="bottom"/>
            <w:gridSpan w:val="8"/>
          </w:tcPr>
          <w:p>
            <w:pPr>
              <w:ind w:left="600"/>
              <w:spacing w:after="0"/>
              <w:rPr>
                <w:sz w:val="20"/>
                <w:szCs w:val="20"/>
                <w:color w:val="auto"/>
              </w:rPr>
            </w:pPr>
            <w:r>
              <w:rPr>
                <w:rFonts w:ascii="Arial" w:cs="Arial" w:eastAsia="Arial" w:hAnsi="Arial"/>
                <w:sz w:val="15"/>
                <w:szCs w:val="15"/>
                <w:color w:val="auto"/>
                <w:w w:val="91"/>
              </w:rPr>
              <w:t>Indicate by check mark if the registrant is a well-known seasoned issuer, as defined in Rule 405 of the Securities Act.</w:t>
            </w:r>
          </w:p>
        </w:tc>
        <w:tc>
          <w:tcPr>
            <w:tcW w:w="700" w:type="dxa"/>
            <w:vAlign w:val="bottom"/>
            <w:vMerge w:val="continue"/>
          </w:tcPr>
          <w:p>
            <w:pPr>
              <w:spacing w:after="0"/>
              <w:rPr>
                <w:sz w:val="21"/>
                <w:szCs w:val="21"/>
                <w:color w:val="auto"/>
              </w:rPr>
            </w:pPr>
          </w:p>
        </w:tc>
        <w:tc>
          <w:tcPr>
            <w:tcW w:w="2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gridSpan w:val="8"/>
          </w:tcPr>
          <w:p>
            <w:pPr>
              <w:ind w:left="600"/>
              <w:spacing w:after="0"/>
              <w:rPr>
                <w:sz w:val="20"/>
                <w:szCs w:val="20"/>
                <w:color w:val="auto"/>
              </w:rPr>
            </w:pPr>
            <w:r>
              <w:rPr>
                <w:rFonts w:ascii="Arial" w:cs="Arial" w:eastAsia="Arial" w:hAnsi="Arial"/>
                <w:sz w:val="15"/>
                <w:szCs w:val="15"/>
                <w:color w:val="auto"/>
                <w:w w:val="90"/>
              </w:rPr>
              <w:t>Indicate by check mark if the registrant is not required to file reports pursuant to Section 13 or Section 15(d) of the Act.</w:t>
            </w:r>
          </w:p>
        </w:tc>
        <w:tc>
          <w:tcPr>
            <w:tcW w:w="70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820" w:type="dxa"/>
            <w:vAlign w:val="bottom"/>
          </w:tcPr>
          <w:p>
            <w:pPr>
              <w:ind w:left="16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40" w:firstLine="589"/>
        <w:spacing w:after="0" w:line="18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right="60" w:firstLine="589"/>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560" w:firstLine="589"/>
        <w:spacing w:after="0" w:line="29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9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96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4" w:lineRule="exact"/>
        <w:rPr>
          <w:sz w:val="24"/>
          <w:szCs w:val="24"/>
          <w:color w:val="auto"/>
        </w:rPr>
      </w:pPr>
    </w:p>
    <w:p>
      <w:pPr>
        <w:ind w:right="300" w:firstLine="589"/>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9" w:lineRule="exact"/>
        <w:rPr>
          <w:sz w:val="24"/>
          <w:szCs w:val="24"/>
          <w:color w:val="auto"/>
        </w:rPr>
      </w:pPr>
    </w:p>
    <w:p>
      <w:pPr>
        <w:ind w:right="520" w:firstLine="589"/>
        <w:spacing w:after="0" w:line="18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left="600"/>
        <w:spacing w:after="0" w:line="173" w:lineRule="exact"/>
        <w:tabs>
          <w:tab w:leader="none" w:pos="6900" w:val="left"/>
          <w:tab w:leader="none" w:pos="76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jc w:val="both"/>
        <w:ind w:right="120" w:firstLine="589"/>
        <w:spacing w:after="0" w:line="230" w:lineRule="auto"/>
        <w:rPr>
          <w:sz w:val="20"/>
          <w:szCs w:val="20"/>
          <w:color w:val="auto"/>
        </w:rPr>
      </w:pPr>
      <w:r>
        <w:rPr>
          <w:rFonts w:ascii="Arial" w:cs="Arial" w:eastAsia="Arial" w:hAnsi="Arial"/>
          <w:sz w:val="15"/>
          <w:szCs w:val="15"/>
          <w:color w:val="auto"/>
        </w:rPr>
        <w:t>The aggregate market value of Common Stock held by non-affiliates of the registrant as of the last business day of the registrant’s most recently completed second fiscal quarter (based on the closing price of these securities as reported by The New York Stock Exchange on June 30, 2021) was $43,427,568,686. Shares of Common Stock held by executive officers and directors of the registrant are not included in the computation. However, the registrant has made no determination that such individuals are “affiliates” within the meaning of Rule 405 under the Securities Act of 1933.</w:t>
      </w:r>
    </w:p>
    <w:p>
      <w:pPr>
        <w:spacing w:after="0" w:line="22" w:lineRule="exact"/>
        <w:rPr>
          <w:sz w:val="24"/>
          <w:szCs w:val="24"/>
          <w:color w:val="auto"/>
        </w:rPr>
      </w:pPr>
    </w:p>
    <w:p>
      <w:pPr>
        <w:ind w:left="600"/>
        <w:spacing w:after="0"/>
        <w:rPr>
          <w:sz w:val="20"/>
          <w:szCs w:val="20"/>
          <w:color w:val="auto"/>
        </w:rPr>
      </w:pPr>
      <w:r>
        <w:rPr>
          <w:rFonts w:ascii="Arial" w:cs="Arial" w:eastAsia="Arial" w:hAnsi="Arial"/>
          <w:sz w:val="15"/>
          <w:szCs w:val="15"/>
          <w:color w:val="auto"/>
        </w:rPr>
        <w:t>As of February 4, 2022, there were 81,268,195 shares of the registrant’s Common Stock, par value $0.01 per share, outstanding.</w:t>
      </w:r>
    </w:p>
    <w:p>
      <w:pPr>
        <w:spacing w:after="0" w:line="38" w:lineRule="exact"/>
        <w:rPr>
          <w:sz w:val="24"/>
          <w:szCs w:val="24"/>
          <w:color w:val="auto"/>
        </w:rPr>
      </w:pPr>
    </w:p>
    <w:p>
      <w:pPr>
        <w:ind w:right="60" w:firstLine="589"/>
        <w:spacing w:after="0" w:line="242" w:lineRule="auto"/>
        <w:rPr>
          <w:sz w:val="20"/>
          <w:szCs w:val="20"/>
          <w:color w:val="auto"/>
        </w:rPr>
      </w:pPr>
      <w:r>
        <w:rPr>
          <w:rFonts w:ascii="Arial" w:cs="Arial" w:eastAsia="Arial" w:hAnsi="Arial"/>
          <w:sz w:val="15"/>
          <w:szCs w:val="15"/>
          <w:color w:val="auto"/>
        </w:rPr>
        <w:t>Documents incorporated by reference: Portions of the registrant’s proxy statement for its annual meeting of stockholders, to be held on April 26, 2022, are incorporated herein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426085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80" w:type="dxa"/>
            <w:vAlign w:val="bottom"/>
            <w:gridSpan w:val="13"/>
          </w:tcPr>
          <w:p>
            <w:pPr>
              <w:jc w:val="center"/>
              <w:ind w:right="3840"/>
              <w:spacing w:after="0"/>
              <w:rPr>
                <w:sz w:val="20"/>
                <w:szCs w:val="20"/>
                <w:color w:val="auto"/>
              </w:rPr>
            </w:pPr>
            <w:r>
              <w:rPr>
                <w:rFonts w:ascii="Arial" w:cs="Arial" w:eastAsia="Arial" w:hAnsi="Arial"/>
                <w:sz w:val="18"/>
                <w:szCs w:val="18"/>
                <w:b w:val="1"/>
                <w:bCs w:val="1"/>
                <w:color w:val="auto"/>
                <w:w w:val="99"/>
              </w:rPr>
              <w:t>MSCI INC.</w:t>
            </w:r>
          </w:p>
        </w:tc>
        <w:tc>
          <w:tcPr>
            <w:tcW w:w="1200" w:type="dxa"/>
            <w:vAlign w:val="bottom"/>
          </w:tcPr>
          <w:p>
            <w:pPr>
              <w:spacing w:after="0"/>
              <w:rPr>
                <w:sz w:val="19"/>
                <w:szCs w:val="19"/>
                <w:color w:val="auto"/>
              </w:rPr>
            </w:pPr>
          </w:p>
        </w:tc>
      </w:tr>
      <w:tr>
        <w:trPr>
          <w:trHeight w:val="421"/>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3"/>
          </w:tcPr>
          <w:p>
            <w:pPr>
              <w:jc w:val="center"/>
              <w:ind w:right="3860"/>
              <w:spacing w:after="0"/>
              <w:rPr>
                <w:sz w:val="20"/>
                <w:szCs w:val="20"/>
                <w:color w:val="auto"/>
              </w:rPr>
            </w:pPr>
            <w:r>
              <w:rPr>
                <w:rFonts w:ascii="Arial" w:cs="Arial" w:eastAsia="Arial" w:hAnsi="Arial"/>
                <w:sz w:val="18"/>
                <w:szCs w:val="18"/>
                <w:b w:val="1"/>
                <w:bCs w:val="1"/>
                <w:color w:val="auto"/>
                <w:w w:val="98"/>
              </w:rPr>
              <w:t>FORM 10-K</w:t>
            </w:r>
          </w:p>
        </w:tc>
        <w:tc>
          <w:tcPr>
            <w:tcW w:w="1200" w:type="dxa"/>
            <w:vAlign w:val="bottom"/>
          </w:tcPr>
          <w:p>
            <w:pPr>
              <w:spacing w:after="0"/>
              <w:rPr>
                <w:sz w:val="24"/>
                <w:szCs w:val="24"/>
                <w:color w:val="auto"/>
              </w:rPr>
            </w:pPr>
          </w:p>
        </w:tc>
      </w:tr>
      <w:tr>
        <w:trPr>
          <w:trHeight w:val="421"/>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0" w:type="dxa"/>
            <w:vAlign w:val="bottom"/>
            <w:gridSpan w:val="19"/>
          </w:tcPr>
          <w:p>
            <w:pPr>
              <w:jc w:val="center"/>
              <w:ind w:right="2020"/>
              <w:spacing w:after="0"/>
              <w:rPr>
                <w:sz w:val="20"/>
                <w:szCs w:val="20"/>
                <w:color w:val="auto"/>
              </w:rPr>
            </w:pPr>
            <w:r>
              <w:rPr>
                <w:rFonts w:ascii="Arial" w:cs="Arial" w:eastAsia="Arial" w:hAnsi="Arial"/>
                <w:sz w:val="18"/>
                <w:szCs w:val="18"/>
                <w:b w:val="1"/>
                <w:bCs w:val="1"/>
                <w:color w:val="auto"/>
                <w:w w:val="96"/>
              </w:rPr>
              <w:t>FOR THE YEAR ENDED DECEMBER 31, 2021</w:t>
            </w:r>
          </w:p>
        </w:tc>
        <w:tc>
          <w:tcPr>
            <w:tcW w:w="1200" w:type="dxa"/>
            <w:vAlign w:val="bottom"/>
          </w:tcPr>
          <w:p>
            <w:pPr>
              <w:spacing w:after="0"/>
              <w:rPr>
                <w:sz w:val="24"/>
                <w:szCs w:val="24"/>
                <w:color w:val="auto"/>
              </w:rPr>
            </w:pPr>
          </w:p>
        </w:tc>
      </w:tr>
      <w:tr>
        <w:trPr>
          <w:trHeight w:val="421"/>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gridSpan w:val="16"/>
          </w:tcPr>
          <w:p>
            <w:pPr>
              <w:jc w:val="center"/>
              <w:ind w:right="3300"/>
              <w:spacing w:after="0"/>
              <w:rPr>
                <w:sz w:val="20"/>
                <w:szCs w:val="20"/>
                <w:color w:val="auto"/>
              </w:rPr>
            </w:pPr>
            <w:r>
              <w:rPr>
                <w:rFonts w:ascii="Arial" w:cs="Arial" w:eastAsia="Arial" w:hAnsi="Arial"/>
                <w:sz w:val="18"/>
                <w:szCs w:val="18"/>
                <w:b w:val="1"/>
                <w:bCs w:val="1"/>
                <w:color w:val="auto"/>
                <w:w w:val="96"/>
              </w:rPr>
              <w:t>TABLE OF CONTENTS</w:t>
            </w:r>
          </w:p>
        </w:tc>
        <w:tc>
          <w:tcPr>
            <w:tcW w:w="1200" w:type="dxa"/>
            <w:vAlign w:val="bottom"/>
          </w:tcPr>
          <w:p>
            <w:pPr>
              <w:spacing w:after="0"/>
              <w:rPr>
                <w:sz w:val="24"/>
                <w:szCs w:val="24"/>
                <w:color w:val="auto"/>
              </w:rPr>
            </w:pPr>
          </w:p>
        </w:tc>
      </w:tr>
      <w:tr>
        <w:trPr>
          <w:trHeight w:val="382"/>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0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0"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8160" w:type="dxa"/>
            <w:vAlign w:val="bottom"/>
            <w:gridSpan w:val="28"/>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0"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7900" w:type="dxa"/>
            <w:vAlign w:val="bottom"/>
            <w:gridSpan w:val="26"/>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16</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1B.</w:t>
            </w:r>
          </w:p>
        </w:tc>
        <w:tc>
          <w:tcPr>
            <w:tcW w:w="8780" w:type="dxa"/>
            <w:vAlign w:val="bottom"/>
            <w:gridSpan w:val="29"/>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6800" w:type="dxa"/>
            <w:vAlign w:val="bottom"/>
            <w:gridSpan w:val="19"/>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20"/>
        </w:trPr>
        <w:tc>
          <w:tcPr>
            <w:tcW w:w="1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0"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7480" w:type="dxa"/>
            <w:vAlign w:val="bottom"/>
            <w:gridSpan w:val="24"/>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4.</w:t>
            </w:r>
          </w:p>
        </w:tc>
        <w:tc>
          <w:tcPr>
            <w:tcW w:w="8780" w:type="dxa"/>
            <w:vAlign w:val="bottom"/>
            <w:gridSpan w:val="29"/>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309"/>
        </w:trPr>
        <w:tc>
          <w:tcPr>
            <w:tcW w:w="1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4"/>
          </w:tcPr>
          <w:p>
            <w:pPr>
              <w:jc w:val="center"/>
              <w:ind w:right="4380"/>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PART II</w:t>
              </w:r>
            </w:hyperlink>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7860" w:type="dxa"/>
            <w:vAlign w:val="bottom"/>
            <w:tcBorders>
              <w:bottom w:val="single" w:sz="8" w:color="0000EE"/>
            </w:tcBorders>
            <w:gridSpan w:val="28"/>
          </w:tcPr>
          <w:p>
            <w:pPr>
              <w:spacing w:after="0" w:line="190"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Market for Registrant’s Common Equity, Related Stockholder Matters and Issuer Purchases of Equity Securities</w:t>
              </w:r>
            </w:hyperlink>
          </w:p>
        </w:tc>
        <w:tc>
          <w:tcPr>
            <w:tcW w:w="920" w:type="dxa"/>
            <w:vAlign w:val="bottom"/>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6.</w:t>
            </w:r>
          </w:p>
        </w:tc>
        <w:tc>
          <w:tcPr>
            <w:tcW w:w="1660" w:type="dxa"/>
            <w:vAlign w:val="bottom"/>
            <w:tcBorders>
              <w:bottom w:val="single" w:sz="8" w:color="0000EE"/>
            </w:tcBorders>
            <w:gridSpan w:val="7"/>
          </w:tcPr>
          <w:p>
            <w:pPr>
              <w:spacing w:after="0" w:line="190" w:lineRule="exact"/>
              <w:rPr>
                <w:rFonts w:ascii="Arial" w:cs="Arial" w:eastAsia="Arial" w:hAnsi="Arial"/>
                <w:sz w:val="18"/>
                <w:szCs w:val="18"/>
                <w:color w:val="0000EE"/>
                <w:w w:val="86"/>
              </w:rPr>
            </w:pPr>
            <w:hyperlink w:anchor="page37">
              <w:r>
                <w:rPr>
                  <w:rFonts w:ascii="Arial" w:cs="Arial" w:eastAsia="Arial" w:hAnsi="Arial"/>
                  <w:sz w:val="18"/>
                  <w:szCs w:val="18"/>
                  <w:color w:val="0000EE"/>
                  <w:w w:val="86"/>
                </w:rPr>
                <w:t>Selected Financial Data</w:t>
              </w:r>
            </w:hyperlink>
          </w:p>
        </w:tc>
        <w:tc>
          <w:tcPr>
            <w:tcW w:w="7120" w:type="dxa"/>
            <w:vAlign w:val="bottom"/>
            <w:gridSpan w:val="22"/>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7.</w:t>
            </w:r>
          </w:p>
        </w:tc>
        <w:tc>
          <w:tcPr>
            <w:tcW w:w="6280" w:type="dxa"/>
            <w:vAlign w:val="bottom"/>
            <w:tcBorders>
              <w:bottom w:val="single" w:sz="8" w:color="0000EE"/>
            </w:tcBorders>
            <w:gridSpan w:val="25"/>
          </w:tcPr>
          <w:p>
            <w:pPr>
              <w:spacing w:after="0" w:line="190"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2500" w:type="dxa"/>
            <w:vAlign w:val="bottom"/>
            <w:gridSpan w:val="4"/>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36</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7A.</w:t>
            </w:r>
          </w:p>
        </w:tc>
        <w:tc>
          <w:tcPr>
            <w:tcW w:w="424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Quantitative and Qualitative Disclosures About Market Risk</w:t>
              </w:r>
            </w:hyperlink>
          </w:p>
        </w:tc>
        <w:tc>
          <w:tcPr>
            <w:tcW w:w="4540" w:type="dxa"/>
            <w:vAlign w:val="bottom"/>
            <w:gridSpan w:val="11"/>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60</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8.</w:t>
            </w:r>
          </w:p>
        </w:tc>
        <w:tc>
          <w:tcPr>
            <w:tcW w:w="3240" w:type="dxa"/>
            <w:vAlign w:val="bottom"/>
            <w:tcBorders>
              <w:bottom w:val="single" w:sz="8" w:color="0000EE"/>
            </w:tcBorders>
            <w:gridSpan w:val="13"/>
          </w:tcPr>
          <w:p>
            <w:pPr>
              <w:spacing w:after="0" w:line="190"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Financial Statements and Supplementary Data</w:t>
              </w:r>
            </w:hyperlink>
          </w:p>
        </w:tc>
        <w:tc>
          <w:tcPr>
            <w:tcW w:w="5540" w:type="dxa"/>
            <w:vAlign w:val="bottom"/>
            <w:gridSpan w:val="16"/>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62</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9.</w:t>
            </w:r>
          </w:p>
        </w:tc>
        <w:tc>
          <w:tcPr>
            <w:tcW w:w="6340" w:type="dxa"/>
            <w:vAlign w:val="bottom"/>
            <w:tcBorders>
              <w:bottom w:val="single" w:sz="8" w:color="0000EE"/>
            </w:tcBorders>
            <w:gridSpan w:val="26"/>
          </w:tcPr>
          <w:p>
            <w:pPr>
              <w:spacing w:after="0" w:line="190"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Changes in and Disagreements With Accountants on Accounting and Financial Disclosure</w:t>
              </w:r>
            </w:hyperlink>
          </w:p>
        </w:tc>
        <w:tc>
          <w:tcPr>
            <w:tcW w:w="2440" w:type="dxa"/>
            <w:vAlign w:val="bottom"/>
            <w:gridSpan w:val="3"/>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97</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8"/>
          </w:tcPr>
          <w:p>
            <w:pPr>
              <w:spacing w:after="0" w:line="190" w:lineRule="exact"/>
              <w:rPr>
                <w:rFonts w:ascii="Arial" w:cs="Arial" w:eastAsia="Arial" w:hAnsi="Arial"/>
                <w:sz w:val="18"/>
                <w:szCs w:val="18"/>
                <w:color w:val="0000EE"/>
                <w:w w:val="85"/>
              </w:rPr>
            </w:pPr>
            <w:hyperlink w:anchor="page99">
              <w:r>
                <w:rPr>
                  <w:rFonts w:ascii="Arial" w:cs="Arial" w:eastAsia="Arial" w:hAnsi="Arial"/>
                  <w:sz w:val="18"/>
                  <w:szCs w:val="18"/>
                  <w:color w:val="0000EE"/>
                  <w:w w:val="85"/>
                </w:rPr>
                <w:t>Controls and Procedures</w:t>
              </w:r>
            </w:hyperlink>
          </w:p>
        </w:tc>
        <w:tc>
          <w:tcPr>
            <w:tcW w:w="7060" w:type="dxa"/>
            <w:vAlign w:val="bottom"/>
            <w:gridSpan w:val="21"/>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97</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9B.</w:t>
            </w:r>
          </w:p>
        </w:tc>
        <w:tc>
          <w:tcPr>
            <w:tcW w:w="1280" w:type="dxa"/>
            <w:vAlign w:val="bottom"/>
            <w:tcBorders>
              <w:bottom w:val="single" w:sz="8" w:color="0000EE"/>
            </w:tcBorders>
            <w:gridSpan w:val="4"/>
          </w:tcPr>
          <w:p>
            <w:pPr>
              <w:spacing w:after="0" w:line="190"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Other Information</w:t>
              </w:r>
            </w:hyperlink>
          </w:p>
        </w:tc>
        <w:tc>
          <w:tcPr>
            <w:tcW w:w="7500" w:type="dxa"/>
            <w:vAlign w:val="bottom"/>
            <w:gridSpan w:val="25"/>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98</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9C.</w:t>
            </w:r>
          </w:p>
        </w:tc>
        <w:tc>
          <w:tcPr>
            <w:tcW w:w="4700" w:type="dxa"/>
            <w:vAlign w:val="bottom"/>
            <w:tcBorders>
              <w:bottom w:val="single" w:sz="8" w:color="0000EE"/>
            </w:tcBorders>
            <w:gridSpan w:val="23"/>
          </w:tcPr>
          <w:p>
            <w:pPr>
              <w:spacing w:after="0" w:line="190"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Disclosure Regarding Foreign Jurisdiction that Prevent Inspections</w:t>
              </w:r>
            </w:hyperlink>
          </w:p>
        </w:tc>
        <w:tc>
          <w:tcPr>
            <w:tcW w:w="4080" w:type="dxa"/>
            <w:vAlign w:val="bottom"/>
            <w:gridSpan w:val="6"/>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98</w:t>
            </w:r>
          </w:p>
        </w:tc>
      </w:tr>
      <w:tr>
        <w:trPr>
          <w:trHeight w:val="309"/>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PART III</w:t>
              </w:r>
            </w:hyperlink>
          </w:p>
        </w:tc>
        <w:tc>
          <w:tcPr>
            <w:tcW w:w="4320" w:type="dxa"/>
            <w:vAlign w:val="bottom"/>
            <w:gridSpan w:val="7"/>
          </w:tcPr>
          <w:p>
            <w:pPr>
              <w:spacing w:after="0"/>
              <w:rPr>
                <w:sz w:val="24"/>
                <w:szCs w:val="24"/>
                <w:color w:val="auto"/>
              </w:rPr>
            </w:pPr>
          </w:p>
        </w:tc>
        <w:tc>
          <w:tcPr>
            <w:tcW w:w="1200" w:type="dxa"/>
            <w:vAlign w:val="bottom"/>
          </w:tcPr>
          <w:p>
            <w:pPr>
              <w:spacing w:after="0"/>
              <w:rPr>
                <w:sz w:val="24"/>
                <w:szCs w:val="24"/>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3980" w:type="dxa"/>
            <w:vAlign w:val="bottom"/>
            <w:tcBorders>
              <w:bottom w:val="single" w:sz="8" w:color="0000EE"/>
            </w:tcBorders>
            <w:gridSpan w:val="17"/>
          </w:tcPr>
          <w:p>
            <w:pPr>
              <w:spacing w:after="0" w:line="190"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Directors, Executive Officers and Corporate Governance</w:t>
              </w:r>
            </w:hyperlink>
          </w:p>
        </w:tc>
        <w:tc>
          <w:tcPr>
            <w:tcW w:w="4800" w:type="dxa"/>
            <w:vAlign w:val="bottom"/>
            <w:gridSpan w:val="12"/>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99</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line="190"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Executive Compensation</w:t>
              </w:r>
            </w:hyperlink>
          </w:p>
        </w:tc>
        <w:tc>
          <w:tcPr>
            <w:tcW w:w="7020" w:type="dxa"/>
            <w:vAlign w:val="bottom"/>
            <w:gridSpan w:val="20"/>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99</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12.</w:t>
            </w:r>
          </w:p>
        </w:tc>
        <w:tc>
          <w:tcPr>
            <w:tcW w:w="7100" w:type="dxa"/>
            <w:vAlign w:val="bottom"/>
            <w:tcBorders>
              <w:bottom w:val="single" w:sz="8" w:color="0000EE"/>
            </w:tcBorders>
            <w:gridSpan w:val="27"/>
          </w:tcPr>
          <w:p>
            <w:pPr>
              <w:spacing w:after="0" w:line="190"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Security Ownership of Certain Beneficial Owners and Management and Related Stockholder Matters</w:t>
              </w:r>
            </w:hyperlink>
          </w:p>
        </w:tc>
        <w:tc>
          <w:tcPr>
            <w:tcW w:w="1680" w:type="dxa"/>
            <w:vAlign w:val="bottom"/>
            <w:gridSpan w:val="2"/>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99</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13.</w:t>
            </w:r>
          </w:p>
        </w:tc>
        <w:tc>
          <w:tcPr>
            <w:tcW w:w="5300" w:type="dxa"/>
            <w:vAlign w:val="bottom"/>
            <w:tcBorders>
              <w:bottom w:val="single" w:sz="8" w:color="0000EE"/>
            </w:tcBorders>
            <w:gridSpan w:val="24"/>
          </w:tcPr>
          <w:p>
            <w:pPr>
              <w:spacing w:after="0" w:line="190"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Certain Relationships and Related Transactions, and Director Independence</w:t>
              </w:r>
            </w:hyperlink>
          </w:p>
        </w:tc>
        <w:tc>
          <w:tcPr>
            <w:tcW w:w="3480" w:type="dxa"/>
            <w:vAlign w:val="bottom"/>
            <w:gridSpan w:val="5"/>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14.</w:t>
            </w:r>
          </w:p>
        </w:tc>
        <w:tc>
          <w:tcPr>
            <w:tcW w:w="8780" w:type="dxa"/>
            <w:vAlign w:val="bottom"/>
            <w:gridSpan w:val="29"/>
          </w:tcPr>
          <w:p>
            <w:pPr>
              <w:spacing w:after="0" w:line="190"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r>
      <w:tr>
        <w:trPr>
          <w:trHeight w:val="309"/>
        </w:trPr>
        <w:tc>
          <w:tcPr>
            <w:tcW w:w="1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40" w:type="dxa"/>
            <w:vAlign w:val="bottom"/>
            <w:gridSpan w:val="15"/>
          </w:tcPr>
          <w:p>
            <w:pPr>
              <w:jc w:val="center"/>
              <w:ind w:right="4340"/>
              <w:spacing w:after="0"/>
              <w:rPr>
                <w:rFonts w:ascii="Arial" w:cs="Arial" w:eastAsia="Arial" w:hAnsi="Arial"/>
                <w:sz w:val="18"/>
                <w:szCs w:val="18"/>
                <w:b w:val="1"/>
                <w:bCs w:val="1"/>
                <w:color w:val="0000EE"/>
                <w:w w:val="98"/>
              </w:rPr>
            </w:pPr>
            <w:hyperlink w:anchor="page103">
              <w:r>
                <w:rPr>
                  <w:rFonts w:ascii="Arial" w:cs="Arial" w:eastAsia="Arial" w:hAnsi="Arial"/>
                  <w:sz w:val="18"/>
                  <w:szCs w:val="18"/>
                  <w:b w:val="1"/>
                  <w:bCs w:val="1"/>
                  <w:color w:val="0000EE"/>
                  <w:w w:val="98"/>
                </w:rPr>
                <w:t>PART IV</w:t>
              </w:r>
            </w:hyperlink>
          </w:p>
        </w:tc>
        <w:tc>
          <w:tcPr>
            <w:tcW w:w="1200" w:type="dxa"/>
            <w:vAlign w:val="bottom"/>
          </w:tcPr>
          <w:p>
            <w:pPr>
              <w:spacing w:after="0"/>
              <w:rPr>
                <w:sz w:val="24"/>
                <w:szCs w:val="24"/>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3760" w:type="dxa"/>
            <w:vAlign w:val="bottom"/>
            <w:gridSpan w:val="15"/>
          </w:tcPr>
          <w:p>
            <w:pPr>
              <w:spacing w:after="0" w:line="190" w:lineRule="exact"/>
              <w:rPr>
                <w:rFonts w:ascii="Arial" w:cs="Arial" w:eastAsia="Arial" w:hAnsi="Arial"/>
                <w:sz w:val="18"/>
                <w:szCs w:val="18"/>
                <w:color w:val="0000EE"/>
              </w:rPr>
            </w:pPr>
            <w:hyperlink w:anchor="page103">
              <w:r>
                <w:rPr>
                  <w:rFonts w:ascii="Arial" w:cs="Arial" w:eastAsia="Arial" w:hAnsi="Arial"/>
                  <w:sz w:val="18"/>
                  <w:szCs w:val="18"/>
                  <w:color w:val="0000EE"/>
                </w:rPr>
                <w:t>Exhibit and Financial Statement Schedules</w:t>
              </w:r>
            </w:hyperlink>
          </w:p>
        </w:tc>
        <w:tc>
          <w:tcPr>
            <w:tcW w:w="680" w:type="dxa"/>
            <w:vAlign w:val="bottom"/>
            <w:tcBorders>
              <w:top w:val="single" w:sz="8" w:color="0000EE"/>
            </w:tcBorders>
            <w:gridSpan w:val="6"/>
          </w:tcPr>
          <w:p>
            <w:pPr>
              <w:spacing w:after="0"/>
              <w:rPr>
                <w:sz w:val="16"/>
                <w:szCs w:val="16"/>
                <w:color w:val="auto"/>
              </w:rPr>
            </w:pPr>
          </w:p>
        </w:tc>
        <w:tc>
          <w:tcPr>
            <w:tcW w:w="4340" w:type="dxa"/>
            <w:vAlign w:val="bottom"/>
            <w:gridSpan w:val="8"/>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101</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Item 16.</w:t>
            </w:r>
          </w:p>
        </w:tc>
        <w:tc>
          <w:tcPr>
            <w:tcW w:w="3000" w:type="dxa"/>
            <w:vAlign w:val="bottom"/>
            <w:tcBorders>
              <w:top w:val="single" w:sz="8" w:color="0000EE"/>
            </w:tcBorders>
            <w:gridSpan w:val="12"/>
          </w:tcPr>
          <w:p>
            <w:pPr>
              <w:spacing w:after="0" w:line="190" w:lineRule="exact"/>
              <w:rPr>
                <w:rFonts w:ascii="Arial" w:cs="Arial" w:eastAsia="Arial" w:hAnsi="Arial"/>
                <w:sz w:val="18"/>
                <w:szCs w:val="18"/>
                <w:color w:val="0000EE"/>
              </w:rPr>
            </w:pPr>
            <w:hyperlink w:anchor="page119">
              <w:r>
                <w:rPr>
                  <w:rFonts w:ascii="Arial" w:cs="Arial" w:eastAsia="Arial" w:hAnsi="Arial"/>
                  <w:sz w:val="18"/>
                  <w:szCs w:val="18"/>
                  <w:color w:val="0000EE"/>
                </w:rPr>
                <w:t>Form 10-K Summary</w:t>
              </w:r>
            </w:hyperlink>
          </w:p>
        </w:tc>
        <w:tc>
          <w:tcPr>
            <w:tcW w:w="5780" w:type="dxa"/>
            <w:vAlign w:val="bottom"/>
            <w:gridSpan w:val="17"/>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117</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6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Except as the context otherwise indicates, the terms “MSCI,” the “Company,” “we,” “our” and “us” refer to MSCI Inc. together with its subsidiaries.</w:t>
      </w:r>
    </w:p>
    <w:p>
      <w:pPr>
        <w:spacing w:after="0" w:line="237" w:lineRule="exact"/>
        <w:rPr>
          <w:sz w:val="20"/>
          <w:szCs w:val="20"/>
          <w:color w:val="auto"/>
        </w:rPr>
      </w:pPr>
    </w:p>
    <w:p>
      <w:pPr>
        <w:jc w:val="both"/>
        <w:ind w:right="140" w:firstLine="589"/>
        <w:spacing w:after="0" w:line="252" w:lineRule="auto"/>
        <w:rPr>
          <w:sz w:val="20"/>
          <w:szCs w:val="20"/>
          <w:color w:val="auto"/>
        </w:rPr>
      </w:pPr>
      <w:r>
        <w:rPr>
          <w:rFonts w:ascii="Arial" w:cs="Arial" w:eastAsia="Arial" w:hAnsi="Arial"/>
          <w:sz w:val="18"/>
          <w:szCs w:val="18"/>
          <w:i w:val="1"/>
          <w:iCs w:val="1"/>
          <w:color w:val="auto"/>
        </w:rPr>
        <w:t>This Annual Report on Form 10-K contains trademarks, service marks and trade names owned by us, as well as those owned by others. MSCI, Barra, RiskMetrics, IPD, Real Capital Analytics, Datscha and other MSCI brands and product names are the trademarks, service marks or registered trademarks of MSCI, its subsidiaries or licensors in the United States and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315595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552"/>
        <w:spacing w:after="0" w:line="249" w:lineRule="auto"/>
        <w:rPr>
          <w:sz w:val="20"/>
          <w:szCs w:val="20"/>
          <w:color w:val="auto"/>
        </w:rPr>
      </w:pPr>
      <w:r>
        <w:rPr>
          <w:rFonts w:ascii="Arial" w:cs="Arial" w:eastAsia="Arial" w:hAnsi="Arial"/>
          <w:sz w:val="18"/>
          <w:szCs w:val="18"/>
          <w:i w:val="1"/>
          <w:iCs w:val="1"/>
          <w:color w:val="auto"/>
        </w:rPr>
        <w:t>We have included in this Annual Report on Form 10-K, and from time to time may make in our public filings, press releases or other public statements, certain statements that constitute forward-looking statements. In addition, our management may make forward-looking statements to analysts, investors, representatives of the media and others. These forward-looking statements are not historical facts and represent only MSCI’s beliefs regarding future events, many of which, by their nature, are inherently uncertain and beyond our control.</w:t>
      </w:r>
    </w:p>
    <w:p>
      <w:pPr>
        <w:spacing w:after="0" w:line="192" w:lineRule="exact"/>
        <w:rPr>
          <w:sz w:val="20"/>
          <w:szCs w:val="20"/>
          <w:color w:val="auto"/>
        </w:rPr>
      </w:pPr>
    </w:p>
    <w:p>
      <w:pPr>
        <w:ind w:right="60" w:firstLine="589"/>
        <w:spacing w:after="0" w:line="280" w:lineRule="auto"/>
        <w:rPr>
          <w:sz w:val="20"/>
          <w:szCs w:val="20"/>
          <w:color w:val="auto"/>
        </w:rPr>
      </w:pPr>
      <w:r>
        <w:rPr>
          <w:rFonts w:ascii="Arial" w:cs="Arial" w:eastAsia="Arial" w:hAnsi="Arial"/>
          <w:sz w:val="16"/>
          <w:szCs w:val="16"/>
          <w:i w:val="1"/>
          <w:iCs w:val="1"/>
          <w:color w:val="auto"/>
        </w:rPr>
        <w:t>In some cases, you can identify forward-looking statements by the use of words such as “may,” “could,” “expect,” “intend,” “plan,” “seek,” “anticipate,” “believe,” “estimate,” “predict,” “potential” or “continue,” or the negative of these terms or other comparable terminology. Statements concerning our financial position, business strategy and plans or objectives for future operations are forward-looking statements. You should not place undue reliance on forward-looking statements because they involve known and unknown risks, uncertainties and other factors that are, in some cases, beyond our control and that could materially affect our actual results, levels of activity, performance or achievements. Such risks and uncertainties include those set forth under “Risk Factors” in Part I, Item 1A of this Annual Report on Form 10-K. The forward-looking statements in this report speak only as of the time they are made and do not necessarily reflect our outlook at any other point in time. We undertake no obligation to update publicly any forward-looking statements, whether as a result of new information, future events or for any other reason. Therefore, readers should carefully review the risk factors set forth in other reports or documents we file from time to time with the Securities and Exchange Commission (the “SEC”).</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542" w:right="4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1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MSCI’s mission is to enable investors to build better portfolios for a better world.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8" w:lineRule="exact"/>
        <w:rPr>
          <w:sz w:val="20"/>
          <w:szCs w:val="20"/>
          <w:color w:val="auto"/>
        </w:rPr>
      </w:pPr>
    </w:p>
    <w:p>
      <w:pPr>
        <w:ind w:right="260" w:firstLine="589"/>
        <w:spacing w:after="0" w:line="249" w:lineRule="auto"/>
        <w:rPr>
          <w:sz w:val="20"/>
          <w:szCs w:val="20"/>
          <w:color w:val="auto"/>
        </w:rPr>
      </w:pPr>
      <w:r>
        <w:rPr>
          <w:rFonts w:ascii="Arial" w:cs="Arial" w:eastAsia="Arial" w:hAnsi="Arial"/>
          <w:sz w:val="18"/>
          <w:szCs w:val="18"/>
          <w:color w:val="auto"/>
        </w:rPr>
        <w:t>We are a leading provider of critical decision support tools and solutions for the global investment community. Our mission-critical offerings help investors address the challenges of a transforming investment landscape and power better investment decisions. Leveraging our knowledge of the global investment process and our expertise in research, data and technology, we enable our clients to understand and analyze key drivers of risk and return and confidently and efficiently build more effective portfolios.</w:t>
      </w:r>
    </w:p>
    <w:p>
      <w:pPr>
        <w:spacing w:after="0" w:line="219" w:lineRule="exact"/>
        <w:rPr>
          <w:sz w:val="20"/>
          <w:szCs w:val="20"/>
          <w:color w:val="auto"/>
        </w:rPr>
      </w:pPr>
    </w:p>
    <w:p>
      <w:pPr>
        <w:ind w:firstLine="589"/>
        <w:spacing w:after="0" w:line="315" w:lineRule="auto"/>
        <w:rPr>
          <w:sz w:val="20"/>
          <w:szCs w:val="20"/>
          <w:color w:val="auto"/>
        </w:rPr>
      </w:pPr>
      <w:r>
        <w:rPr>
          <w:rFonts w:ascii="Arial" w:cs="Arial" w:eastAsia="Arial" w:hAnsi="Arial"/>
          <w:sz w:val="15"/>
          <w:szCs w:val="15"/>
          <w:color w:val="auto"/>
        </w:rPr>
        <w:t>Investors all over the world use our research-driven and technology-enabled tools and solutions to gain insights and improve transparency throughout their investment processes. Our tools and solutions help investors define their investment universe; inform and analyze their asset allocation and portfolio construction decisions; measure and manage portfolio performance and risk; implement sustainable, climate-focused and other investment strategies; conduct performance attribution; construct and manage exchange traded funds (“ETFs”) and other indexed financial products; and facilitate reporting to stakeholders.</w:t>
      </w:r>
    </w:p>
    <w:p>
      <w:pPr>
        <w:spacing w:after="0" w:line="185" w:lineRule="exact"/>
        <w:rPr>
          <w:sz w:val="20"/>
          <w:szCs w:val="20"/>
          <w:color w:val="auto"/>
        </w:rPr>
      </w:pPr>
    </w:p>
    <w:p>
      <w:pPr>
        <w:ind w:right="80" w:firstLine="589"/>
        <w:spacing w:after="0" w:line="252" w:lineRule="auto"/>
        <w:rPr>
          <w:sz w:val="20"/>
          <w:szCs w:val="20"/>
          <w:color w:val="auto"/>
        </w:rPr>
      </w:pPr>
      <w:r>
        <w:rPr>
          <w:rFonts w:ascii="Arial" w:cs="Arial" w:eastAsia="Arial" w:hAnsi="Arial"/>
          <w:sz w:val="18"/>
          <w:szCs w:val="18"/>
          <w:color w:val="auto"/>
        </w:rPr>
        <w:t>Our products and services include indexes; portfolio construction and risk management tools; environmental, social and governance (“ESG”) and climate solutions; and real estate market and transaction data and analysis. We are increasingly focused on open and flexible technology, and our content and capabilities can be accessed by our clients through multiple channels and platforms.</w:t>
      </w:r>
    </w:p>
    <w:p>
      <w:pPr>
        <w:spacing w:after="0" w:line="229"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We aim to anticipate the needs of the investment industry with our client-centric focus and our deep understanding of our clients’ workflows, challenges and goals. We are focused on product innovation and data collection to address the evolving needs of an increasingly complex industry. In order to most effectively serve our clients, we are committed to advancing an integrated approach to our offerings, achieving service excellence, enhancing our differentiated research and content, and delivering flexible, cutting-edge technology.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clients comprise a wide spectrum of the global investment industry and include the following key client types:</w:t>
      </w:r>
    </w:p>
    <w:p>
      <w:pPr>
        <w:spacing w:after="0" w:line="122" w:lineRule="exact"/>
        <w:rPr>
          <w:sz w:val="20"/>
          <w:szCs w:val="20"/>
          <w:color w:val="auto"/>
        </w:rPr>
      </w:pPr>
    </w:p>
    <w:p>
      <w:pPr>
        <w:ind w:left="1000" w:right="660" w:hanging="417"/>
        <w:spacing w:after="0" w:line="261"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owners (including pension funds, endowments, foundations, central banks, sovereign wealth funds, family offices and insurance companies)</w:t>
      </w:r>
    </w:p>
    <w:p>
      <w:pPr>
        <w:spacing w:after="0" w:line="75" w:lineRule="exact"/>
        <w:rPr>
          <w:rFonts w:ascii="Arial" w:cs="Arial" w:eastAsia="Arial" w:hAnsi="Arial"/>
          <w:sz w:val="18"/>
          <w:szCs w:val="18"/>
          <w:color w:val="auto"/>
        </w:rPr>
      </w:pPr>
    </w:p>
    <w:p>
      <w:pPr>
        <w:ind w:left="1000" w:right="40" w:hanging="417"/>
        <w:spacing w:after="0" w:line="261"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managers (including managers of institutional funds and accounts, mutual funds, hedge funds, ETFs, insurance products, private banking products and real estate investment trusts)</w:t>
      </w:r>
    </w:p>
    <w:p>
      <w:pPr>
        <w:spacing w:after="0" w:line="75" w:lineRule="exact"/>
        <w:rPr>
          <w:rFonts w:ascii="Arial" w:cs="Arial" w:eastAsia="Arial" w:hAnsi="Arial"/>
          <w:sz w:val="18"/>
          <w:szCs w:val="18"/>
          <w:color w:val="auto"/>
        </w:rPr>
      </w:pPr>
    </w:p>
    <w:p>
      <w:pPr>
        <w:ind w:left="1000" w:right="660" w:hanging="417"/>
        <w:spacing w:after="0" w:line="261"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intermediaries (including banks, broker-dealers, exchanges, custodians, trust companies, fund administrators and investment consultants)</w:t>
      </w:r>
    </w:p>
    <w:p>
      <w:pPr>
        <w:spacing w:after="0" w:line="75" w:lineRule="exact"/>
        <w:rPr>
          <w:rFonts w:ascii="Arial" w:cs="Arial" w:eastAsia="Arial" w:hAnsi="Arial"/>
          <w:sz w:val="18"/>
          <w:szCs w:val="18"/>
          <w:color w:val="auto"/>
        </w:rPr>
      </w:pPr>
    </w:p>
    <w:p>
      <w:pPr>
        <w:ind w:left="1000" w:hanging="4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Wealth managers (including robo-advisors and self-directed brokerages)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Professionals (including real estate brokers, agents, developers, lenders and appraisers)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Corporates (including public and private companies and their advisors)</w:t>
      </w:r>
    </w:p>
    <w:p>
      <w:pPr>
        <w:spacing w:after="0" w:line="252" w:lineRule="exact"/>
        <w:rPr>
          <w:sz w:val="20"/>
          <w:szCs w:val="20"/>
          <w:color w:val="auto"/>
        </w:rPr>
      </w:pPr>
    </w:p>
    <w:p>
      <w:pPr>
        <w:ind w:right="140" w:firstLine="589"/>
        <w:spacing w:after="0" w:line="253" w:lineRule="auto"/>
        <w:rPr>
          <w:sz w:val="20"/>
          <w:szCs w:val="20"/>
          <w:color w:val="auto"/>
        </w:rPr>
      </w:pPr>
      <w:r>
        <w:rPr>
          <w:rFonts w:ascii="Arial" w:cs="Arial" w:eastAsia="Arial" w:hAnsi="Arial"/>
          <w:sz w:val="18"/>
          <w:szCs w:val="18"/>
          <w:color w:val="auto"/>
        </w:rPr>
        <w:t>As of December 31, 2021, we served over 6,300 clients</w:t>
      </w:r>
      <w:r>
        <w:rPr>
          <w:rFonts w:ascii="Arial" w:cs="Arial" w:eastAsia="Arial" w:hAnsi="Arial"/>
          <w:sz w:val="14"/>
          <w:szCs w:val="14"/>
          <w:color w:val="auto"/>
        </w:rPr>
        <w:t>1</w:t>
      </w:r>
      <w:r>
        <w:rPr>
          <w:rFonts w:ascii="Arial" w:cs="Arial" w:eastAsia="Arial" w:hAnsi="Arial"/>
          <w:sz w:val="18"/>
          <w:szCs w:val="18"/>
          <w:color w:val="auto"/>
        </w:rPr>
        <w:t xml:space="preserve"> in more than 95 countries. For the year ended December 31, 2021, our largest client organization by revenue, BlackRock, accounted for 12.7% of our total revenues, with 93.6% of the revenue from BlackRock coming from fees based on the assets in BlackRock’s ETFs that are based on our indexes.</w:t>
      </w:r>
    </w:p>
    <w:p>
      <w:pPr>
        <w:spacing w:after="0" w:line="129" w:lineRule="exact"/>
        <w:rPr>
          <w:sz w:val="20"/>
          <w:szCs w:val="20"/>
          <w:color w:val="auto"/>
        </w:rPr>
      </w:pPr>
    </w:p>
    <w:p>
      <w:pPr>
        <w:ind w:left="120" w:hanging="115"/>
        <w:spacing w:after="0"/>
        <w:tabs>
          <w:tab w:leader="none" w:pos="120" w:val="left"/>
        </w:tabs>
        <w:numPr>
          <w:ilvl w:val="0"/>
          <w:numId w:val="4"/>
        </w:numPr>
        <w:rPr>
          <w:rFonts w:ascii="Arial" w:cs="Arial" w:eastAsia="Arial" w:hAnsi="Arial"/>
          <w:sz w:val="11"/>
          <w:szCs w:val="11"/>
          <w:color w:val="auto"/>
        </w:rPr>
      </w:pPr>
      <w:r>
        <w:rPr>
          <w:rFonts w:ascii="Arial" w:cs="Arial" w:eastAsia="Arial" w:hAnsi="Arial"/>
          <w:sz w:val="13"/>
          <w:szCs w:val="13"/>
          <w:color w:val="auto"/>
        </w:rPr>
        <w:t>Represents the aggregate of all related clients under their respective parent entity. As of December 31, 2021, we served over 1,600 clients which were related to RCA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427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542"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Industry Trends and Competitive Advantages</w:t>
      </w:r>
    </w:p>
    <w:p>
      <w:pPr>
        <w:spacing w:after="0" w:line="128" w:lineRule="exact"/>
        <w:rPr>
          <w:sz w:val="20"/>
          <w:szCs w:val="20"/>
          <w:color w:val="auto"/>
        </w:rPr>
      </w:pPr>
    </w:p>
    <w:p>
      <w:pPr>
        <w:ind w:right="120" w:firstLine="589"/>
        <w:spacing w:after="0" w:line="315" w:lineRule="auto"/>
        <w:rPr>
          <w:sz w:val="20"/>
          <w:szCs w:val="20"/>
          <w:color w:val="auto"/>
        </w:rPr>
      </w:pPr>
      <w:r>
        <w:rPr>
          <w:rFonts w:ascii="Arial" w:cs="Arial" w:eastAsia="Arial" w:hAnsi="Arial"/>
          <w:sz w:val="15"/>
          <w:szCs w:val="15"/>
          <w:color w:val="auto"/>
        </w:rPr>
        <w:t>We believe we are uniquely positioned to benefit from emerging trends and to help our clients adapt to a large and rapidly expanding and evolving investment industry. Investing has grown in complexity, with more choices across asset classes, security types and geographies, and more consideration of a wider array of risks, including those related to ESG and climate. In addition, the construction and management of investment portfolios are becoming increasingly outcome-oriented, rules-based and technology-driven. As a result, the investment process is transforming, reflected in several trends we have observed, including:</w:t>
      </w:r>
    </w:p>
    <w:p>
      <w:pPr>
        <w:spacing w:after="0" w:line="54" w:lineRule="exact"/>
        <w:rPr>
          <w:sz w:val="20"/>
          <w:szCs w:val="20"/>
          <w:color w:val="auto"/>
        </w:rPr>
      </w:pPr>
    </w:p>
    <w:p>
      <w:pPr>
        <w:ind w:left="1000" w:right="40" w:hanging="417"/>
        <w:spacing w:after="0" w:line="26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client operating models and business strategies, driven in part by fee compression, changing demographics, the regulatory environment and shifting economic outlooks;</w:t>
      </w:r>
    </w:p>
    <w:p>
      <w:pPr>
        <w:spacing w:after="0" w:line="75" w:lineRule="exact"/>
        <w:rPr>
          <w:rFonts w:ascii="Arial" w:cs="Arial" w:eastAsia="Arial" w:hAnsi="Arial"/>
          <w:sz w:val="18"/>
          <w:szCs w:val="18"/>
          <w:color w:val="auto"/>
        </w:rPr>
      </w:pPr>
    </w:p>
    <w:p>
      <w:pPr>
        <w:ind w:left="1000" w:right="200" w:hanging="417"/>
        <w:spacing w:after="0" w:line="26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use of global, multi-asset-class and other complex investment strategies, including strategies incorporating private asset investments and factor objectives, as investors seek specific and unique outcomes;</w:t>
      </w:r>
    </w:p>
    <w:p>
      <w:pPr>
        <w:spacing w:after="0" w:line="75" w:lineRule="exact"/>
        <w:rPr>
          <w:rFonts w:ascii="Arial" w:cs="Arial" w:eastAsia="Arial" w:hAnsi="Arial"/>
          <w:sz w:val="18"/>
          <w:szCs w:val="18"/>
          <w:color w:val="auto"/>
        </w:rPr>
      </w:pPr>
    </w:p>
    <w:p>
      <w:pPr>
        <w:ind w:left="1000" w:right="20" w:hanging="417"/>
        <w:spacing w:after="0" w:line="24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Accelerating integration of ESG and climate considerations into investment processes, reporting and products, as sustainable investing becomes more prominent and investors increasingly focus on companies with strong sustainability practices as an indicator of long-term resilience, as seen in the current investment focus on considerations such as the COVID-19 pandemic, extreme weather events and diversity and inclusion initiatives;</w:t>
      </w:r>
    </w:p>
    <w:p>
      <w:pPr>
        <w:spacing w:after="0" w:line="87" w:lineRule="exact"/>
        <w:rPr>
          <w:rFonts w:ascii="Arial" w:cs="Arial" w:eastAsia="Arial" w:hAnsi="Arial"/>
          <w:sz w:val="18"/>
          <w:szCs w:val="18"/>
          <w:color w:val="auto"/>
        </w:rPr>
      </w:pPr>
    </w:p>
    <w:p>
      <w:pPr>
        <w:ind w:left="1000" w:right="340" w:hanging="417"/>
        <w:spacing w:after="0" w:line="25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growth of indexed investing through indexed investment products such as ETFs, mutual/UCITS funds and annuities, as well as indexed derivatives such as futures, options, structured products and over-the-counter swaps, and other vehicles that seek to track an index as investors increasingly seek lower-cost investment strategies;</w:t>
      </w:r>
    </w:p>
    <w:p>
      <w:pPr>
        <w:spacing w:after="0" w:line="84" w:lineRule="exact"/>
        <w:rPr>
          <w:rFonts w:ascii="Arial" w:cs="Arial" w:eastAsia="Arial" w:hAnsi="Arial"/>
          <w:sz w:val="18"/>
          <w:szCs w:val="18"/>
          <w:color w:val="auto"/>
        </w:rPr>
      </w:pPr>
    </w:p>
    <w:p>
      <w:pPr>
        <w:ind w:left="1000" w:right="260" w:hanging="417"/>
        <w:spacing w:after="0" w:line="26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allocation of capital to real estate and other private assets and desire for greater transparency into the performance of private assets, with an increased focus on climate and income risk;</w:t>
      </w:r>
    </w:p>
    <w:p>
      <w:pPr>
        <w:spacing w:after="0" w:line="75" w:lineRule="exact"/>
        <w:rPr>
          <w:rFonts w:ascii="Arial" w:cs="Arial" w:eastAsia="Arial" w:hAnsi="Arial"/>
          <w:sz w:val="18"/>
          <w:szCs w:val="18"/>
          <w:color w:val="auto"/>
        </w:rPr>
      </w:pPr>
    </w:p>
    <w:p>
      <w:pPr>
        <w:ind w:left="1000" w:right="260" w:hanging="417"/>
        <w:spacing w:after="0" w:line="26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demand for data and tools that clients can integrate to support their unique portfolio construction needs and to provide transparency into their investment objectives; and</w:t>
      </w:r>
    </w:p>
    <w:p>
      <w:pPr>
        <w:spacing w:after="0" w:line="75" w:lineRule="exact"/>
        <w:rPr>
          <w:rFonts w:ascii="Arial" w:cs="Arial" w:eastAsia="Arial" w:hAnsi="Arial"/>
          <w:sz w:val="18"/>
          <w:szCs w:val="18"/>
          <w:color w:val="auto"/>
        </w:rPr>
      </w:pPr>
    </w:p>
    <w:p>
      <w:pPr>
        <w:ind w:left="1000" w:right="780" w:hanging="417"/>
        <w:spacing w:after="0" w:line="26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Growing use of advanced technologies to enhance investment analytics, streamline operations, create efficiencies and gain competitive advantages.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the following competitive advantages position us well to meet client demands in light of these trends:</w:t>
      </w:r>
    </w:p>
    <w:p>
      <w:pPr>
        <w:spacing w:after="0" w:line="227" w:lineRule="exact"/>
        <w:rPr>
          <w:sz w:val="20"/>
          <w:szCs w:val="20"/>
          <w:color w:val="auto"/>
        </w:rPr>
      </w:pPr>
    </w:p>
    <w:p>
      <w:pPr>
        <w:ind w:left="1000" w:right="20" w:hanging="417"/>
        <w:spacing w:after="0" w:line="286"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Differentiated research-enhanced content </w:t>
      </w:r>
      <w:r>
        <w:rPr>
          <w:rFonts w:ascii="Arial" w:cs="Arial" w:eastAsia="Arial" w:hAnsi="Arial"/>
          <w:sz w:val="16"/>
          <w:szCs w:val="16"/>
          <w:color w:val="auto"/>
        </w:rPr>
        <w:t>provides our clients with insights to better understand and adapt to a complex and fast-changing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 We are continually developing a wide range of differentiated content and have amassed an extensive database of historical global market data, proprietary equity index data, ESG and climate data, factor models, private assets benchmark data and risk algorithms, all of which can be critical components of our clients’ investment processes. This content is grounded in our deep knowledge of the global investment process and fueled by experienced research and product development and data management teams.</w:t>
      </w:r>
    </w:p>
    <w:p>
      <w:pPr>
        <w:spacing w:after="0" w:line="60" w:lineRule="exact"/>
        <w:rPr>
          <w:rFonts w:ascii="Arial" w:cs="Arial" w:eastAsia="Arial" w:hAnsi="Arial"/>
          <w:sz w:val="16"/>
          <w:szCs w:val="16"/>
          <w:color w:val="auto"/>
        </w:rPr>
      </w:pPr>
    </w:p>
    <w:p>
      <w:pPr>
        <w:ind w:left="1000" w:right="100" w:hanging="417"/>
        <w:spacing w:after="0" w:line="24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Client-centricity </w:t>
      </w:r>
      <w:r>
        <w:rPr>
          <w:rFonts w:ascii="Arial" w:cs="Arial" w:eastAsia="Arial" w:hAnsi="Arial"/>
          <w:sz w:val="18"/>
          <w:szCs w:val="18"/>
          <w:color w:val="auto"/>
        </w:rPr>
        <w:t>allows us to build strong client relationships globally and better understand and service our clients’ unique needs in the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they operate. Our client coverage team develops and maintains strong and trusted relationships with senior executives and investment professionals, and we regularly consult with clients and other market participants to discuss their needs, investment trends and implications for our research, product development and client servicing goals.</w:t>
      </w:r>
    </w:p>
    <w:p>
      <w:pPr>
        <w:spacing w:after="0" w:line="87" w:lineRule="exact"/>
        <w:rPr>
          <w:rFonts w:ascii="Arial" w:cs="Arial" w:eastAsia="Arial" w:hAnsi="Arial"/>
          <w:sz w:val="18"/>
          <w:szCs w:val="18"/>
          <w:color w:val="auto"/>
        </w:rPr>
      </w:pPr>
    </w:p>
    <w:p>
      <w:pPr>
        <w:ind w:left="1000" w:hanging="417"/>
        <w:spacing w:after="0" w:line="290"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Strong product innovation, supported by flexible, scalable, cutting-edge technology </w:t>
      </w:r>
      <w:r>
        <w:rPr>
          <w:rFonts w:ascii="Arial" w:cs="Arial" w:eastAsia="Arial" w:hAnsi="Arial"/>
          <w:sz w:val="16"/>
          <w:szCs w:val="16"/>
          <w:color w:val="auto"/>
        </w:rPr>
        <w:t>developed by our global team of sophisticated technology and</w:t>
      </w:r>
      <w:r>
        <w:rPr>
          <w:rFonts w:ascii="Arial" w:cs="Arial" w:eastAsia="Arial" w:hAnsi="Arial"/>
          <w:sz w:val="16"/>
          <w:szCs w:val="16"/>
          <w:i w:val="1"/>
          <w:iCs w:val="1"/>
          <w:color w:val="auto"/>
        </w:rPr>
        <w:t xml:space="preserve"> </w:t>
      </w:r>
      <w:r>
        <w:rPr>
          <w:rFonts w:ascii="Arial" w:cs="Arial" w:eastAsia="Arial" w:hAnsi="Arial"/>
          <w:sz w:val="16"/>
          <w:szCs w:val="16"/>
          <w:color w:val="auto"/>
        </w:rPr>
        <w:t>data professionals, enables clients to use MSCI, third-party and their proprietary content efficiently and cost-effectively. Our commitment to open and flexible technology allows us to continually improve our overall products and services by more efficiently processing data for distribution and ensuring advanced platform flexibility that provides for easy integration into our clients’ workflows.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Strategy</w:t>
      </w:r>
    </w:p>
    <w:p>
      <w:pPr>
        <w:spacing w:after="0" w:line="114" w:lineRule="exact"/>
        <w:rPr>
          <w:sz w:val="20"/>
          <w:szCs w:val="20"/>
          <w:color w:val="auto"/>
        </w:rPr>
      </w:pPr>
    </w:p>
    <w:p>
      <w:pPr>
        <w:ind w:right="220" w:firstLine="589"/>
        <w:spacing w:after="0" w:line="252" w:lineRule="auto"/>
        <w:rPr>
          <w:sz w:val="20"/>
          <w:szCs w:val="20"/>
          <w:color w:val="auto"/>
        </w:rPr>
      </w:pPr>
      <w:r>
        <w:rPr>
          <w:rFonts w:ascii="Arial" w:cs="Arial" w:eastAsia="Arial" w:hAnsi="Arial"/>
          <w:sz w:val="18"/>
          <w:szCs w:val="18"/>
          <w:color w:val="auto"/>
        </w:rPr>
        <w:t>We provide critical tools and solutions that enable investors to manage the transformations taking place in the investment industry, better understand performance and risk, and build portfolios more effectively and efficiently to achieve their investment objectives. We are focused on the following key initiatives to deliver actionable and integrated client solutions:</w:t>
      </w:r>
    </w:p>
    <w:p>
      <w:pPr>
        <w:spacing w:after="0" w:line="97" w:lineRule="exact"/>
        <w:rPr>
          <w:sz w:val="20"/>
          <w:szCs w:val="20"/>
          <w:color w:val="auto"/>
        </w:rPr>
      </w:pPr>
    </w:p>
    <w:p>
      <w:pPr>
        <w:ind w:left="1000" w:hanging="417"/>
        <w:spacing w:after="0" w:line="282"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Extend leadership in research-enhanced content across asset classes. </w:t>
      </w:r>
      <w:r>
        <w:rPr>
          <w:rFonts w:ascii="Arial" w:cs="Arial" w:eastAsia="Arial" w:hAnsi="Arial"/>
          <w:sz w:val="16"/>
          <w:szCs w:val="16"/>
          <w:color w:val="auto"/>
        </w:rPr>
        <w:t>We continue to develop and deliver innovative solutions that incorporate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and highly differentiated content based on rich insights from our research and product development teams. In addition to continuing to enhance our position as a leader with respect to tools and solutions for equity investors globally, our strategic priorities also include content for ESG and climate, thematics, factors, fixed income, liquidity and private assets, all of which we believe represent significant growth opportunities. For example, in September 2021, we completed our acquisition of Real Capital Analytics, Inc. (“RCA”), a provider of data and analytics for the properties and transactions that drive the global commercial real estate capital markets. This transaction significantly expanded our data capabilities with respect to private assets.</w:t>
      </w:r>
    </w:p>
    <w:p>
      <w:pPr>
        <w:spacing w:after="0" w:line="77" w:lineRule="exact"/>
        <w:rPr>
          <w:rFonts w:ascii="Arial" w:cs="Arial" w:eastAsia="Arial" w:hAnsi="Arial"/>
          <w:sz w:val="16"/>
          <w:szCs w:val="16"/>
          <w:color w:val="auto"/>
        </w:rPr>
      </w:pPr>
    </w:p>
    <w:p>
      <w:pPr>
        <w:ind w:left="1000" w:right="60" w:hanging="417"/>
        <w:spacing w:after="0" w:line="304" w:lineRule="auto"/>
        <w:tabs>
          <w:tab w:leader="none" w:pos="10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Lead the enablement of ESG and climate investment integration </w:t>
      </w:r>
      <w:r>
        <w:rPr>
          <w:rFonts w:ascii="Arial" w:cs="Arial" w:eastAsia="Arial" w:hAnsi="Arial"/>
          <w:sz w:val="15"/>
          <w:szCs w:val="15"/>
          <w:color w:val="auto"/>
        </w:rPr>
        <w:t>by delivering the data, information and applications necessary to identify, assess</w:t>
      </w:r>
      <w:r>
        <w:rPr>
          <w:rFonts w:ascii="Arial" w:cs="Arial" w:eastAsia="Arial" w:hAnsi="Arial"/>
          <w:sz w:val="15"/>
          <w:szCs w:val="15"/>
          <w:i w:val="1"/>
          <w:iCs w:val="1"/>
          <w:color w:val="auto"/>
        </w:rPr>
        <w:t xml:space="preserve"> </w:t>
      </w:r>
      <w:r>
        <w:rPr>
          <w:rFonts w:ascii="Arial" w:cs="Arial" w:eastAsia="Arial" w:hAnsi="Arial"/>
          <w:sz w:val="15"/>
          <w:szCs w:val="15"/>
          <w:color w:val="auto"/>
        </w:rPr>
        <w:t>and incorporate material ESG and climate risks and opportunities. The global adoption of ESG and climate-focused investment considerations is rapidly accelerating. As demand from our clients for ESG and climate solutions increases, MSCI’s research, tools and solutions will aim to provide the transparency our clients need to better integrate ESG and climate risks and opportunities into their investment processes. Our ESG ratings and climate data and research are also utilized in our index, analytics and private asset tools and solutions – from ESG and climate indexes to incorporation of ESG and climate data in risk analysis to climate and emissions assessments specific to real estate assets and private equity portfolios. We are focused on being an influential thought leader on these climate-related considerations for the investment industry.</w:t>
      </w:r>
    </w:p>
    <w:p>
      <w:pPr>
        <w:spacing w:after="0" w:line="153" w:lineRule="exact"/>
        <w:rPr>
          <w:rFonts w:ascii="Arial" w:cs="Arial" w:eastAsia="Arial" w:hAnsi="Arial"/>
          <w:sz w:val="15"/>
          <w:szCs w:val="15"/>
          <w:color w:val="auto"/>
        </w:rPr>
      </w:pPr>
    </w:p>
    <w:p>
      <w:pPr>
        <w:ind w:left="1000" w:right="20" w:hanging="417"/>
        <w:spacing w:after="0" w:line="282"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Enhance distribution and content-enabling technology. </w:t>
      </w:r>
      <w:r>
        <w:rPr>
          <w:rFonts w:ascii="Arial" w:cs="Arial" w:eastAsia="Arial" w:hAnsi="Arial"/>
          <w:sz w:val="16"/>
          <w:szCs w:val="16"/>
          <w:color w:val="auto"/>
        </w:rPr>
        <w:t>We are deploying and developing advanced technology to drive integration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efficiencies, accelerate the pace of innovation and enhance distribution and the client experience. We increasingly utilize proprietary and third-party technologies, including artificial intelligence, machine learning and natural language processing tools, to enhance our ability to gather and analyze data, create content and automate and enhance the efficiency of many of our data processes. In 2021, in response to evolving client needs and the changing technology landscape, we launched our new open-architecture Investment Solutions as a Service (“ISaaS”) offerings. These offerings include Climate Lab Enterprise, a first-in-kind visualization dashboard that combines our climate data with our analytical risk and portfolio management capabilities.</w:t>
      </w:r>
    </w:p>
    <w:p>
      <w:pPr>
        <w:spacing w:after="0" w:line="169" w:lineRule="exact"/>
        <w:rPr>
          <w:rFonts w:ascii="Arial" w:cs="Arial" w:eastAsia="Arial" w:hAnsi="Arial"/>
          <w:sz w:val="16"/>
          <w:szCs w:val="16"/>
          <w:color w:val="auto"/>
        </w:rPr>
      </w:pPr>
    </w:p>
    <w:p>
      <w:pPr>
        <w:ind w:left="1000" w:right="40" w:hanging="417"/>
        <w:spacing w:after="0" w:line="24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Expand solutions that empower client customization</w:t>
      </w:r>
      <w:r>
        <w:rPr>
          <w:rFonts w:ascii="Arial" w:cs="Arial" w:eastAsia="Arial" w:hAnsi="Arial"/>
          <w:sz w:val="18"/>
          <w:szCs w:val="18"/>
          <w:color w:val="auto"/>
        </w:rPr>
        <w:t>. We will further enhance how we support our clients’ investment objectives by embedding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highly differentiated research into solutions that allow clients to incorporate their custom preferences. For example, we will leverage existing capabilities and applications to deliver solutions that will allow clients to reflect their unique risk and return, ESG and climate and thematic preferences, as well as tax optimization strategies in a scalable way.</w:t>
      </w:r>
    </w:p>
    <w:p>
      <w:pPr>
        <w:spacing w:after="0" w:line="100" w:lineRule="exact"/>
        <w:rPr>
          <w:rFonts w:ascii="Arial" w:cs="Arial" w:eastAsia="Arial" w:hAnsi="Arial"/>
          <w:sz w:val="18"/>
          <w:szCs w:val="18"/>
          <w:color w:val="auto"/>
        </w:rPr>
      </w:pPr>
    </w:p>
    <w:p>
      <w:pPr>
        <w:ind w:left="1000" w:hanging="417"/>
        <w:spacing w:after="0" w:line="24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Strengthen client relationships and grow into strategic partnerships with clients. </w:t>
      </w:r>
      <w:r>
        <w:rPr>
          <w:rFonts w:ascii="Arial" w:cs="Arial" w:eastAsia="Arial" w:hAnsi="Arial"/>
          <w:sz w:val="18"/>
          <w:szCs w:val="18"/>
          <w:color w:val="auto"/>
        </w:rPr>
        <w:t>We aim to serve as a strategic partner to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community by anticipating their needs, by promoting the full breadth of our tools and solutions and by building a seamless experience across our offerings. The depth of knowledge of our client coverage teams, including dedicated account managers, ensures that we are engaging with our clients in a holistic and integrated manner. In particular, we are leveraging our existing offerings to serve new and developing client use cases. Through constant innovation, we enhance the efficiency and ease of use of our products as we further demonstrate the value of our content, applications and services.</w:t>
      </w:r>
    </w:p>
    <w:p>
      <w:pPr>
        <w:spacing w:after="0" w:line="101" w:lineRule="exact"/>
        <w:rPr>
          <w:rFonts w:ascii="Arial" w:cs="Arial" w:eastAsia="Arial" w:hAnsi="Arial"/>
          <w:sz w:val="18"/>
          <w:szCs w:val="18"/>
          <w:color w:val="auto"/>
        </w:rPr>
      </w:pPr>
    </w:p>
    <w:p>
      <w:pPr>
        <w:ind w:left="1000" w:right="80" w:hanging="417"/>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Execute strategic relationships and acquisitions with complementary content and technology companies. </w:t>
      </w:r>
      <w:r>
        <w:rPr>
          <w:rFonts w:ascii="Arial" w:cs="Arial" w:eastAsia="Arial" w:hAnsi="Arial"/>
          <w:sz w:val="18"/>
          <w:szCs w:val="18"/>
          <w:color w:val="auto"/>
        </w:rPr>
        <w:t>We regularly evaluate and selectively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pursue strategic relationships with, and acquisitions of, providers of unique and differentiated content, products and technologies that we believe have the potential to complement, enhance or expand our offerings and client base. In order to drive value, we target acquisitions and strategic relationships that can be efficiently integrated into our existing operational structure and global sales network. For example, through our acquisition of RCA, we expanded MSCI’s robust suite of real estate solutions, by allowing us to provide real estate industry professionals with more data, analytics and support tools to manage investments and understand performance and risk, including climate risks, within their portfolios.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Model</w:t>
      </w:r>
    </w:p>
    <w:p>
      <w:pPr>
        <w:spacing w:after="0" w:line="128" w:lineRule="exact"/>
        <w:rPr>
          <w:sz w:val="20"/>
          <w:szCs w:val="20"/>
          <w:color w:val="auto"/>
        </w:rPr>
      </w:pPr>
    </w:p>
    <w:p>
      <w:pPr>
        <w:ind w:firstLine="589"/>
        <w:spacing w:after="0" w:line="249" w:lineRule="auto"/>
        <w:rPr>
          <w:sz w:val="20"/>
          <w:szCs w:val="20"/>
          <w:color w:val="auto"/>
        </w:rPr>
      </w:pPr>
      <w:r>
        <w:rPr>
          <w:rFonts w:ascii="Arial" w:cs="Arial" w:eastAsia="Arial" w:hAnsi="Arial"/>
          <w:sz w:val="18"/>
          <w:szCs w:val="18"/>
          <w:color w:val="auto"/>
        </w:rPr>
        <w:t>We have an attractive financial model due to our recurring revenue and strong cash generation. Clients purchase our products and services primarily through recurring fixed and variable fee arrangements, a business model which has historically delivered stable revenue and predictable cash flows. Finally, our disciplined capital-allocation policy provides us with flexibility to balance internal resources and investment needs, acquisitions and shareholder returns through dividends and opportunistic share repurchases.</w:t>
      </w:r>
    </w:p>
    <w:p>
      <w:pPr>
        <w:spacing w:after="0" w:line="219" w:lineRule="exact"/>
        <w:rPr>
          <w:sz w:val="20"/>
          <w:szCs w:val="20"/>
          <w:color w:val="auto"/>
        </w:rPr>
      </w:pPr>
    </w:p>
    <w:p>
      <w:pPr>
        <w:jc w:val="both"/>
        <w:ind w:right="60" w:firstLine="589"/>
        <w:spacing w:after="0" w:line="252"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Operations—Overview” and Note 1, “Introduction and Basis of Presentation—</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w:t>
      </w:r>
      <w:r>
        <w:rPr>
          <w:rFonts w:ascii="Arial" w:cs="Arial" w:eastAsia="Arial" w:hAnsi="Arial"/>
          <w:sz w:val="18"/>
          <w:szCs w:val="18"/>
          <w:i w:val="1"/>
          <w:iCs w:val="1"/>
          <w:color w:val="auto"/>
        </w:rPr>
        <w:t>Revenue Recognition</w:t>
      </w:r>
      <w:r>
        <w:rPr>
          <w:rFonts w:ascii="Arial" w:cs="Arial" w:eastAsia="Arial" w:hAnsi="Arial"/>
          <w:sz w:val="18"/>
          <w:szCs w:val="18"/>
          <w:color w:val="auto"/>
        </w:rPr>
        <w:t>,” of the Notes to the Consolidated Financial Statements included herein for information on how we generate revenue and our revenue recognition policy.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8" w:lineRule="exact"/>
        <w:rPr>
          <w:sz w:val="20"/>
          <w:szCs w:val="20"/>
          <w:color w:val="auto"/>
        </w:rPr>
      </w:pPr>
    </w:p>
    <w:p>
      <w:pPr>
        <w:ind w:right="60" w:firstLine="589"/>
        <w:spacing w:after="0" w:line="284" w:lineRule="auto"/>
        <w:rPr>
          <w:sz w:val="20"/>
          <w:szCs w:val="20"/>
          <w:color w:val="auto"/>
        </w:rPr>
      </w:pPr>
      <w:r>
        <w:rPr>
          <w:rFonts w:ascii="Arial" w:cs="Arial" w:eastAsia="Arial" w:hAnsi="Arial"/>
          <w:sz w:val="16"/>
          <w:szCs w:val="16"/>
          <w:color w:val="auto"/>
        </w:rPr>
        <w:t>For the year ended December 31, 2021, we had the following five operating segments: Index, Analytics, ESG and Climate, Real Estate and The Burgiss Group, LLC (“Burgiss”), which are presented as the following four reportable segments: Index, Analytics, ESG and Climate, and All Other – Private Assets. For reporting purposes, the Real Estate and Burgiss operating segments are combined and presented as All Other – Private Assets, as they did not meet the thresholds for separate presentation. The Burgiss operating segment represents the Company’s equity method investment in Burgiss. Financial results related to MSCI’s acquisition of RCA have been included prospectively as a component of the Real Estate operating segment and presented as a component of the All Other – Private Assets reportable segment, commencing as of September 13, 2021 (the date we completed the acquisition).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Index</w:t>
      </w:r>
    </w:p>
    <w:p>
      <w:pPr>
        <w:spacing w:after="0" w:line="161" w:lineRule="exact"/>
        <w:rPr>
          <w:sz w:val="20"/>
          <w:szCs w:val="20"/>
          <w:color w:val="auto"/>
        </w:rPr>
      </w:pPr>
    </w:p>
    <w:p>
      <w:pPr>
        <w:ind w:right="40" w:firstLine="589"/>
        <w:spacing w:after="0" w:line="249" w:lineRule="auto"/>
        <w:rPr>
          <w:sz w:val="20"/>
          <w:szCs w:val="20"/>
          <w:color w:val="auto"/>
        </w:rPr>
      </w:pPr>
      <w:r>
        <w:rPr>
          <w:rFonts w:ascii="Arial" w:cs="Arial" w:eastAsia="Arial" w:hAnsi="Arial"/>
          <w:sz w:val="18"/>
          <w:szCs w:val="18"/>
          <w:color w:val="auto"/>
        </w:rPr>
        <w:t>Clients use our indexes in many areas of the investment process, including for indexed product creation (</w:t>
      </w:r>
      <w:r>
        <w:rPr>
          <w:rFonts w:ascii="Arial" w:cs="Arial" w:eastAsia="Arial" w:hAnsi="Arial"/>
          <w:sz w:val="18"/>
          <w:szCs w:val="18"/>
          <w:i w:val="1"/>
          <w:iCs w:val="1"/>
          <w:color w:val="auto"/>
        </w:rPr>
        <w:t>e.g.</w:t>
      </w:r>
      <w:r>
        <w:rPr>
          <w:rFonts w:ascii="Arial" w:cs="Arial" w:eastAsia="Arial" w:hAnsi="Arial"/>
          <w:sz w:val="18"/>
          <w:szCs w:val="18"/>
          <w:color w:val="auto"/>
        </w:rPr>
        <w:t>, ETFs, mutual funds, annuities, futures, options, structured products, over-the-counter derivatives), performance benchmarking, portfolio construction and rebalancing, and asset allocation. We currently calculate more than 267,000</w:t>
      </w:r>
      <w:r>
        <w:rPr>
          <w:rFonts w:ascii="Arial" w:cs="Arial" w:eastAsia="Arial" w:hAnsi="Arial"/>
          <w:sz w:val="14"/>
          <w:szCs w:val="14"/>
          <w:color w:val="auto"/>
        </w:rPr>
        <w:t>2</w:t>
      </w:r>
      <w:r>
        <w:rPr>
          <w:rFonts w:ascii="Arial" w:cs="Arial" w:eastAsia="Arial" w:hAnsi="Arial"/>
          <w:sz w:val="18"/>
          <w:szCs w:val="18"/>
          <w:color w:val="auto"/>
        </w:rPr>
        <w:t xml:space="preserve"> end-of-day indexes daily and more than 15,000 indexes in real time. Clients receive index data directly from us or from third-party vendors worldwide.</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index product offerings include:</w:t>
      </w:r>
    </w:p>
    <w:p>
      <w:pPr>
        <w:spacing w:after="0" w:line="319" w:lineRule="exact"/>
        <w:rPr>
          <w:sz w:val="20"/>
          <w:szCs w:val="20"/>
          <w:color w:val="auto"/>
        </w:rPr>
      </w:pPr>
    </w:p>
    <w:p>
      <w:pPr>
        <w:ind w:left="1000" w:right="100" w:hanging="417"/>
        <w:spacing w:after="0" w:line="299"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MSCI Global Equity Indexes. </w:t>
      </w:r>
      <w:r>
        <w:rPr>
          <w:rFonts w:ascii="Arial" w:cs="Arial" w:eastAsia="Arial" w:hAnsi="Arial"/>
          <w:sz w:val="16"/>
          <w:szCs w:val="16"/>
          <w:color w:val="auto"/>
        </w:rPr>
        <w:t>MSCI Global Equity Indexes are designed to measure returns across a wide variety of equity markets, size</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sectors and industries. As of December 31, 2021, we calculated indexes that covered more than 80 developed, emerging, frontier and standalone equity markets, as well as various regional indexes built from the component indexes.</w:t>
      </w:r>
    </w:p>
    <w:p>
      <w:pPr>
        <w:spacing w:after="0" w:line="48" w:lineRule="exact"/>
        <w:rPr>
          <w:rFonts w:ascii="Arial" w:cs="Arial" w:eastAsia="Arial" w:hAnsi="Arial"/>
          <w:sz w:val="16"/>
          <w:szCs w:val="16"/>
          <w:color w:val="auto"/>
        </w:rPr>
      </w:pPr>
    </w:p>
    <w:p>
      <w:pPr>
        <w:ind w:left="1000" w:right="20" w:hanging="417"/>
        <w:spacing w:after="0" w:line="261"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ESG and Climate Indexes. </w:t>
      </w:r>
      <w:r>
        <w:rPr>
          <w:rFonts w:ascii="Arial" w:cs="Arial" w:eastAsia="Arial" w:hAnsi="Arial"/>
          <w:sz w:val="18"/>
          <w:szCs w:val="18"/>
          <w:color w:val="auto"/>
        </w:rPr>
        <w:t>ESG and Climate Indexes are constructed using data from our ESG and Climate segment to meet the growing demand</w:t>
      </w:r>
      <w:r>
        <w:rPr>
          <w:rFonts w:ascii="Arial" w:cs="Arial" w:eastAsia="Arial" w:hAnsi="Arial"/>
          <w:sz w:val="18"/>
          <w:szCs w:val="18"/>
          <w:i w:val="1"/>
          <w:iCs w:val="1"/>
          <w:color w:val="auto"/>
        </w:rPr>
        <w:t xml:space="preserve"> </w:t>
      </w:r>
      <w:r>
        <w:rPr>
          <w:rFonts w:ascii="Arial" w:cs="Arial" w:eastAsia="Arial" w:hAnsi="Arial"/>
          <w:sz w:val="18"/>
          <w:szCs w:val="18"/>
          <w:color w:val="auto"/>
        </w:rPr>
        <w:t>for indexes that integrate ESG and climate criteria to facilitate sustainable investing strategies.</w:t>
      </w:r>
    </w:p>
    <w:p>
      <w:pPr>
        <w:spacing w:after="0" w:line="75" w:lineRule="exact"/>
        <w:rPr>
          <w:rFonts w:ascii="Arial" w:cs="Arial" w:eastAsia="Arial" w:hAnsi="Arial"/>
          <w:sz w:val="18"/>
          <w:szCs w:val="18"/>
          <w:color w:val="auto"/>
        </w:rPr>
      </w:pPr>
    </w:p>
    <w:p>
      <w:pPr>
        <w:ind w:left="1000" w:right="60" w:hanging="417"/>
        <w:spacing w:after="0" w:line="252"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Factor Indexes. </w:t>
      </w:r>
      <w:r>
        <w:rPr>
          <w:rFonts w:ascii="Arial" w:cs="Arial" w:eastAsia="Arial" w:hAnsi="Arial"/>
          <w:sz w:val="18"/>
          <w:szCs w:val="18"/>
          <w:color w:val="auto"/>
        </w:rPr>
        <w:t>Factor Indexes seek to reflect the performance characteristics of a range of investment styles and strategies, such as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or value. These indexes include stocks that demonstrate high exposure to the target factor. In addition to single factor indexes, we offer multiple-factor indexes, which aim to support investors with diversified multi-factor strategies.</w:t>
      </w:r>
    </w:p>
    <w:p>
      <w:pPr>
        <w:spacing w:after="0" w:line="84" w:lineRule="exact"/>
        <w:rPr>
          <w:rFonts w:ascii="Arial" w:cs="Arial" w:eastAsia="Arial" w:hAnsi="Arial"/>
          <w:sz w:val="18"/>
          <w:szCs w:val="18"/>
          <w:color w:val="auto"/>
        </w:rPr>
      </w:pPr>
    </w:p>
    <w:p>
      <w:pPr>
        <w:ind w:left="1000" w:right="220" w:hanging="417"/>
        <w:spacing w:after="0" w:line="299"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Thematic Indexes. </w:t>
      </w:r>
      <w:r>
        <w:rPr>
          <w:rFonts w:ascii="Arial" w:cs="Arial" w:eastAsia="Arial" w:hAnsi="Arial"/>
          <w:sz w:val="16"/>
          <w:szCs w:val="16"/>
          <w:color w:val="auto"/>
        </w:rPr>
        <w:t>Thematic Indexes are designed to measure the performance of companies affected by shifts in macroeconomic, geopolitical</w:t>
      </w:r>
      <w:r>
        <w:rPr>
          <w:rFonts w:ascii="Arial" w:cs="Arial" w:eastAsia="Arial" w:hAnsi="Arial"/>
          <w:sz w:val="16"/>
          <w:szCs w:val="16"/>
          <w:i w:val="1"/>
          <w:iCs w:val="1"/>
          <w:color w:val="auto"/>
        </w:rPr>
        <w:t xml:space="preserve"> </w:t>
      </w:r>
      <w:r>
        <w:rPr>
          <w:rFonts w:ascii="Arial" w:cs="Arial" w:eastAsia="Arial" w:hAnsi="Arial"/>
          <w:sz w:val="16"/>
          <w:szCs w:val="16"/>
          <w:color w:val="auto"/>
        </w:rPr>
        <w:t>and technological trends. These indexes can target areas of interest under megatrend categories such as the environment, healthcare and lifestyle. Examples of our Thematic Indexes include digital economy, efficient energy, genomic innovation and smart cities.</w:t>
      </w:r>
    </w:p>
    <w:p>
      <w:pPr>
        <w:spacing w:after="0" w:line="48" w:lineRule="exact"/>
        <w:rPr>
          <w:rFonts w:ascii="Arial" w:cs="Arial" w:eastAsia="Arial" w:hAnsi="Arial"/>
          <w:sz w:val="16"/>
          <w:szCs w:val="16"/>
          <w:color w:val="auto"/>
        </w:rPr>
      </w:pPr>
    </w:p>
    <w:p>
      <w:pPr>
        <w:ind w:left="1000" w:right="200" w:hanging="417"/>
        <w:spacing w:after="0" w:line="324"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Custom Indexes. </w:t>
      </w:r>
      <w:r>
        <w:rPr>
          <w:rFonts w:ascii="Arial" w:cs="Arial" w:eastAsia="Arial" w:hAnsi="Arial"/>
          <w:sz w:val="16"/>
          <w:szCs w:val="16"/>
          <w:color w:val="auto"/>
        </w:rPr>
        <w:t>Custom Indexes are calculated by applying a client’s criteria such as stock exclusion lists, currency hedging rules, tax rates or</w:t>
      </w:r>
      <w:r>
        <w:rPr>
          <w:rFonts w:ascii="Arial" w:cs="Arial" w:eastAsia="Arial" w:hAnsi="Arial"/>
          <w:sz w:val="16"/>
          <w:szCs w:val="16"/>
          <w:i w:val="1"/>
          <w:iCs w:val="1"/>
          <w:color w:val="auto"/>
        </w:rPr>
        <w:t xml:space="preserve"> </w:t>
      </w:r>
      <w:r>
        <w:rPr>
          <w:rFonts w:ascii="Arial" w:cs="Arial" w:eastAsia="Arial" w:hAnsi="Arial"/>
          <w:sz w:val="16"/>
          <w:szCs w:val="16"/>
          <w:color w:val="auto"/>
        </w:rPr>
        <w:t>special weighting to an existing MSCI index. Investors with unique index requirements can build an index to meet their specific needs.</w:t>
      </w:r>
    </w:p>
    <w:p>
      <w:pPr>
        <w:spacing w:after="0" w:line="75" w:lineRule="exact"/>
        <w:rPr>
          <w:sz w:val="20"/>
          <w:szCs w:val="20"/>
          <w:color w:val="auto"/>
        </w:rPr>
      </w:pPr>
    </w:p>
    <w:p>
      <w:pPr>
        <w:ind w:left="120" w:hanging="115"/>
        <w:spacing w:after="0"/>
        <w:tabs>
          <w:tab w:leader="none" w:pos="12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number of indexes includes different return versions (</w:t>
      </w:r>
      <w:r>
        <w:rPr>
          <w:rFonts w:ascii="Arial" w:cs="Arial" w:eastAsia="Arial" w:hAnsi="Arial"/>
          <w:sz w:val="14"/>
          <w:szCs w:val="14"/>
          <w:i w:val="1"/>
          <w:iCs w:val="1"/>
          <w:color w:val="auto"/>
        </w:rPr>
        <w:t>e.g.</w:t>
      </w:r>
      <w:r>
        <w:rPr>
          <w:rFonts w:ascii="Arial" w:cs="Arial" w:eastAsia="Arial" w:hAnsi="Arial"/>
          <w:sz w:val="14"/>
          <w:szCs w:val="14"/>
          <w:color w:val="auto"/>
        </w:rPr>
        <w:t>, price, net and gross returns) but does not include different currency 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1427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7" w:name="page8"/>
    <w:bookmarkEnd w:id="7"/>
    <w:p>
      <w:pPr>
        <w:ind w:left="1000" w:right="200" w:hanging="417"/>
        <w:spacing w:after="0" w:line="324"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Fixed Income Indexes</w:t>
      </w:r>
      <w:r>
        <w:rPr>
          <w:rFonts w:ascii="Arial" w:cs="Arial" w:eastAsia="Arial" w:hAnsi="Arial"/>
          <w:sz w:val="16"/>
          <w:szCs w:val="16"/>
          <w:color w:val="auto"/>
        </w:rPr>
        <w:t>. Fixed Income Indexes include both investment grade and high-yield securities across a number of currencies that reflect</w:t>
      </w:r>
      <w:r>
        <w:rPr>
          <w:rFonts w:ascii="Arial" w:cs="Arial" w:eastAsia="Arial" w:hAnsi="Arial"/>
          <w:sz w:val="16"/>
          <w:szCs w:val="16"/>
          <w:i w:val="1"/>
          <w:iCs w:val="1"/>
          <w:color w:val="auto"/>
        </w:rPr>
        <w:t xml:space="preserve"> </w:t>
      </w:r>
      <w:r>
        <w:rPr>
          <w:rFonts w:ascii="Arial" w:cs="Arial" w:eastAsia="Arial" w:hAnsi="Arial"/>
          <w:sz w:val="16"/>
          <w:szCs w:val="16"/>
          <w:color w:val="auto"/>
        </w:rPr>
        <w:t>the performance of credit markets generally, or specific investment strategies, including climate-focused or factor strategies.</w:t>
      </w:r>
    </w:p>
    <w:p>
      <w:pPr>
        <w:spacing w:after="0" w:line="28" w:lineRule="exact"/>
        <w:rPr>
          <w:rFonts w:ascii="Arial" w:cs="Arial" w:eastAsia="Arial" w:hAnsi="Arial"/>
          <w:sz w:val="16"/>
          <w:szCs w:val="16"/>
          <w:color w:val="auto"/>
        </w:rPr>
      </w:pPr>
    </w:p>
    <w:p>
      <w:pPr>
        <w:ind w:left="1000" w:hanging="41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Real Estate Indexes</w:t>
      </w:r>
      <w:r>
        <w:rPr>
          <w:rFonts w:ascii="Arial" w:cs="Arial" w:eastAsia="Arial" w:hAnsi="Arial"/>
          <w:sz w:val="18"/>
          <w:szCs w:val="18"/>
          <w:color w:val="auto"/>
        </w:rPr>
        <w:t>. Real Estate Indexes provide transparency and insight to private real estate investment strategies.</w:t>
      </w:r>
    </w:p>
    <w:p>
      <w:pPr>
        <w:spacing w:after="0" w:line="25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2021, we launched a number of new indexes, including the following:</w:t>
      </w:r>
    </w:p>
    <w:p>
      <w:pPr>
        <w:spacing w:after="0" w:line="108" w:lineRule="exact"/>
        <w:rPr>
          <w:sz w:val="20"/>
          <w:szCs w:val="20"/>
          <w:color w:val="auto"/>
        </w:rPr>
      </w:pPr>
    </w:p>
    <w:p>
      <w:pPr>
        <w:ind w:left="1000" w:right="680" w:hanging="417"/>
        <w:spacing w:after="0" w:line="324"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MSCI China A 50 Connect Index</w:t>
      </w:r>
      <w:r>
        <w:rPr>
          <w:rFonts w:ascii="Arial" w:cs="Arial" w:eastAsia="Arial" w:hAnsi="Arial"/>
          <w:sz w:val="16"/>
          <w:szCs w:val="16"/>
          <w:color w:val="auto"/>
        </w:rPr>
        <w:t>. The MSCI China A 50 Connect Index is designed to reflect the performance of the 50 largest China A</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across all 11 Global Industry Classification Standard (GICS) sectors, with at least two securities included for each sector.</w:t>
      </w:r>
    </w:p>
    <w:p>
      <w:pPr>
        <w:spacing w:after="0" w:line="28" w:lineRule="exact"/>
        <w:rPr>
          <w:rFonts w:ascii="Arial" w:cs="Arial" w:eastAsia="Arial" w:hAnsi="Arial"/>
          <w:sz w:val="16"/>
          <w:szCs w:val="16"/>
          <w:color w:val="auto"/>
        </w:rPr>
      </w:pPr>
    </w:p>
    <w:p>
      <w:pPr>
        <w:ind w:left="1000" w:hanging="417"/>
        <w:spacing w:after="0" w:line="252"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MSCI Circular Economy Indexes. </w:t>
      </w:r>
      <w:r>
        <w:rPr>
          <w:rFonts w:ascii="Arial" w:cs="Arial" w:eastAsia="Arial" w:hAnsi="Arial"/>
          <w:sz w:val="18"/>
          <w:szCs w:val="18"/>
          <w:color w:val="auto"/>
        </w:rPr>
        <w:t>The new suite of MSCI Circular Economy Indexes aims to reflect the performance of companies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facilitating a circular economy to tackle global resource challenges, including across renewables and energy efficiency, the sharing economy, sustainable water transition, natural resource stewardship and plastics transition.</w:t>
      </w:r>
    </w:p>
    <w:p>
      <w:pPr>
        <w:spacing w:after="0" w:line="84" w:lineRule="exact"/>
        <w:rPr>
          <w:rFonts w:ascii="Arial" w:cs="Arial" w:eastAsia="Arial" w:hAnsi="Arial"/>
          <w:sz w:val="18"/>
          <w:szCs w:val="18"/>
          <w:color w:val="auto"/>
        </w:rPr>
      </w:pPr>
    </w:p>
    <w:p>
      <w:pPr>
        <w:ind w:left="1000" w:right="160" w:hanging="417"/>
        <w:spacing w:after="0" w:line="324"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MSCI Space Exploration Index. </w:t>
      </w:r>
      <w:r>
        <w:rPr>
          <w:rFonts w:ascii="Arial" w:cs="Arial" w:eastAsia="Arial" w:hAnsi="Arial"/>
          <w:sz w:val="16"/>
          <w:szCs w:val="16"/>
          <w:color w:val="auto"/>
        </w:rPr>
        <w:t>The MSCI Space Exploration Index aims to measure the performance of a set of companies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new products and services such as orbital and sub-orbital spaceflights, satellite communications and urban air mobility</w:t>
      </w:r>
      <w:r>
        <w:rPr>
          <w:rFonts w:ascii="Arial" w:cs="Arial" w:eastAsia="Arial" w:hAnsi="Arial"/>
          <w:sz w:val="16"/>
          <w:szCs w:val="16"/>
          <w:i w:val="1"/>
          <w:iCs w:val="1"/>
          <w:color w:val="auto"/>
        </w:rPr>
        <w:t>.</w:t>
      </w:r>
    </w:p>
    <w:p>
      <w:pPr>
        <w:spacing w:after="0" w:line="266"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 xml:space="preserve">Our Index segment also includes revenues from licenses of </w:t>
      </w:r>
      <w:r>
        <w:rPr>
          <w:rFonts w:ascii="Arial" w:cs="Arial" w:eastAsia="Arial" w:hAnsi="Arial"/>
          <w:sz w:val="16"/>
          <w:szCs w:val="16"/>
          <w:i w:val="1"/>
          <w:iCs w:val="1"/>
          <w:color w:val="auto"/>
        </w:rPr>
        <w:t>GICS and GICS Direct</w:t>
      </w:r>
      <w:r>
        <w:rPr>
          <w:rFonts w:ascii="Arial" w:cs="Arial" w:eastAsia="Arial" w:hAnsi="Arial"/>
          <w:sz w:val="16"/>
          <w:szCs w:val="16"/>
          <w:color w:val="auto"/>
        </w:rPr>
        <w:t xml:space="preserve">, the global industry classification standard jointly developed and maintained by MSCI and Standard &amp; Poor’s Financial Services, LLC, a subsidiary of S&amp;P Global Inc. This classification system was developed in response to investors’ need for a comprehensive and consistent framework for classifying companies into industries. GICS is widely accepted as an industry analysis framework for investment research, portfolio management and asset allocation. GICS Direct is a dataset comprised of active companies and securities classified by sector, industry group, industry and sub-industry in accordance with the proprietary GICS methodology. The </w:t>
      </w:r>
      <w:r>
        <w:rPr>
          <w:rFonts w:ascii="Arial" w:cs="Arial" w:eastAsia="Arial" w:hAnsi="Arial"/>
          <w:sz w:val="16"/>
          <w:szCs w:val="16"/>
          <w:i w:val="1"/>
          <w:iCs w:val="1"/>
          <w:color w:val="auto"/>
        </w:rPr>
        <w:t>MSCI Sector Indexes</w:t>
      </w:r>
      <w:r>
        <w:rPr>
          <w:rFonts w:ascii="Arial" w:cs="Arial" w:eastAsia="Arial" w:hAnsi="Arial"/>
          <w:sz w:val="16"/>
          <w:szCs w:val="16"/>
          <w:color w:val="auto"/>
        </w:rPr>
        <w:t xml:space="preserve"> are comprised of GICS sector, industry group, and industry indexes across countries and regions in Developed, Emerging and select Frontier markets.</w:t>
      </w:r>
    </w:p>
    <w:p>
      <w:pPr>
        <w:spacing w:after="0" w:line="205" w:lineRule="exact"/>
        <w:rPr>
          <w:sz w:val="20"/>
          <w:szCs w:val="20"/>
          <w:color w:val="auto"/>
        </w:rPr>
      </w:pPr>
    </w:p>
    <w:p>
      <w:pPr>
        <w:ind w:right="100" w:firstLine="589"/>
        <w:spacing w:after="0" w:line="286" w:lineRule="auto"/>
        <w:rPr>
          <w:sz w:val="20"/>
          <w:szCs w:val="20"/>
          <w:color w:val="auto"/>
        </w:rPr>
      </w:pPr>
      <w:r>
        <w:rPr>
          <w:rFonts w:ascii="Arial" w:cs="Arial" w:eastAsia="Arial" w:hAnsi="Arial"/>
          <w:sz w:val="16"/>
          <w:szCs w:val="16"/>
          <w:color w:val="auto"/>
        </w:rPr>
        <w:t>For the year ended December 31, 2021, 61.3% of our revenues were attributable to our Index segment. A majority of those revenues were attributable to annual, recurring subscriptions. A portion of our revenues comes from clients who use our indexes as the basis for indexed investment products. Such fees are primarily based on a client’s assets under management (“AUM”) or trading volumes and are referred to herein as asset-based fees. Since market movement and investment trends impact our asset-based fees, our revenues from asset-based fees are subject to volatility. For the year ended December 31, 2021, asset-based fees accounted for 44.3% of the total revenues for our Index segment.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w:t>
      </w:r>
    </w:p>
    <w:p>
      <w:pPr>
        <w:spacing w:after="0" w:line="122" w:lineRule="exact"/>
        <w:rPr>
          <w:sz w:val="20"/>
          <w:szCs w:val="20"/>
          <w:color w:val="auto"/>
        </w:rPr>
      </w:pPr>
    </w:p>
    <w:p>
      <w:pPr>
        <w:ind w:right="240" w:firstLine="589"/>
        <w:spacing w:after="0" w:line="299" w:lineRule="auto"/>
        <w:rPr>
          <w:sz w:val="20"/>
          <w:szCs w:val="20"/>
          <w:color w:val="auto"/>
        </w:rPr>
      </w:pPr>
      <w:r>
        <w:rPr>
          <w:rFonts w:ascii="Arial" w:cs="Arial" w:eastAsia="Arial" w:hAnsi="Arial"/>
          <w:sz w:val="16"/>
          <w:szCs w:val="16"/>
          <w:color w:val="auto"/>
        </w:rPr>
        <w:t>Our Analytics segment offers risk management, performance attribution and portfolio management content, applications and services that provide clients with an integrated view of risk and return and tools for analyzing market, credit, liquidity, counterparty and climate risk across all major asset classes, spanning short-, medium- and long-term time horizons. Our offerings also support clients’ various regulatory reporting needs.</w:t>
      </w:r>
    </w:p>
    <w:p>
      <w:pPr>
        <w:spacing w:after="0" w:line="180" w:lineRule="exact"/>
        <w:rPr>
          <w:sz w:val="20"/>
          <w:szCs w:val="20"/>
          <w:color w:val="auto"/>
        </w:rPr>
      </w:pPr>
    </w:p>
    <w:p>
      <w:pPr>
        <w:ind w:right="200" w:firstLine="589"/>
        <w:spacing w:after="0" w:line="286" w:lineRule="auto"/>
        <w:rPr>
          <w:sz w:val="20"/>
          <w:szCs w:val="20"/>
          <w:color w:val="auto"/>
        </w:rPr>
      </w:pPr>
      <w:r>
        <w:rPr>
          <w:rFonts w:ascii="Arial" w:cs="Arial" w:eastAsia="Arial" w:hAnsi="Arial"/>
          <w:sz w:val="16"/>
          <w:szCs w:val="16"/>
          <w:color w:val="auto"/>
        </w:rPr>
        <w:t>Our Analytics tools and capabilities include the following: models to support factor-based analytics (</w:t>
      </w:r>
      <w:r>
        <w:rPr>
          <w:rFonts w:ascii="Arial" w:cs="Arial" w:eastAsia="Arial" w:hAnsi="Arial"/>
          <w:sz w:val="16"/>
          <w:szCs w:val="16"/>
          <w:i w:val="1"/>
          <w:iCs w:val="1"/>
          <w:color w:val="auto"/>
        </w:rPr>
        <w:t>e.g.</w:t>
      </w:r>
      <w:r>
        <w:rPr>
          <w:rFonts w:ascii="Arial" w:cs="Arial" w:eastAsia="Arial" w:hAnsi="Arial"/>
          <w:sz w:val="16"/>
          <w:szCs w:val="16"/>
          <w:color w:val="auto"/>
        </w:rPr>
        <w:t xml:space="preserve">, </w:t>
      </w:r>
      <w:r>
        <w:rPr>
          <w:rFonts w:ascii="Arial" w:cs="Arial" w:eastAsia="Arial" w:hAnsi="Arial"/>
          <w:sz w:val="16"/>
          <w:szCs w:val="16"/>
          <w:i w:val="1"/>
          <w:iCs w:val="1"/>
          <w:color w:val="auto"/>
        </w:rPr>
        <w:t>Barra</w:t>
      </w:r>
      <w:r>
        <w:rPr>
          <w:rFonts w:ascii="Arial" w:cs="Arial" w:eastAsia="Arial" w:hAnsi="Arial"/>
          <w:sz w:val="16"/>
          <w:szCs w:val="16"/>
          <w:color w:val="auto"/>
        </w:rPr>
        <w:t xml:space="preserve"> equity models and fixed income and multi-asset class (“MAC”) models), pricing models and single security analytics, time series-based analytics, stress testing, performance attribution, portfolio optimization and liquidity risk analytics, as well as underlying inputs such as interest rate and credit curves. We continue to develop new and improved tools and capabilities in response to the evolving needs of our clients. In addition, our analytics capabilities are helping to fuel growth in key areas across our business, such as our factor indexes and many of our climate risk and reporting offerings.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 w:name="page9"/>
    <w:bookmarkEnd w:id="8"/>
    <w:p>
      <w:pPr>
        <w:ind w:firstLine="589"/>
        <w:spacing w:after="0" w:line="290" w:lineRule="auto"/>
        <w:rPr>
          <w:sz w:val="20"/>
          <w:szCs w:val="20"/>
          <w:color w:val="auto"/>
        </w:rPr>
      </w:pPr>
      <w:r>
        <w:rPr>
          <w:rFonts w:ascii="Arial" w:cs="Arial" w:eastAsia="Arial" w:hAnsi="Arial"/>
          <w:sz w:val="16"/>
          <w:szCs w:val="16"/>
          <w:color w:val="auto"/>
        </w:rPr>
        <w:t>Our clients access our Analytics tools and content through our proprietary applications and application programming interfaces (“APIs”), third-party applications or directly through their own platforms. Our Analytics solutions provide clients with tools to construct and manage portfolios, including integrated market data from multiple third parties as well as content from MSCI’s other segments, which significantly reduces the operational burden on clients to independently source this information and populate it in our Analytics products. Our key Analytics products include:</w:t>
      </w:r>
    </w:p>
    <w:p>
      <w:pPr>
        <w:spacing w:after="0" w:line="70" w:lineRule="exact"/>
        <w:rPr>
          <w:sz w:val="20"/>
          <w:szCs w:val="20"/>
          <w:color w:val="auto"/>
        </w:rPr>
      </w:pPr>
    </w:p>
    <w:p>
      <w:pPr>
        <w:ind w:left="1000" w:right="60" w:hanging="417"/>
        <w:spacing w:after="0" w:line="24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RiskMetrics RiskManager</w:t>
      </w:r>
      <w:r>
        <w:rPr>
          <w:rFonts w:ascii="Arial" w:cs="Arial" w:eastAsia="Arial" w:hAnsi="Arial"/>
          <w:sz w:val="18"/>
          <w:szCs w:val="18"/>
          <w:color w:val="auto"/>
        </w:rPr>
        <w:t>. RiskMetrics RiskManager provides risk analytics across a broad range of publicly traded instruments and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Clients use RiskManager for daily analysis, including: Value-at-Risk (“VaR”) simulation; measuring and monitoring market and liquidity risk at position, fund and firm levels; sensitivity analysis and stress testing; interactive what-if analysis; counterparty credit exposure; and regulatory risk reporting.</w:t>
      </w:r>
    </w:p>
    <w:p>
      <w:pPr>
        <w:spacing w:after="0" w:line="100" w:lineRule="exact"/>
        <w:rPr>
          <w:rFonts w:ascii="Arial" w:cs="Arial" w:eastAsia="Arial" w:hAnsi="Arial"/>
          <w:sz w:val="18"/>
          <w:szCs w:val="18"/>
          <w:color w:val="auto"/>
        </w:rPr>
      </w:pPr>
    </w:p>
    <w:p>
      <w:pPr>
        <w:ind w:left="1000" w:right="280" w:hanging="417"/>
        <w:spacing w:after="0" w:line="26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BarraOne. </w:t>
      </w:r>
      <w:r>
        <w:rPr>
          <w:rFonts w:ascii="Arial" w:cs="Arial" w:eastAsia="Arial" w:hAnsi="Arial"/>
          <w:sz w:val="18"/>
          <w:szCs w:val="18"/>
          <w:color w:val="auto"/>
        </w:rPr>
        <w:t>Powered by our MAC Barra factor model, BarraOne provides clients with MAC risk and performance analytics. BarraOne allows</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to build equity, fixed income, and MAC portfolios with specific risk, ESG and climate exposures.</w:t>
      </w:r>
    </w:p>
    <w:p>
      <w:pPr>
        <w:spacing w:after="0" w:line="88" w:lineRule="exact"/>
        <w:rPr>
          <w:rFonts w:ascii="Arial" w:cs="Arial" w:eastAsia="Arial" w:hAnsi="Arial"/>
          <w:sz w:val="18"/>
          <w:szCs w:val="18"/>
          <w:color w:val="auto"/>
        </w:rPr>
      </w:pPr>
    </w:p>
    <w:p>
      <w:pPr>
        <w:ind w:left="1000" w:hanging="417"/>
        <w:spacing w:after="0" w:line="24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Barra Portfolio Manager. </w:t>
      </w:r>
      <w:r>
        <w:rPr>
          <w:rFonts w:ascii="Arial" w:cs="Arial" w:eastAsia="Arial" w:hAnsi="Arial"/>
          <w:sz w:val="18"/>
          <w:szCs w:val="18"/>
          <w:color w:val="auto"/>
        </w:rPr>
        <w:t>Barra Portfolio Manager is an integrated risk, performance and portfolio-construction interactive platform with a</w:t>
      </w:r>
      <w:r>
        <w:rPr>
          <w:rFonts w:ascii="Arial" w:cs="Arial" w:eastAsia="Arial" w:hAnsi="Arial"/>
          <w:sz w:val="18"/>
          <w:szCs w:val="18"/>
          <w:i w:val="1"/>
          <w:iCs w:val="1"/>
          <w:color w:val="auto"/>
        </w:rPr>
        <w:t xml:space="preserve"> </w:t>
      </w:r>
      <w:r>
        <w:rPr>
          <w:rFonts w:ascii="Arial" w:cs="Arial" w:eastAsia="Arial" w:hAnsi="Arial"/>
          <w:sz w:val="18"/>
          <w:szCs w:val="18"/>
          <w:color w:val="auto"/>
        </w:rPr>
        <w:t>flexible user interface that enables our clients to design investment strategies and build portfolios, and to share analytics and reports across their organizations. It is used by equity fund managers and their teams to gain additional portfolio insight and manage their investment processes more systematically.</w:t>
      </w:r>
    </w:p>
    <w:p>
      <w:pPr>
        <w:spacing w:after="0" w:line="100" w:lineRule="exact"/>
        <w:rPr>
          <w:rFonts w:ascii="Arial" w:cs="Arial" w:eastAsia="Arial" w:hAnsi="Arial"/>
          <w:sz w:val="18"/>
          <w:szCs w:val="18"/>
          <w:color w:val="auto"/>
        </w:rPr>
      </w:pPr>
    </w:p>
    <w:p>
      <w:pPr>
        <w:ind w:left="1000" w:right="160" w:hanging="417"/>
        <w:spacing w:after="0" w:line="290"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RiskMetrics WealthBench and RiskMetrics CreditManager</w:t>
      </w:r>
      <w:r>
        <w:rPr>
          <w:rFonts w:ascii="Arial" w:cs="Arial" w:eastAsia="Arial" w:hAnsi="Arial"/>
          <w:sz w:val="16"/>
          <w:szCs w:val="16"/>
          <w:color w:val="auto"/>
        </w:rPr>
        <w:t>. RiskMetrics WealthBench is a web-based platform used by private banks,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advisers, brokerages and trust companies to help wealth managers assess portfolio risk, construct asset allocation policies and create comprehensive client proposals. RiskMetrics CreditManager is a portfolio credit risk management system used primarily by banks to quantify portfolio credit risk by capturing market exposure, rating changes and default risk.</w:t>
      </w:r>
    </w:p>
    <w:p>
      <w:pPr>
        <w:spacing w:after="0" w:line="162" w:lineRule="exact"/>
        <w:rPr>
          <w:rFonts w:ascii="Arial" w:cs="Arial" w:eastAsia="Arial" w:hAnsi="Arial"/>
          <w:sz w:val="16"/>
          <w:szCs w:val="16"/>
          <w:color w:val="auto"/>
        </w:rPr>
      </w:pPr>
    </w:p>
    <w:p>
      <w:pPr>
        <w:ind w:left="1000" w:right="100" w:hanging="417"/>
        <w:spacing w:after="0" w:line="290"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Climate Lab Enterprise</w:t>
      </w:r>
      <w:r>
        <w:rPr>
          <w:rFonts w:ascii="Arial" w:cs="Arial" w:eastAsia="Arial" w:hAnsi="Arial"/>
          <w:sz w:val="16"/>
          <w:szCs w:val="16"/>
          <w:color w:val="auto"/>
        </w:rPr>
        <w:t>. Powered by MSCI’s climate data integrated with MSCI’s enterprise analytics infrastructure, Climate Lab Enterprise</w:t>
      </w:r>
      <w:r>
        <w:rPr>
          <w:rFonts w:ascii="Arial" w:cs="Arial" w:eastAsia="Arial" w:hAnsi="Arial"/>
          <w:sz w:val="16"/>
          <w:szCs w:val="16"/>
          <w:i w:val="1"/>
          <w:iCs w:val="1"/>
          <w:color w:val="auto"/>
        </w:rPr>
        <w:t xml:space="preserve"> </w:t>
      </w:r>
      <w:r>
        <w:rPr>
          <w:rFonts w:ascii="Arial" w:cs="Arial" w:eastAsia="Arial" w:hAnsi="Arial"/>
          <w:sz w:val="16"/>
          <w:szCs w:val="16"/>
          <w:color w:val="auto"/>
        </w:rPr>
        <w:t>enables our clients to measure, manage and monitor net-zero commitments and climate exposure and risks. Climate Lab Enterprise is able to aggregate climate data across multiple portfolios and asset classes, providing clients the ability to understand alignment with their climate goals from the enterprise level down through portfolios to individual positions and issuers.</w:t>
      </w:r>
    </w:p>
    <w:p>
      <w:pPr>
        <w:spacing w:after="0" w:line="281"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Our Analytics segment also provides various managed services to help clients operate more efficiently, including consolidation of client portfolio data from various sources, review and reconciliation of input data and results, and customized reporting. In addition, our RiskMetrics HedgePlatform service allows clients such as funds of funds, pension funds and endowments who invest in hedge funds to measure, evaluate and monitor the risk of their hedge fund investments across multiple hedge fund strategies.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2021, 26.6% of our revenues were attributable to our Analytics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ESG and Climate</w:t>
      </w:r>
    </w:p>
    <w:p>
      <w:pPr>
        <w:spacing w:after="0" w:line="121" w:lineRule="exact"/>
        <w:rPr>
          <w:sz w:val="20"/>
          <w:szCs w:val="20"/>
          <w:color w:val="auto"/>
        </w:rPr>
      </w:pPr>
    </w:p>
    <w:p>
      <w:pPr>
        <w:ind w:right="160" w:firstLine="589"/>
        <w:spacing w:after="0" w:line="299" w:lineRule="auto"/>
        <w:rPr>
          <w:sz w:val="20"/>
          <w:szCs w:val="20"/>
          <w:color w:val="auto"/>
        </w:rPr>
      </w:pPr>
      <w:r>
        <w:rPr>
          <w:rFonts w:ascii="Arial" w:cs="Arial" w:eastAsia="Arial" w:hAnsi="Arial"/>
          <w:sz w:val="16"/>
          <w:szCs w:val="16"/>
          <w:color w:val="auto"/>
        </w:rPr>
        <w:t>The ESG and Climate segment</w:t>
      </w:r>
      <w:r>
        <w:rPr>
          <w:rFonts w:ascii="Arial" w:cs="Arial" w:eastAsia="Arial" w:hAnsi="Arial"/>
          <w:sz w:val="13"/>
          <w:szCs w:val="13"/>
          <w:color w:val="auto"/>
        </w:rPr>
        <w:t>3</w:t>
      </w:r>
      <w:r>
        <w:rPr>
          <w:rFonts w:ascii="Arial" w:cs="Arial" w:eastAsia="Arial" w:hAnsi="Arial"/>
          <w:sz w:val="16"/>
          <w:szCs w:val="16"/>
          <w:color w:val="auto"/>
        </w:rPr>
        <w:t xml:space="preserve"> offers products and services that help institutional investors understand how ESG and climate considerations can impact the long-term risk and return of their portfolio and individual security-level investments. We provide data, ratings, research and tools to help investors navigate increasing regulation, meet new client demands and better integrate ESG and climate elements into their investment processes.</w:t>
      </w:r>
    </w:p>
    <w:p>
      <w:pPr>
        <w:spacing w:after="0" w:line="306" w:lineRule="exact"/>
        <w:rPr>
          <w:sz w:val="20"/>
          <w:szCs w:val="20"/>
          <w:color w:val="auto"/>
        </w:rPr>
      </w:pPr>
    </w:p>
    <w:p>
      <w:pPr>
        <w:ind w:left="120" w:right="40" w:hanging="115"/>
        <w:spacing w:after="0" w:line="232" w:lineRule="auto"/>
        <w:tabs>
          <w:tab w:leader="none" w:pos="120" w:val="left"/>
        </w:tabs>
        <w:numPr>
          <w:ilvl w:val="0"/>
          <w:numId w:val="13"/>
        </w:numPr>
        <w:rPr>
          <w:rFonts w:ascii="Arial" w:cs="Arial" w:eastAsia="Arial" w:hAnsi="Arial"/>
          <w:sz w:val="12"/>
          <w:szCs w:val="12"/>
          <w:color w:val="auto"/>
        </w:rPr>
      </w:pPr>
      <w:r>
        <w:rPr>
          <w:rFonts w:ascii="Arial" w:cs="Arial" w:eastAsia="Arial" w:hAnsi="Arial"/>
          <w:sz w:val="14"/>
          <w:szCs w:val="14"/>
          <w:color w:val="auto"/>
        </w:rPr>
        <w:t>Products and services in our ESG and Climate segment are provided by MSCI ESG Research LLC, a wholly owned subsidiary of MSCI Inc. that is registered with the U.S. Securities and Exchange Commission (SEC) as an Investment Adviser under the Investment Advisers Act of 1940. MSCI ESG Ratings are used as an input in the construction and calculation of MSCI ESG indexes, which are not subject to our SEC registration. MSCI indexes are products of MSCI Inc., and MSCI Limited is the benchmark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1427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9" w:name="page10"/>
    <w:bookmarkEnd w:id="9"/>
    <w:p>
      <w:pPr>
        <w:ind w:firstLine="589"/>
        <w:spacing w:after="0" w:line="253" w:lineRule="auto"/>
        <w:rPr>
          <w:sz w:val="20"/>
          <w:szCs w:val="20"/>
          <w:color w:val="auto"/>
        </w:rPr>
      </w:pPr>
      <w:r>
        <w:rPr>
          <w:rFonts w:ascii="Arial" w:cs="Arial" w:eastAsia="Arial" w:hAnsi="Arial"/>
          <w:sz w:val="18"/>
          <w:szCs w:val="18"/>
          <w:color w:val="auto"/>
        </w:rPr>
        <w:t>Our ESG and Climate research team analyzes over 9,800</w:t>
      </w:r>
      <w:r>
        <w:rPr>
          <w:rFonts w:ascii="Arial" w:cs="Arial" w:eastAsia="Arial" w:hAnsi="Arial"/>
          <w:sz w:val="14"/>
          <w:szCs w:val="14"/>
          <w:color w:val="auto"/>
        </w:rPr>
        <w:t>4</w:t>
      </w:r>
      <w:r>
        <w:rPr>
          <w:rFonts w:ascii="Arial" w:cs="Arial" w:eastAsia="Arial" w:hAnsi="Arial"/>
          <w:sz w:val="18"/>
          <w:szCs w:val="18"/>
          <w:color w:val="auto"/>
        </w:rPr>
        <w:t xml:space="preserve"> entities worldwide, and we will continue to expand and deepen our coverage to help investors and others in their asset allocation, portfolio construction and risk management processes. Clients include global asset managers, leading asset owners, consultants, advisers, corporates and academics.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ESG and Climate offerings include:</w:t>
      </w:r>
    </w:p>
    <w:p>
      <w:pPr>
        <w:spacing w:after="0" w:line="122" w:lineRule="exact"/>
        <w:rPr>
          <w:sz w:val="20"/>
          <w:szCs w:val="20"/>
          <w:color w:val="auto"/>
        </w:rPr>
      </w:pPr>
    </w:p>
    <w:p>
      <w:pPr>
        <w:ind w:left="1000" w:right="40" w:hanging="417"/>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MSCI ESG Ratings</w:t>
      </w:r>
      <w:r>
        <w:rPr>
          <w:rFonts w:ascii="Arial" w:cs="Arial" w:eastAsia="Arial" w:hAnsi="Arial"/>
          <w:sz w:val="18"/>
          <w:szCs w:val="18"/>
          <w:color w:val="auto"/>
        </w:rPr>
        <w:t>. Our ESG ratings aim to measure a company’s resilience to long-term ESG risks. Companies are scored on an industry-relative scale across the most relevant key ESG issues based on a company's business model. MSCI ESG ratings include ratings of equity issuers and fixed income securities. The MSCI ESG Industry Materiality Map is a public tool that explores the key ESG issues by GICS sub-industry or sector and their contribution to companies’ overall ESG ratings. Ratings are designed to identify and analyze ESG issues, including exposures (</w:t>
      </w:r>
      <w:r>
        <w:rPr>
          <w:rFonts w:ascii="Arial" w:cs="Arial" w:eastAsia="Arial" w:hAnsi="Arial"/>
          <w:sz w:val="18"/>
          <w:szCs w:val="18"/>
          <w:i w:val="1"/>
          <w:iCs w:val="1"/>
          <w:color w:val="auto"/>
        </w:rPr>
        <w:t>e.g.</w:t>
      </w:r>
      <w:r>
        <w:rPr>
          <w:rFonts w:ascii="Arial" w:cs="Arial" w:eastAsia="Arial" w:hAnsi="Arial"/>
          <w:sz w:val="18"/>
          <w:szCs w:val="18"/>
          <w:color w:val="auto"/>
        </w:rPr>
        <w:t>, business segment and geographic risk), management and industry-specific measures that may include the intersection of a company’s major social and environmental impacts with its core business operations, thereby identifying potential risks and opportunities for the company and its investors.</w:t>
      </w:r>
    </w:p>
    <w:p>
      <w:pPr>
        <w:spacing w:after="0" w:line="105" w:lineRule="exact"/>
        <w:rPr>
          <w:rFonts w:ascii="Arial" w:cs="Arial" w:eastAsia="Arial" w:hAnsi="Arial"/>
          <w:sz w:val="18"/>
          <w:szCs w:val="18"/>
          <w:color w:val="auto"/>
        </w:rPr>
      </w:pPr>
    </w:p>
    <w:p>
      <w:pPr>
        <w:ind w:left="1000" w:right="140" w:hanging="417"/>
        <w:spacing w:after="0" w:line="290"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MSCI ESG Business Involvement Screening Research</w:t>
      </w:r>
      <w:r>
        <w:rPr>
          <w:rFonts w:ascii="Arial" w:cs="Arial" w:eastAsia="Arial" w:hAnsi="Arial"/>
          <w:sz w:val="16"/>
          <w:szCs w:val="16"/>
          <w:color w:val="auto"/>
        </w:rPr>
        <w:t>. MSCI ESG Business Involvement Screening Research is a screening service that enables</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institutional investors to manage ESG standards and restrictions reliably and efficiently. Asset managers, investment advisers and asset owners can access screening research through the online MSCI ESG Manager platform or a data feed to support alignment with their investment guidelines, implement client mandates or manage potential ESG portfolio risks.</w:t>
      </w:r>
    </w:p>
    <w:p>
      <w:pPr>
        <w:spacing w:after="0" w:line="162" w:lineRule="exact"/>
        <w:rPr>
          <w:rFonts w:ascii="Arial" w:cs="Arial" w:eastAsia="Arial" w:hAnsi="Arial"/>
          <w:sz w:val="16"/>
          <w:szCs w:val="16"/>
          <w:color w:val="auto"/>
        </w:rPr>
      </w:pPr>
    </w:p>
    <w:p>
      <w:pPr>
        <w:ind w:left="1000" w:right="340" w:hanging="417"/>
        <w:spacing w:after="0" w:line="286"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MSCI Climate Solutions</w:t>
      </w:r>
      <w:r>
        <w:rPr>
          <w:rFonts w:ascii="Arial" w:cs="Arial" w:eastAsia="Arial" w:hAnsi="Arial"/>
          <w:sz w:val="16"/>
          <w:szCs w:val="16"/>
          <w:color w:val="auto"/>
        </w:rPr>
        <w:t>. With MSCI’s Climate Solutions, investors and issuers utilize our climate data and tools to support their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 making. These activities can include measuring and reporting on climate risk exposure, implementing low carbon fossil-fuel-free strategies, factoring climate change research into risk management processes and engaging companies and external stakeholders. In 2021, we launched our Climate Lab Enterprise analytics product, which provides a comprehensive view of climate risk across enterprises, strategies, portfolios and companies (see “—Analytics” above).</w:t>
      </w:r>
    </w:p>
    <w:p>
      <w:pPr>
        <w:spacing w:after="0" w:line="166" w:lineRule="exact"/>
        <w:rPr>
          <w:sz w:val="20"/>
          <w:szCs w:val="20"/>
          <w:color w:val="auto"/>
        </w:rPr>
      </w:pPr>
    </w:p>
    <w:p>
      <w:pPr>
        <w:ind w:right="40" w:firstLine="540"/>
        <w:spacing w:after="0" w:line="327" w:lineRule="auto"/>
        <w:rPr>
          <w:sz w:val="20"/>
          <w:szCs w:val="20"/>
          <w:color w:val="auto"/>
        </w:rPr>
      </w:pPr>
      <w:r>
        <w:rPr>
          <w:rFonts w:ascii="Arial" w:cs="Arial" w:eastAsia="Arial" w:hAnsi="Arial"/>
          <w:sz w:val="15"/>
          <w:szCs w:val="15"/>
          <w:color w:val="auto"/>
        </w:rPr>
        <w:t>MSCI ESG ratings and certain other ESG and climate data provided to our clients are also made available to, and used in, our other operating segments, such as in the construction of MSCI ESG and climate equity and fixed income indexes. These Index products are designed to help institutional investors more effectively benchmark ESG investment performance, issue indexed investment products, as well as manage, measure and report on ESG mandates.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a description of regulation applicable to MSCI ESG Research LLC, see “—Government Regulation” below.</w:t>
      </w:r>
    </w:p>
    <w:p>
      <w:pPr>
        <w:spacing w:after="0" w:line="25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2021, 8.1% of our revenues were attributable to our ESG and Climate segment.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 Private Assets</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reporting purposes, our Real Estate and Burgiss operating segments are combined and presented as All Other – Private Assets.</w:t>
      </w:r>
    </w:p>
    <w:p>
      <w:pPr>
        <w:spacing w:after="0" w:line="214" w:lineRule="exact"/>
        <w:rPr>
          <w:sz w:val="20"/>
          <w:szCs w:val="20"/>
          <w:color w:val="auto"/>
        </w:rPr>
      </w:pPr>
    </w:p>
    <w:p>
      <w:pPr>
        <w:ind w:right="180" w:firstLine="589"/>
        <w:spacing w:after="0" w:line="249" w:lineRule="auto"/>
        <w:rPr>
          <w:sz w:val="20"/>
          <w:szCs w:val="20"/>
          <w:color w:val="auto"/>
        </w:rPr>
      </w:pPr>
      <w:r>
        <w:rPr>
          <w:rFonts w:ascii="Arial" w:cs="Arial" w:eastAsia="Arial" w:hAnsi="Arial"/>
          <w:sz w:val="18"/>
          <w:szCs w:val="18"/>
          <w:color w:val="auto"/>
        </w:rPr>
        <w:t>Our Real Estate offerings include real estate market and transaction data, benchmarks, return-analytics, climate assessments and market insights for funds, investors, managers and other real estate market participants. In September 2021, we completed our acquisition of RCA to meaningfully accelerate our Private Asset strategy. RCA’s rich transaction and pricing data enhances our offering to clients and allows us to integrate this information in other MSCI products including indexes, climate risk models and other MSCI solutions.</w:t>
      </w:r>
    </w:p>
    <w:p>
      <w:pPr>
        <w:spacing w:after="0" w:line="192" w:lineRule="exact"/>
        <w:rPr>
          <w:sz w:val="20"/>
          <w:szCs w:val="20"/>
          <w:color w:val="auto"/>
        </w:rPr>
      </w:pPr>
    </w:p>
    <w:p>
      <w:pPr>
        <w:ind w:right="200" w:firstLine="589"/>
        <w:spacing w:after="0" w:line="252" w:lineRule="auto"/>
        <w:rPr>
          <w:sz w:val="20"/>
          <w:szCs w:val="20"/>
          <w:color w:val="auto"/>
        </w:rPr>
      </w:pPr>
      <w:r>
        <w:rPr>
          <w:rFonts w:ascii="Arial" w:cs="Arial" w:eastAsia="Arial" w:hAnsi="Arial"/>
          <w:sz w:val="18"/>
          <w:szCs w:val="18"/>
          <w:color w:val="auto"/>
        </w:rPr>
        <w:t>Our Real Estate performance and risk analytics range from enterprise-wide to property-specific analytics. We also provide business intelligence products to real estate owners, managers, developers and brokers worldwide. Some of the risk analytics generated as part of our Real Estate offerings are also used in the products offered by our other operating segments.</w:t>
      </w:r>
    </w:p>
    <w:p>
      <w:pPr>
        <w:spacing w:after="0" w:line="341" w:lineRule="exact"/>
        <w:rPr>
          <w:sz w:val="20"/>
          <w:szCs w:val="20"/>
          <w:color w:val="auto"/>
        </w:rPr>
      </w:pPr>
    </w:p>
    <w:p>
      <w:pPr>
        <w:ind w:left="120" w:hanging="115"/>
        <w:spacing w:after="0"/>
        <w:tabs>
          <w:tab w:leader="none" w:pos="120" w:val="left"/>
        </w:tabs>
        <w:numPr>
          <w:ilvl w:val="0"/>
          <w:numId w:val="15"/>
        </w:numPr>
        <w:rPr>
          <w:rFonts w:ascii="Arial" w:cs="Arial" w:eastAsia="Arial" w:hAnsi="Arial"/>
          <w:sz w:val="12"/>
          <w:szCs w:val="12"/>
          <w:color w:val="auto"/>
        </w:rPr>
      </w:pPr>
      <w:r>
        <w:rPr>
          <w:rFonts w:ascii="Arial" w:cs="Arial" w:eastAsia="Arial" w:hAnsi="Arial"/>
          <w:sz w:val="14"/>
          <w:szCs w:val="14"/>
          <w:color w:val="auto"/>
        </w:rPr>
        <w:t>Does not include subsidiary-level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14274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0" w:name="page11"/>
    <w:bookmarkEnd w:id="10"/>
    <w:p>
      <w:pPr>
        <w:ind w:left="600"/>
        <w:spacing w:after="0"/>
        <w:rPr>
          <w:sz w:val="20"/>
          <w:szCs w:val="20"/>
          <w:color w:val="auto"/>
        </w:rPr>
      </w:pPr>
      <w:r>
        <w:rPr>
          <w:rFonts w:ascii="Arial" w:cs="Arial" w:eastAsia="Arial" w:hAnsi="Arial"/>
          <w:sz w:val="18"/>
          <w:szCs w:val="18"/>
          <w:color w:val="auto"/>
        </w:rPr>
        <w:t>Our Real Estate offerings include:</w:t>
      </w:r>
    </w:p>
    <w:p>
      <w:pPr>
        <w:spacing w:after="0" w:line="332" w:lineRule="exact"/>
        <w:rPr>
          <w:sz w:val="20"/>
          <w:szCs w:val="20"/>
          <w:color w:val="auto"/>
        </w:rPr>
      </w:pPr>
    </w:p>
    <w:p>
      <w:pPr>
        <w:ind w:left="1000" w:right="80" w:hanging="417"/>
        <w:spacing w:after="0" w:line="24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MSCI Global Intel. </w:t>
      </w:r>
      <w:r>
        <w:rPr>
          <w:rFonts w:ascii="Arial" w:cs="Arial" w:eastAsia="Arial" w:hAnsi="Arial"/>
          <w:sz w:val="18"/>
          <w:szCs w:val="18"/>
          <w:color w:val="auto"/>
        </w:rPr>
        <w:t>Our Global Intel offering is an industry-leading private real estate database that is used by institutional investors,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managers, banks, custodians and investment consultants to drive allocation decisions, research and strategy developments, and portfolio and risk management. This tool comprises a consolidated set of global, regional, national, city and submarket indexes with segmentation by property type.</w:t>
      </w:r>
    </w:p>
    <w:p>
      <w:pPr>
        <w:spacing w:after="0" w:line="100" w:lineRule="exact"/>
        <w:rPr>
          <w:rFonts w:ascii="Arial" w:cs="Arial" w:eastAsia="Arial" w:hAnsi="Arial"/>
          <w:sz w:val="18"/>
          <w:szCs w:val="18"/>
          <w:color w:val="auto"/>
        </w:rPr>
      </w:pPr>
    </w:p>
    <w:p>
      <w:pPr>
        <w:ind w:left="1000" w:right="360" w:hanging="417"/>
        <w:spacing w:after="0" w:line="327" w:lineRule="auto"/>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MSCI Real Estate Enterprise Analytics. </w:t>
      </w:r>
      <w:r>
        <w:rPr>
          <w:rFonts w:ascii="Arial" w:cs="Arial" w:eastAsia="Arial" w:hAnsi="Arial"/>
          <w:sz w:val="15"/>
          <w:szCs w:val="15"/>
          <w:color w:val="auto"/>
        </w:rPr>
        <w:t>Our Real Estate Enterprise Analytics application offers an interactive, integrated view to private real</w:t>
      </w:r>
      <w:r>
        <w:rPr>
          <w:rFonts w:ascii="Arial" w:cs="Arial" w:eastAsia="Arial" w:hAnsi="Arial"/>
          <w:sz w:val="15"/>
          <w:szCs w:val="15"/>
          <w:i w:val="1"/>
          <w:iCs w:val="1"/>
          <w:color w:val="auto"/>
        </w:rPr>
        <w:t xml:space="preserve"> </w:t>
      </w:r>
      <w:r>
        <w:rPr>
          <w:rFonts w:ascii="Arial" w:cs="Arial" w:eastAsia="Arial" w:hAnsi="Arial"/>
          <w:sz w:val="15"/>
          <w:szCs w:val="15"/>
          <w:color w:val="auto"/>
        </w:rPr>
        <w:t>estate investors and managers, providing them with the ability to evaluate and analyze the drivers of portfolio performance across an organization’s investments, as well as review exposures and concentrations across markets, asset types and increasingly diverse portfolios.</w:t>
      </w:r>
    </w:p>
    <w:p>
      <w:pPr>
        <w:spacing w:after="0" w:line="136" w:lineRule="exact"/>
        <w:rPr>
          <w:rFonts w:ascii="Arial" w:cs="Arial" w:eastAsia="Arial" w:hAnsi="Arial"/>
          <w:sz w:val="15"/>
          <w:szCs w:val="15"/>
          <w:color w:val="auto"/>
        </w:rPr>
      </w:pPr>
    </w:p>
    <w:p>
      <w:pPr>
        <w:ind w:left="1000" w:right="260" w:hanging="417"/>
        <w:spacing w:after="0" w:line="24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MSCI Real Estate Climate Value-at-Risk (“RE Climate VaR”). </w:t>
      </w:r>
      <w:r>
        <w:rPr>
          <w:rFonts w:ascii="Arial" w:cs="Arial" w:eastAsia="Arial" w:hAnsi="Arial"/>
          <w:sz w:val="18"/>
          <w:szCs w:val="18"/>
          <w:color w:val="auto"/>
        </w:rPr>
        <w:t>Our RE Climate VaR solution provides forward-looking and return-based</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assessments to measure climate-related risks for real estate assets in an investment portfolio. By calculating transition risk from changing legislation, regulation and sustainability strategies as well as physical risk from extreme weather impacts, RE Climate VaR offers a framework for investors to improve portfolio performance, risk management, regulatory reporting and progress towards broader sustainability goals.</w:t>
      </w:r>
    </w:p>
    <w:p>
      <w:pPr>
        <w:spacing w:after="0" w:line="192" w:lineRule="exact"/>
        <w:rPr>
          <w:rFonts w:ascii="Arial" w:cs="Arial" w:eastAsia="Arial" w:hAnsi="Arial"/>
          <w:sz w:val="18"/>
          <w:szCs w:val="18"/>
          <w:color w:val="auto"/>
        </w:rPr>
      </w:pPr>
    </w:p>
    <w:p>
      <w:pPr>
        <w:ind w:left="1000" w:right="160" w:hanging="417"/>
        <w:spacing w:after="0" w:line="252"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Real Capital Analytics</w:t>
      </w:r>
      <w:r>
        <w:rPr>
          <w:rFonts w:ascii="Arial" w:cs="Arial" w:eastAsia="Arial" w:hAnsi="Arial"/>
          <w:sz w:val="18"/>
          <w:szCs w:val="18"/>
          <w:color w:val="auto"/>
        </w:rPr>
        <w:t>. RCA aggregates timely and reliable transaction data and provides valuable intelligence on market pricing, capital flows</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investment trends in more than 170 countries. Our clients use this unique insight to formulate strategies, source new opportunities and execute deals.</w:t>
      </w:r>
    </w:p>
    <w:p>
      <w:pPr>
        <w:spacing w:after="0" w:line="189" w:lineRule="exact"/>
        <w:rPr>
          <w:rFonts w:ascii="Arial" w:cs="Arial" w:eastAsia="Arial" w:hAnsi="Arial"/>
          <w:sz w:val="18"/>
          <w:szCs w:val="18"/>
          <w:color w:val="auto"/>
        </w:rPr>
      </w:pPr>
    </w:p>
    <w:p>
      <w:pPr>
        <w:ind w:left="1000" w:right="280" w:hanging="417"/>
        <w:spacing w:after="0" w:line="324"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Datscha</w:t>
      </w:r>
      <w:r>
        <w:rPr>
          <w:rFonts w:ascii="Arial" w:cs="Arial" w:eastAsia="Arial" w:hAnsi="Arial"/>
          <w:sz w:val="16"/>
          <w:szCs w:val="16"/>
          <w:color w:val="auto"/>
        </w:rPr>
        <w:t>. Datscha provides web-based services for the analysis of commercial real estate and offers comprehensive information on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rental levels, property holdings, transactions, ownership, occupiers, footfall, lease data and the ability to simulate market values.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2021, 4.0% of our revenues were attributable to our Real Estate offerings.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59"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We apply an integrated team approach to developing content across our operating segments. Our product management, research and product development, data operations and technology, and application development departments are at the center of this process. Our content is developed by a research and product development team comprised of mathematicians, economists, statisticians, financial engineers and investment industry experts. Content created in one segment can often be used for the creation of products in another segment. For example, the MAC models created in our Analytics segment offer a view of risk across market and asset classes, including private real estate, by incorporating content generated in the Real Estate segment, and MSCI ESG indexes and our new Climate Lab Enterprise analytics product are constructed using data from our ESG and Climate segment.</w:t>
      </w:r>
    </w:p>
    <w:p>
      <w:pPr>
        <w:spacing w:after="0" w:line="231"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Through our relationships with the world’s largest investment institutions, we monitor investment trends and their drivers globally and support instrument valuation, risk modeling, portfolio construction, portfolio attribution, asset allocation and VaR simulation. An important way we monitor global investment trends and their implications for our business is through direct public consultations and client advisory panels and through the forum provided by our Advisory Council. Our Advisory Council typically meets twice during the year to discuss current and emerging investment industry trends and is comprised of senior investment professionals from around the world and senior members of our research and product development team.</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Technology plays a pivotal role in our operations and our ability to innovate and launch products and services. Current areas of focus include:</w:t>
      </w:r>
    </w:p>
    <w:p>
      <w:pPr>
        <w:spacing w:after="0" w:line="145" w:lineRule="exact"/>
        <w:rPr>
          <w:sz w:val="20"/>
          <w:szCs w:val="20"/>
          <w:color w:val="auto"/>
        </w:rPr>
      </w:pPr>
    </w:p>
    <w:p>
      <w:pPr>
        <w:jc w:val="both"/>
        <w:ind w:left="1000" w:right="200" w:hanging="417"/>
        <w:spacing w:after="0" w:line="252"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Migrating products, data and services onto a cloud platform </w:t>
      </w:r>
      <w:r>
        <w:rPr>
          <w:rFonts w:ascii="Arial" w:cs="Arial" w:eastAsia="Arial" w:hAnsi="Arial"/>
          <w:sz w:val="18"/>
          <w:szCs w:val="18"/>
          <w:color w:val="auto"/>
        </w:rPr>
        <w:t>to accelerate the delivery of new capabilities that will help investors more swiftly</w:t>
      </w:r>
      <w:r>
        <w:rPr>
          <w:rFonts w:ascii="Arial" w:cs="Arial" w:eastAsia="Arial" w:hAnsi="Arial"/>
          <w:sz w:val="18"/>
          <w:szCs w:val="18"/>
          <w:i w:val="1"/>
          <w:iCs w:val="1"/>
          <w:color w:val="auto"/>
        </w:rPr>
        <w:t xml:space="preserve"> </w:t>
      </w:r>
      <w:r>
        <w:rPr>
          <w:rFonts w:ascii="Arial" w:cs="Arial" w:eastAsia="Arial" w:hAnsi="Arial"/>
          <w:sz w:val="18"/>
          <w:szCs w:val="18"/>
          <w:color w:val="auto"/>
        </w:rPr>
        <w:t>and efficiently manage data and understand the drivers of risk and performance, drive automation across our corporate processes and minimize data center risks.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1" w:name="page12"/>
    <w:bookmarkEnd w:id="11"/>
    <w:p>
      <w:pPr>
        <w:ind w:left="1000" w:right="80" w:hanging="417"/>
        <w:spacing w:after="0" w:line="361" w:lineRule="auto"/>
        <w:tabs>
          <w:tab w:leader="none" w:pos="100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Improving the client experience </w:t>
      </w:r>
      <w:r>
        <w:rPr>
          <w:rFonts w:ascii="Arial" w:cs="Arial" w:eastAsia="Arial" w:hAnsi="Arial"/>
          <w:sz w:val="15"/>
          <w:szCs w:val="15"/>
          <w:color w:val="auto"/>
        </w:rPr>
        <w:t>by enhancing the way clients access, interact with and use our data, applications and other tools, including by</w:t>
      </w:r>
      <w:r>
        <w:rPr>
          <w:rFonts w:ascii="Arial" w:cs="Arial" w:eastAsia="Arial" w:hAnsi="Arial"/>
          <w:sz w:val="15"/>
          <w:szCs w:val="15"/>
          <w:i w:val="1"/>
          <w:iCs w:val="1"/>
          <w:color w:val="auto"/>
        </w:rPr>
        <w:t xml:space="preserve"> </w:t>
      </w:r>
      <w:r>
        <w:rPr>
          <w:rFonts w:ascii="Arial" w:cs="Arial" w:eastAsia="Arial" w:hAnsi="Arial"/>
          <w:sz w:val="15"/>
          <w:szCs w:val="15"/>
          <w:color w:val="auto"/>
        </w:rPr>
        <w:t>developing and launching our new open-architecture ISaaS services, many of which can integrate with our clients’ existing ecosystems via APIs.</w:t>
      </w:r>
    </w:p>
    <w:p>
      <w:pPr>
        <w:spacing w:after="0" w:line="19" w:lineRule="exact"/>
        <w:rPr>
          <w:rFonts w:ascii="Arial" w:cs="Arial" w:eastAsia="Arial" w:hAnsi="Arial"/>
          <w:sz w:val="15"/>
          <w:szCs w:val="15"/>
          <w:color w:val="auto"/>
        </w:rPr>
      </w:pPr>
    </w:p>
    <w:p>
      <w:pPr>
        <w:ind w:left="1000" w:right="440" w:hanging="417"/>
        <w:spacing w:after="0" w:line="324"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Enhancing data processing </w:t>
      </w:r>
      <w:r>
        <w:rPr>
          <w:rFonts w:ascii="Arial" w:cs="Arial" w:eastAsia="Arial" w:hAnsi="Arial"/>
          <w:sz w:val="16"/>
          <w:szCs w:val="16"/>
          <w:color w:val="auto"/>
        </w:rPr>
        <w:t>by expanding our use of data science and machine learning in our data collection processes to enable us to more</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efficiently build scale and facilitate faster product enhancements and releases while also maintaining the highest quality standards.</w:t>
      </w:r>
    </w:p>
    <w:p>
      <w:pPr>
        <w:spacing w:after="0" w:line="134" w:lineRule="exact"/>
        <w:rPr>
          <w:rFonts w:ascii="Arial" w:cs="Arial" w:eastAsia="Arial" w:hAnsi="Arial"/>
          <w:sz w:val="16"/>
          <w:szCs w:val="16"/>
          <w:color w:val="auto"/>
        </w:rPr>
      </w:pPr>
    </w:p>
    <w:p>
      <w:pPr>
        <w:ind w:left="1000" w:hanging="417"/>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Modernizing our workplace </w:t>
      </w:r>
      <w:r>
        <w:rPr>
          <w:rFonts w:ascii="Arial" w:cs="Arial" w:eastAsia="Arial" w:hAnsi="Arial"/>
          <w:sz w:val="16"/>
          <w:szCs w:val="16"/>
          <w:color w:val="auto"/>
        </w:rPr>
        <w:t>to better support a remote and hybrid workforce that can collaborate and productively work from anywhere.</w:t>
      </w:r>
    </w:p>
    <w:p>
      <w:pPr>
        <w:spacing w:after="0" w:line="170" w:lineRule="exact"/>
        <w:rPr>
          <w:rFonts w:ascii="Arial" w:cs="Arial" w:eastAsia="Arial" w:hAnsi="Arial"/>
          <w:sz w:val="16"/>
          <w:szCs w:val="16"/>
          <w:color w:val="auto"/>
        </w:rPr>
      </w:pPr>
    </w:p>
    <w:p>
      <w:pPr>
        <w:ind w:left="1000" w:right="80" w:hanging="417"/>
        <w:spacing w:after="0" w:line="252"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Enhancing information security </w:t>
      </w:r>
      <w:r>
        <w:rPr>
          <w:rFonts w:ascii="Arial" w:cs="Arial" w:eastAsia="Arial" w:hAnsi="Arial"/>
          <w:sz w:val="18"/>
          <w:szCs w:val="18"/>
          <w:color w:val="auto"/>
        </w:rPr>
        <w:t>by further strengthening our technology infrastructure and software security processes. We implement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and upgrades to technology regularly and maintain processes to minimize risk on an ongoing basis, and we seek to improve employee awareness of cyber and information security issues through training.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8" w:lineRule="exact"/>
        <w:rPr>
          <w:sz w:val="20"/>
          <w:szCs w:val="20"/>
          <w:color w:val="auto"/>
        </w:rPr>
      </w:pPr>
    </w:p>
    <w:p>
      <w:pPr>
        <w:ind w:right="60" w:firstLine="589"/>
        <w:spacing w:after="0" w:line="249" w:lineRule="auto"/>
        <w:rPr>
          <w:sz w:val="20"/>
          <w:szCs w:val="20"/>
          <w:color w:val="auto"/>
        </w:rPr>
      </w:pPr>
      <w:r>
        <w:rPr>
          <w:rFonts w:ascii="Arial" w:cs="Arial" w:eastAsia="Arial" w:hAnsi="Arial"/>
          <w:sz w:val="18"/>
          <w:szCs w:val="18"/>
          <w:i w:val="1"/>
          <w:iCs w:val="1"/>
          <w:color w:val="auto"/>
        </w:rPr>
        <w:t xml:space="preserve">Index. </w:t>
      </w:r>
      <w:r>
        <w:rPr>
          <w:rFonts w:ascii="Arial" w:cs="Arial" w:eastAsia="Arial" w:hAnsi="Arial"/>
          <w:sz w:val="18"/>
          <w:szCs w:val="18"/>
          <w:color w:val="auto"/>
        </w:rPr>
        <w:t>Many industry participants compete with us by offering one or more indexes in similar categories. Such indexes vary widely in scope,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by geographic region, business sector and weighting methodology, and may be used by clients in a variety of ways in many different markets around the world. Among our Index competitors are S&amp;P Dow Jones Indices LLC (a joint venture of S&amp;P Global Inc. and CME Group Inc.); FTSE Russell, a subsidiary of the London Stock Exchange Group PLC; and Solactive AG.</w:t>
      </w:r>
    </w:p>
    <w:p>
      <w:pPr>
        <w:spacing w:after="0" w:line="219" w:lineRule="exact"/>
        <w:rPr>
          <w:sz w:val="20"/>
          <w:szCs w:val="20"/>
          <w:color w:val="auto"/>
        </w:rPr>
      </w:pPr>
    </w:p>
    <w:p>
      <w:pPr>
        <w:ind w:right="120" w:firstLine="589"/>
        <w:spacing w:after="0" w:line="249" w:lineRule="auto"/>
        <w:rPr>
          <w:sz w:val="20"/>
          <w:szCs w:val="20"/>
          <w:color w:val="auto"/>
        </w:rPr>
      </w:pPr>
      <w:r>
        <w:rPr>
          <w:rFonts w:ascii="Arial" w:cs="Arial" w:eastAsia="Arial" w:hAnsi="Arial"/>
          <w:sz w:val="18"/>
          <w:szCs w:val="18"/>
          <w:color w:val="auto"/>
        </w:rPr>
        <w:t>Competition also exists from industry participants, including asset managers and investment banks, that create their own indexes, often in cooperation with index providers, which may, among other things, provide some form of calculation agent service. Some asset managers also manage funds, including ETFs, based on their proprietary indexes, and some investment banks launch structured products or create over-the-counter derivatives based on their proprietary indexes. This is often referred to as self-indexing.</w:t>
      </w:r>
    </w:p>
    <w:p>
      <w:pPr>
        <w:spacing w:after="0" w:line="271" w:lineRule="exact"/>
        <w:rPr>
          <w:sz w:val="20"/>
          <w:szCs w:val="20"/>
          <w:color w:val="auto"/>
        </w:rPr>
      </w:pPr>
    </w:p>
    <w:p>
      <w:pPr>
        <w:ind w:right="60" w:firstLine="589"/>
        <w:spacing w:after="0" w:line="249" w:lineRule="auto"/>
        <w:rPr>
          <w:sz w:val="20"/>
          <w:szCs w:val="20"/>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Analytics offerings compete with those from a range of competitors, including Qontigo (formerly Axioma Inc.), BlackRock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Bloomberg Finance L.P., and FactSet Research Systems Inc. Additionally, some of the larger broker-dealers have developed proprietary analytics tools for their clients. Similarly, some of the large global investment organizations, such as custodians, have developed internal risk management and performance analytics tools that they offer to their clients.</w:t>
      </w:r>
    </w:p>
    <w:p>
      <w:pPr>
        <w:spacing w:after="0" w:line="219" w:lineRule="exact"/>
        <w:rPr>
          <w:sz w:val="20"/>
          <w:szCs w:val="20"/>
          <w:color w:val="auto"/>
        </w:rPr>
      </w:pPr>
    </w:p>
    <w:p>
      <w:pPr>
        <w:ind w:firstLine="589"/>
        <w:spacing w:after="0" w:line="249" w:lineRule="auto"/>
        <w:rPr>
          <w:sz w:val="20"/>
          <w:szCs w:val="20"/>
          <w:color w:val="auto"/>
        </w:rPr>
      </w:pPr>
      <w:r>
        <w:rPr>
          <w:rFonts w:ascii="Arial" w:cs="Arial" w:eastAsia="Arial" w:hAnsi="Arial"/>
          <w:sz w:val="18"/>
          <w:szCs w:val="18"/>
          <w:i w:val="1"/>
          <w:iCs w:val="1"/>
          <w:color w:val="auto"/>
        </w:rPr>
        <w:t xml:space="preserve">ESG and Climate. </w:t>
      </w:r>
      <w:r>
        <w:rPr>
          <w:rFonts w:ascii="Arial" w:cs="Arial" w:eastAsia="Arial" w:hAnsi="Arial"/>
          <w:sz w:val="18"/>
          <w:szCs w:val="18"/>
          <w:color w:val="auto"/>
        </w:rPr>
        <w:t>Our ESG and Climate offerings compete with a growing number of companies that issue ESG data, ratings or research. For example,</w:t>
      </w:r>
      <w:r>
        <w:rPr>
          <w:rFonts w:ascii="Arial" w:cs="Arial" w:eastAsia="Arial" w:hAnsi="Arial"/>
          <w:sz w:val="18"/>
          <w:szCs w:val="18"/>
          <w:i w:val="1"/>
          <w:iCs w:val="1"/>
          <w:color w:val="auto"/>
        </w:rPr>
        <w:t xml:space="preserve"> </w:t>
      </w:r>
      <w:r>
        <w:rPr>
          <w:rFonts w:ascii="Arial" w:cs="Arial" w:eastAsia="Arial" w:hAnsi="Arial"/>
          <w:sz w:val="18"/>
          <w:szCs w:val="18"/>
          <w:color w:val="auto"/>
        </w:rPr>
        <w:t>our ESG and Climate offerings compete with those from a range of competitors, including Sustainalytics Holding B.V. (a part of Morningstar, Inc.), Institutional Shareholder Services Inc. (majority owned by Deutsche Börse AG), Trucost (an S&amp;P Global Inc. business) and Refinitiv (a London Stock Exchange Group business).</w:t>
      </w:r>
    </w:p>
    <w:p>
      <w:pPr>
        <w:spacing w:after="0" w:line="271" w:lineRule="exact"/>
        <w:rPr>
          <w:sz w:val="20"/>
          <w:szCs w:val="20"/>
          <w:color w:val="auto"/>
        </w:rPr>
      </w:pPr>
    </w:p>
    <w:p>
      <w:pPr>
        <w:ind w:right="220" w:firstLine="589"/>
        <w:spacing w:after="0" w:line="252" w:lineRule="auto"/>
        <w:rPr>
          <w:sz w:val="20"/>
          <w:szCs w:val="20"/>
          <w:color w:val="auto"/>
        </w:rPr>
      </w:pPr>
      <w:r>
        <w:rPr>
          <w:rFonts w:ascii="Arial" w:cs="Arial" w:eastAsia="Arial" w:hAnsi="Arial"/>
          <w:sz w:val="18"/>
          <w:szCs w:val="18"/>
          <w:i w:val="1"/>
          <w:iCs w:val="1"/>
          <w:color w:val="auto"/>
        </w:rPr>
        <w:t xml:space="preserve">All Other – Private Assets. </w:t>
      </w:r>
      <w:r>
        <w:rPr>
          <w:rFonts w:ascii="Arial" w:cs="Arial" w:eastAsia="Arial" w:hAnsi="Arial"/>
          <w:sz w:val="18"/>
          <w:szCs w:val="18"/>
          <w:color w:val="auto"/>
        </w:rPr>
        <w:t>We also have a variety of competitors for our other offerings that comprise a smaller portion of our revenues,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number of companies that provide data, market intelligence, indexes, and performance and risk attribution services relating to real estate and other private assets.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Other Proprietary Rights and Sources of Data</w:t>
      </w:r>
    </w:p>
    <w:p>
      <w:pPr>
        <w:spacing w:after="0" w:line="167" w:lineRule="exact"/>
        <w:rPr>
          <w:sz w:val="20"/>
          <w:szCs w:val="20"/>
          <w:color w:val="auto"/>
        </w:rPr>
      </w:pPr>
    </w:p>
    <w:p>
      <w:pPr>
        <w:ind w:right="140" w:firstLine="589"/>
        <w:spacing w:after="0" w:line="284" w:lineRule="auto"/>
        <w:rPr>
          <w:sz w:val="20"/>
          <w:szCs w:val="20"/>
          <w:color w:val="auto"/>
        </w:rPr>
      </w:pPr>
      <w:r>
        <w:rPr>
          <w:rFonts w:ascii="Arial" w:cs="Arial" w:eastAsia="Arial" w:hAnsi="Arial"/>
          <w:sz w:val="16"/>
          <w:szCs w:val="16"/>
          <w:color w:val="auto"/>
        </w:rPr>
        <w:t>We consider many aspects of our offerings, processes and services to be proprietary. We have registered “MSCI” and other marks as trademarks or service marks in the United States and in certain other countries. We will continue to evaluate the registration of additional trademarks and service marks as appropriate. From time to time, we have also filed patent applications to protect our proprietary rights. Additionally, many of our offerings, processes and services require the use of intellectual property that we license for use from third parties. It may be necessary in the future to seek or renew licenses relating to various aspects of our offerings and services. Our ownership and protection of intellectual property and other proprietary rights and our ability to obtain the rights to use third-party intellectual property are important to our business and contribute in part to our overall success.</w:t>
      </w:r>
    </w:p>
    <w:p>
      <w:pPr>
        <w:spacing w:after="0" w:line="192" w:lineRule="exact"/>
        <w:rPr>
          <w:sz w:val="20"/>
          <w:szCs w:val="20"/>
          <w:color w:val="auto"/>
        </w:rPr>
      </w:pPr>
    </w:p>
    <w:p>
      <w:pPr>
        <w:ind w:right="400" w:firstLine="589"/>
        <w:spacing w:after="0" w:line="261" w:lineRule="auto"/>
        <w:rPr>
          <w:sz w:val="20"/>
          <w:szCs w:val="20"/>
          <w:color w:val="auto"/>
        </w:rPr>
      </w:pPr>
      <w:r>
        <w:rPr>
          <w:rFonts w:ascii="Arial" w:cs="Arial" w:eastAsia="Arial" w:hAnsi="Arial"/>
          <w:sz w:val="18"/>
          <w:szCs w:val="18"/>
          <w:color w:val="auto"/>
        </w:rPr>
        <w:t>In addition to our intellectual property, we rely on third-party data to create and deliver our products and services. For example, we require certain stock exchange data to construct equity indexes. Termination of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2" w:name="page13"/>
    <w:bookmarkEnd w:id="12"/>
    <w:p>
      <w:pPr>
        <w:ind w:right="320"/>
        <w:spacing w:after="0" w:line="261" w:lineRule="auto"/>
        <w:rPr>
          <w:sz w:val="20"/>
          <w:szCs w:val="20"/>
          <w:color w:val="auto"/>
        </w:rPr>
      </w:pPr>
      <w:r>
        <w:rPr>
          <w:rFonts w:ascii="Arial" w:cs="Arial" w:eastAsia="Arial" w:hAnsi="Arial"/>
          <w:sz w:val="18"/>
          <w:szCs w:val="18"/>
          <w:color w:val="auto"/>
        </w:rPr>
        <w:t>disputes regarding our rights to receive or use such data could limit the information available for us to use or distribute in connection with our products and services.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220" w:lineRule="exact"/>
        <w:rPr>
          <w:sz w:val="20"/>
          <w:szCs w:val="20"/>
          <w:color w:val="auto"/>
        </w:rPr>
      </w:pPr>
    </w:p>
    <w:p>
      <w:pPr>
        <w:ind w:right="80" w:firstLine="864"/>
        <w:spacing w:after="0" w:line="299" w:lineRule="auto"/>
        <w:rPr>
          <w:sz w:val="20"/>
          <w:szCs w:val="20"/>
          <w:color w:val="auto"/>
        </w:rPr>
      </w:pPr>
      <w:r>
        <w:rPr>
          <w:rFonts w:ascii="Arial" w:cs="Arial" w:eastAsia="Arial" w:hAnsi="Arial"/>
          <w:sz w:val="16"/>
          <w:szCs w:val="16"/>
          <w:color w:val="auto"/>
        </w:rPr>
        <w:t>As a leader in providing ESG and climate solutions to investors, we also aim to demonstrate leading corporate responsibility practices and policies that are meaningful to our various stakeholders, including our clients, employees, shareholders and local communities. The Governance and Corporate Responsibility Committee of our Board of Directors provides oversight of our corporate responsibility strategy and activities.</w:t>
      </w:r>
    </w:p>
    <w:p>
      <w:pPr>
        <w:spacing w:after="0" w:line="154" w:lineRule="exact"/>
        <w:rPr>
          <w:sz w:val="20"/>
          <w:szCs w:val="20"/>
          <w:color w:val="auto"/>
        </w:rPr>
      </w:pPr>
    </w:p>
    <w:p>
      <w:pPr>
        <w:ind w:right="100" w:firstLine="864"/>
        <w:spacing w:after="0" w:line="315" w:lineRule="auto"/>
        <w:rPr>
          <w:sz w:val="20"/>
          <w:szCs w:val="20"/>
          <w:color w:val="auto"/>
        </w:rPr>
      </w:pPr>
      <w:r>
        <w:rPr>
          <w:rFonts w:ascii="Arial" w:cs="Arial" w:eastAsia="Arial" w:hAnsi="Arial"/>
          <w:sz w:val="15"/>
          <w:szCs w:val="15"/>
          <w:color w:val="auto"/>
        </w:rPr>
        <w:t>Recently we have implemented initiatives to reduce our impact on the environment and promote sustainability. We are committed to continuing to develop and enhance our climate-focused strategies. As part of our corporate responsibility efforts, in 2021 we published our first United Nations Sustainable Development Goals (SDG) report and our first Sustainable Finance Disclosure Regulations (SFDR) report. We have also published a Task Force on Climate-related Financial Disclosures (TCFD) report, a Sustainability Accounting Standard Board (SASB) report and a Climate Disclosure Project (CDP) report.</w:t>
      </w:r>
    </w:p>
    <w:p>
      <w:pPr>
        <w:spacing w:after="0" w:line="185"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Additional information on our corporate responsibility efforts, including our net-zero commitment and carbon-reduction initiatives, can be found on our website at https://www.msci.com/who-we-are/corporate-responsibility. Information contained on our website is not deemed part of or incorporated by reference into this Annual Report on Form 10-K or any other report filed with the SEC.</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14" w:lineRule="exact"/>
        <w:rPr>
          <w:sz w:val="20"/>
          <w:szCs w:val="20"/>
          <w:color w:val="auto"/>
        </w:rPr>
      </w:pPr>
    </w:p>
    <w:p>
      <w:pPr>
        <w:jc w:val="both"/>
        <w:ind w:right="120" w:firstLine="589"/>
        <w:spacing w:after="0" w:line="361" w:lineRule="auto"/>
        <w:rPr>
          <w:sz w:val="20"/>
          <w:szCs w:val="20"/>
          <w:color w:val="auto"/>
        </w:rPr>
      </w:pPr>
      <w:r>
        <w:rPr>
          <w:rFonts w:ascii="Arial" w:cs="Arial" w:eastAsia="Arial" w:hAnsi="Arial"/>
          <w:sz w:val="15"/>
          <w:szCs w:val="15"/>
          <w:color w:val="auto"/>
        </w:rPr>
        <w:t>MSCI is committed to creating a performance culture with high employee engagement. Our talent and leadership development programs are designed to ensure we have the people and skills in place to deliver on MSCI’s strategy, including a workplace that values and promotes diversity, equity and inclusion.</w:t>
      </w:r>
    </w:p>
    <w:p>
      <w:pPr>
        <w:spacing w:after="0" w:line="73"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Compensation, Talent and Culture Committee of our Board of Directors has oversight over talent management matters, including efforts relating to our corporate culture, progression planning, career progression and retention strategies, and learning and leadership development programs. In addition, our Chief Human Resources Officer and our Chief Diversity Officer report to our Board on our initiatives on diversity, equity and inclusion. We also engage with our shareholders around our talent initiatives, including our efforts to strengthen and promote a culture of inclusion and diversity.</w:t>
      </w:r>
    </w:p>
    <w:p>
      <w:pPr>
        <w:spacing w:after="0" w:line="123" w:lineRule="exact"/>
        <w:rPr>
          <w:sz w:val="20"/>
          <w:szCs w:val="20"/>
          <w:color w:val="auto"/>
        </w:rPr>
      </w:pPr>
    </w:p>
    <w:p>
      <w:pPr>
        <w:ind w:right="160" w:firstLine="589"/>
        <w:spacing w:after="0" w:line="324" w:lineRule="auto"/>
        <w:rPr>
          <w:sz w:val="20"/>
          <w:szCs w:val="20"/>
          <w:color w:val="auto"/>
        </w:rPr>
      </w:pPr>
      <w:r>
        <w:rPr>
          <w:rFonts w:ascii="Arial" w:cs="Arial" w:eastAsia="Arial" w:hAnsi="Arial"/>
          <w:sz w:val="16"/>
          <w:szCs w:val="16"/>
          <w:color w:val="auto"/>
        </w:rPr>
        <w:t>The Board periodically reviews our executive talent including our leadership bench and succession planning. Our CEO and President also meet regularly with our functions to review talent plans with an aim to identify top talent who have the most potential to progress to the senior-most roles at MSCI.</w:t>
      </w:r>
    </w:p>
    <w:p>
      <w:pPr>
        <w:spacing w:after="0" w:line="108" w:lineRule="exact"/>
        <w:rPr>
          <w:sz w:val="20"/>
          <w:szCs w:val="20"/>
          <w:color w:val="auto"/>
        </w:rPr>
      </w:pPr>
    </w:p>
    <w:p>
      <w:pPr>
        <w:ind w:right="60" w:firstLine="589"/>
        <w:spacing w:after="0" w:line="246" w:lineRule="auto"/>
        <w:rPr>
          <w:sz w:val="20"/>
          <w:szCs w:val="20"/>
          <w:color w:val="auto"/>
        </w:rPr>
      </w:pPr>
      <w:r>
        <w:rPr>
          <w:rFonts w:ascii="Arial" w:cs="Arial" w:eastAsia="Arial" w:hAnsi="Arial"/>
          <w:sz w:val="18"/>
          <w:szCs w:val="18"/>
          <w:color w:val="auto"/>
        </w:rPr>
        <w:t>In January 2022, following an extensive organizational design assessment conducted in 2021, we announced a number of organization and senior leadership changes, as well as expanded our Executive Committee to reflect MSCI’s ambition to serve as an indispensable partner to clients and the investment community. This expansion brings together and elevates more of the senior leaders who drive MSCI’s strategy and operations into MSCI’s primary leadership committee. The new members of the Executive Committee increase the representation from operating functions, in particular, Research, Technology and Data, and Private Assets. Additional information on our Executive Committee can be found be found at https://www.msci.com/who-we-are/our-leadership. Information contained on our website is not deemed part of or incorporated by reference into this Annual Report on Form 10-K or any other report filed with the SEC.</w:t>
      </w:r>
    </w:p>
    <w:p>
      <w:pPr>
        <w:spacing w:after="0" w:line="224" w:lineRule="exact"/>
        <w:rPr>
          <w:sz w:val="20"/>
          <w:szCs w:val="20"/>
          <w:color w:val="auto"/>
        </w:rPr>
      </w:pPr>
    </w:p>
    <w:p>
      <w:pPr>
        <w:jc w:val="both"/>
        <w:ind w:right="40" w:firstLine="589"/>
        <w:spacing w:after="0" w:line="299" w:lineRule="auto"/>
        <w:rPr>
          <w:sz w:val="20"/>
          <w:szCs w:val="20"/>
          <w:color w:val="auto"/>
        </w:rPr>
      </w:pPr>
      <w:r>
        <w:rPr>
          <w:rFonts w:ascii="Arial" w:cs="Arial" w:eastAsia="Arial" w:hAnsi="Arial"/>
          <w:sz w:val="16"/>
          <w:szCs w:val="16"/>
          <w:color w:val="auto"/>
        </w:rPr>
        <w:t>MSCI is a global company with a highly diverse footprint. As of December 31, 2021, we employed 4,303 people, of which 47.4% of MSCI employees were located in the Asia Pacific region, 23.3% in Europe, Middle East and Africa, 20.6% in the U.S. and Canada, and 8.7% in Mexico and Brazil. For the one-year period ended December 31, 2021, voluntary turnover was 12.5% and involuntary turnover was 2.3%.</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114" w:lineRule="exact"/>
        <w:rPr>
          <w:sz w:val="20"/>
          <w:szCs w:val="20"/>
          <w:color w:val="auto"/>
        </w:rPr>
      </w:pPr>
    </w:p>
    <w:p>
      <w:pPr>
        <w:ind w:right="180" w:firstLine="656"/>
        <w:spacing w:after="0" w:line="290" w:lineRule="auto"/>
        <w:rPr>
          <w:sz w:val="20"/>
          <w:szCs w:val="20"/>
          <w:color w:val="auto"/>
        </w:rPr>
      </w:pPr>
      <w:r>
        <w:rPr>
          <w:rFonts w:ascii="Arial" w:cs="Arial" w:eastAsia="Arial" w:hAnsi="Arial"/>
          <w:sz w:val="16"/>
          <w:szCs w:val="16"/>
          <w:color w:val="auto"/>
        </w:rPr>
        <w:t>At MSCI, diversity, equity and inclusion are core values of our culture. We strive to empower our people to maximize their potential in an environment where all individuals are respected and encouraged to bring their authentic selves to work. This culture embraces diverse experiences and perspectives, which we believe foster creativity and innovation. As of December 31, 2021, women represented 35.2% of our global employees, and people of color (defined as those who identify as Asian, Black or African American, Hispanic or Latino, American Indian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77" w:right="359" w:bottom="1440" w:gutter="0" w:footer="0" w:header="0"/>
        </w:sectPr>
      </w:pPr>
    </w:p>
    <w:bookmarkStart w:id="13" w:name="page14"/>
    <w:bookmarkEnd w:id="13"/>
    <w:p>
      <w:pPr>
        <w:ind w:right="80"/>
        <w:spacing w:after="0" w:line="261" w:lineRule="auto"/>
        <w:rPr>
          <w:sz w:val="20"/>
          <w:szCs w:val="20"/>
          <w:color w:val="auto"/>
        </w:rPr>
      </w:pPr>
      <w:r>
        <w:rPr>
          <w:rFonts w:ascii="Arial" w:cs="Arial" w:eastAsia="Arial" w:hAnsi="Arial"/>
          <w:sz w:val="18"/>
          <w:szCs w:val="18"/>
          <w:color w:val="auto"/>
        </w:rPr>
        <w:t>or Alaska Native, Native Hawaiian or Other Pacific Islander or two or more races) represented 46.1% of our U.S. employees and 41.6% of our U.S. employees in management roles</w:t>
      </w:r>
      <w:r>
        <w:rPr>
          <w:rFonts w:ascii="Arial" w:cs="Arial" w:eastAsia="Arial" w:hAnsi="Arial"/>
          <w:sz w:val="14"/>
          <w:szCs w:val="14"/>
          <w:color w:val="auto"/>
        </w:rPr>
        <w:t>5</w:t>
      </w:r>
      <w:r>
        <w:rPr>
          <w:rFonts w:ascii="Arial" w:cs="Arial" w:eastAsia="Arial" w:hAnsi="Arial"/>
          <w:sz w:val="18"/>
          <w:szCs w:val="18"/>
          <w:color w:val="auto"/>
        </w:rPr>
        <w:t>. The U.S. represents 19.9% of our global workforce.</w:t>
      </w:r>
    </w:p>
    <w:p>
      <w:pPr>
        <w:spacing w:after="0" w:line="181" w:lineRule="exact"/>
        <w:rPr>
          <w:sz w:val="20"/>
          <w:szCs w:val="20"/>
          <w:color w:val="auto"/>
        </w:rPr>
      </w:pPr>
    </w:p>
    <w:p>
      <w:pPr>
        <w:ind w:right="20" w:firstLine="656"/>
        <w:spacing w:after="0" w:line="286" w:lineRule="auto"/>
        <w:rPr>
          <w:sz w:val="20"/>
          <w:szCs w:val="20"/>
          <w:color w:val="auto"/>
        </w:rPr>
      </w:pPr>
      <w:r>
        <w:rPr>
          <w:rFonts w:ascii="Arial" w:cs="Arial" w:eastAsia="Arial" w:hAnsi="Arial"/>
          <w:sz w:val="16"/>
          <w:szCs w:val="16"/>
          <w:color w:val="auto"/>
        </w:rPr>
        <w:t>In 2021, we appointed our first Chief Diversity Officer, who is responsible for operating across MSCI to align our diversity, equity and inclusion goals with business outcomes. Our Executive Diversity Council (the “EDC”) champions a diverse and inclusive culture by advising on corporate initiatives and facilitating collaboration across MSCI. Members of the EDC partner with our employee resource groups (the Women’s Leadership Forum, Women in Tech, MSCI Pride, the Black Leadership Network, Asian Support Network (formed in 2021), All Abilities Network (formed in 2021) and Hola! MSCI (formed in 2021)) to raise awareness, conduct events around the globe and serve as sponsors in their respective locations.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Employer Brand Council and the Diversity Engagement and Sourcing team focus on:</w:t>
      </w:r>
    </w:p>
    <w:p>
      <w:pPr>
        <w:spacing w:after="0" w:line="122" w:lineRule="exact"/>
        <w:rPr>
          <w:sz w:val="20"/>
          <w:szCs w:val="20"/>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building and communicating the MSCI employer brand with the aim of bringing to life and showcasing our culture;</w:t>
      </w:r>
    </w:p>
    <w:p>
      <w:pPr>
        <w:spacing w:after="0" w:line="108"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and developing diverse talent for current and future roles;</w:t>
      </w:r>
    </w:p>
    <w:p>
      <w:pPr>
        <w:spacing w:after="0" w:line="108" w:lineRule="exact"/>
        <w:rPr>
          <w:rFonts w:ascii="Arial" w:cs="Arial" w:eastAsia="Arial" w:hAnsi="Arial"/>
          <w:sz w:val="18"/>
          <w:szCs w:val="18"/>
          <w:color w:val="auto"/>
        </w:rPr>
      </w:pPr>
    </w:p>
    <w:p>
      <w:pPr>
        <w:ind w:left="840" w:right="40" w:hanging="414"/>
        <w:spacing w:after="0" w:line="261"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building early career and internal pipeline programs that focus on diversity and inclusion across a range of factors, including gender, race, ethnicity, LGBTQ+ and socio-economic considerations;</w:t>
      </w:r>
    </w:p>
    <w:p>
      <w:pPr>
        <w:spacing w:after="0" w:line="75"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forging relationships at institutions worldwide that promote diversity; and</w:t>
      </w:r>
    </w:p>
    <w:p>
      <w:pPr>
        <w:spacing w:after="0" w:line="108" w:lineRule="exact"/>
        <w:rPr>
          <w:rFonts w:ascii="Arial" w:cs="Arial" w:eastAsia="Arial" w:hAnsi="Arial"/>
          <w:sz w:val="18"/>
          <w:szCs w:val="18"/>
          <w:color w:val="auto"/>
        </w:rPr>
      </w:pPr>
    </w:p>
    <w:p>
      <w:pPr>
        <w:ind w:left="840" w:right="420" w:hanging="414"/>
        <w:spacing w:after="0" w:line="261"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building relationships with external partners and increasing our visibility (including through the use of social media) to better position MSCI’s programs and opportunities with new networks.</w:t>
      </w:r>
    </w:p>
    <w:p>
      <w:pPr>
        <w:spacing w:after="0" w:line="181" w:lineRule="exact"/>
        <w:rPr>
          <w:sz w:val="20"/>
          <w:szCs w:val="20"/>
          <w:color w:val="auto"/>
        </w:rPr>
      </w:pPr>
    </w:p>
    <w:p>
      <w:pPr>
        <w:ind w:right="260" w:firstLine="648"/>
        <w:spacing w:after="0" w:line="324" w:lineRule="auto"/>
        <w:rPr>
          <w:sz w:val="20"/>
          <w:szCs w:val="20"/>
          <w:color w:val="auto"/>
        </w:rPr>
      </w:pPr>
      <w:r>
        <w:rPr>
          <w:rFonts w:ascii="Arial" w:cs="Arial" w:eastAsia="Arial" w:hAnsi="Arial"/>
          <w:sz w:val="16"/>
          <w:szCs w:val="16"/>
          <w:color w:val="auto"/>
        </w:rPr>
        <w:t>The team not only aims to create a pipeline of diverse talent for MSCI but also works to position MSCI more broadly as a leading organization that puts diversity, equity and inclusion at the center of its strategy. We believe that a diverse team is a stronger team and an important part of our success.</w:t>
      </w:r>
    </w:p>
    <w:p>
      <w:pPr>
        <w:spacing w:after="0" w:line="16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Additional information on our diversity metrics and programs can be found on our website at https://www.msci.com/who-we-are/corporate-responsibility/social-responsibility/diversity-equity-and-inclusion. Information contained on our website is not deemed part of or incorporated by reference into this Annual Report on Form 10-K or any other report filed with the SEC.</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Benefits and Well-being</w:t>
      </w:r>
    </w:p>
    <w:p>
      <w:pPr>
        <w:spacing w:after="0" w:line="114" w:lineRule="exact"/>
        <w:rPr>
          <w:sz w:val="20"/>
          <w:szCs w:val="20"/>
          <w:color w:val="auto"/>
        </w:rPr>
      </w:pPr>
    </w:p>
    <w:p>
      <w:pPr>
        <w:ind w:firstLine="656"/>
        <w:spacing w:after="0" w:line="247" w:lineRule="auto"/>
        <w:rPr>
          <w:sz w:val="20"/>
          <w:szCs w:val="20"/>
          <w:color w:val="auto"/>
        </w:rPr>
      </w:pPr>
      <w:r>
        <w:rPr>
          <w:rFonts w:ascii="Arial" w:cs="Arial" w:eastAsia="Arial" w:hAnsi="Arial"/>
          <w:sz w:val="18"/>
          <w:szCs w:val="18"/>
          <w:color w:val="auto"/>
        </w:rPr>
        <w:t>We offer a broad range of highly competitive compensation and benefits programs to our employees and their families, including same-sex domestic partners. These programs include health and welfare benefits, including an Employee Assistance Program; enhanced maternity and paternity leave policies, including a Global Minimum Standard applicable to all offices worldwide; contributions to defined contribution and defined benefit pensions plans globally and Health Savings Accounts in the U.S.; life insurance; a global wellness initiative that can help employees improve their health and well-being; presentations on well-being topics, including retirement planning, parenting, meditation, stress management and nutrition; ergonomic equipment and desk assessments; and wellness rooms in all MSCI office locations.</w:t>
      </w:r>
    </w:p>
    <w:p>
      <w:pPr>
        <w:spacing w:after="0" w:line="233" w:lineRule="exact"/>
        <w:rPr>
          <w:sz w:val="20"/>
          <w:szCs w:val="20"/>
          <w:color w:val="auto"/>
        </w:rPr>
      </w:pPr>
    </w:p>
    <w:p>
      <w:pPr>
        <w:ind w:right="80" w:firstLine="648"/>
        <w:spacing w:after="0" w:line="249" w:lineRule="auto"/>
        <w:rPr>
          <w:sz w:val="20"/>
          <w:szCs w:val="20"/>
          <w:color w:val="auto"/>
        </w:rPr>
      </w:pPr>
      <w:r>
        <w:rPr>
          <w:rFonts w:ascii="Arial" w:cs="Arial" w:eastAsia="Arial" w:hAnsi="Arial"/>
          <w:sz w:val="18"/>
          <w:szCs w:val="18"/>
          <w:color w:val="auto"/>
        </w:rPr>
        <w:t>Compensation at MSCI supports a culture of high performance and accountability. Our goal is to provide competitive compensation in the markets where we compete for talent. We believe in linking all employee compensation to Company, Product/Function and individual performance by making 100% of our employees eligible for annual cash bonuses. We strongly differentiate cash bonus payouts based on actual results against goals and for managers, how effectively they demonstrate behaviors consistent with our values and culture.</w:t>
      </w:r>
    </w:p>
    <w:p>
      <w:pPr>
        <w:spacing w:after="0" w:line="219" w:lineRule="exact"/>
        <w:rPr>
          <w:sz w:val="20"/>
          <w:szCs w:val="20"/>
          <w:color w:val="auto"/>
        </w:rPr>
      </w:pPr>
    </w:p>
    <w:p>
      <w:pPr>
        <w:ind w:right="20" w:firstLine="648"/>
        <w:spacing w:after="0" w:line="249" w:lineRule="auto"/>
        <w:rPr>
          <w:sz w:val="20"/>
          <w:szCs w:val="20"/>
          <w:color w:val="auto"/>
        </w:rPr>
      </w:pPr>
      <w:r>
        <w:rPr>
          <w:rFonts w:ascii="Arial" w:cs="Arial" w:eastAsia="Arial" w:hAnsi="Arial"/>
          <w:sz w:val="18"/>
          <w:szCs w:val="18"/>
          <w:color w:val="auto"/>
        </w:rPr>
        <w:t>Senior employees of the Company and select other employees are eligible to participate in the MSCI Long-Term Incentive Program with awards of MSCI stock that vest over a multi-year period. The goal of the Long-Term Incentive Program is to: (i) align the interests of eligible employees with those of our shareholders, (ii) enhance our “owner-operator” philosophy, (iii) recognize and reward potential long-term contributions, (iv) retain key leaders and top performers.</w:t>
      </w:r>
    </w:p>
    <w:p>
      <w:pPr>
        <w:spacing w:after="0" w:line="271" w:lineRule="exact"/>
        <w:rPr>
          <w:sz w:val="20"/>
          <w:szCs w:val="20"/>
          <w:color w:val="auto"/>
        </w:rPr>
      </w:pPr>
    </w:p>
    <w:p>
      <w:pPr>
        <w:ind w:right="120" w:firstLine="648"/>
        <w:spacing w:after="0" w:line="249" w:lineRule="auto"/>
        <w:rPr>
          <w:sz w:val="20"/>
          <w:szCs w:val="20"/>
          <w:color w:val="auto"/>
        </w:rPr>
      </w:pPr>
      <w:r>
        <w:rPr>
          <w:rFonts w:ascii="Arial" w:cs="Arial" w:eastAsia="Arial" w:hAnsi="Arial"/>
          <w:sz w:val="18"/>
          <w:szCs w:val="18"/>
          <w:color w:val="auto"/>
        </w:rPr>
        <w:t>In June 2020, MSCI announced an innovation initiative called the Future of Work at MSCI, and we began implementing this initiative in January 2022. For most of our employees, the Future of Work introduced a hybrid work environment allowing employees to work at times at the office and other times remotely, depending on the requirements of a specific role. As we continue to adapt and iterate how we work, employee feedback will remain central to this initiative.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Cultivating Talent and Employee Engagement</w:t>
      </w:r>
    </w:p>
    <w:p>
      <w:pPr>
        <w:spacing w:after="0" w:line="114" w:lineRule="exact"/>
        <w:rPr>
          <w:sz w:val="20"/>
          <w:szCs w:val="20"/>
          <w:color w:val="auto"/>
        </w:rPr>
      </w:pPr>
    </w:p>
    <w:p>
      <w:pPr>
        <w:jc w:val="both"/>
        <w:ind w:right="80" w:firstLine="656"/>
        <w:spacing w:after="0" w:line="252" w:lineRule="auto"/>
        <w:rPr>
          <w:sz w:val="20"/>
          <w:szCs w:val="20"/>
          <w:color w:val="auto"/>
        </w:rPr>
      </w:pPr>
      <w:r>
        <w:rPr>
          <w:rFonts w:ascii="Arial" w:cs="Arial" w:eastAsia="Arial" w:hAnsi="Arial"/>
          <w:sz w:val="18"/>
          <w:szCs w:val="18"/>
          <w:color w:val="auto"/>
        </w:rPr>
        <w:t>MSCI is committed to investing in employee learning and development. Throughout the year, we offer tools and workshops to help employees better understand how their work aligns with MSCI’s overall strategy, seek and receive real-time and transparent feedback and coaching, successfully deliver on their goals, and more effectively plan and develop their careers.</w:t>
      </w:r>
    </w:p>
    <w:p>
      <w:pPr>
        <w:spacing w:after="0" w:line="229" w:lineRule="exact"/>
        <w:rPr>
          <w:sz w:val="20"/>
          <w:szCs w:val="20"/>
          <w:color w:val="auto"/>
        </w:rPr>
      </w:pPr>
    </w:p>
    <w:p>
      <w:pPr>
        <w:ind w:right="320" w:firstLine="648"/>
        <w:spacing w:after="0" w:line="248" w:lineRule="auto"/>
        <w:rPr>
          <w:sz w:val="20"/>
          <w:szCs w:val="20"/>
          <w:color w:val="auto"/>
        </w:rPr>
      </w:pPr>
      <w:r>
        <w:rPr>
          <w:rFonts w:ascii="Arial" w:cs="Arial" w:eastAsia="Arial" w:hAnsi="Arial"/>
          <w:sz w:val="18"/>
          <w:szCs w:val="18"/>
          <w:color w:val="auto"/>
        </w:rPr>
        <w:t>MSCI conducts an employee engagement survey at least annually that measures whether our approaches to performance, growth and career development are driving employee engagement. Managers receive anonymous feedback and are accountable for improving and enhancing the work environment to drive higher engagement. In our December 2021 employee engagement survey, we achieved a 79% response rate and the percentage of respondents characterized as fully engaged equaled the highest since we implemented the engagement survey (not including employees from RCA, a newly acquired business).</w:t>
      </w:r>
    </w:p>
    <w:p>
      <w:pPr>
        <w:spacing w:after="0" w:line="232" w:lineRule="exact"/>
        <w:rPr>
          <w:sz w:val="20"/>
          <w:szCs w:val="20"/>
          <w:color w:val="auto"/>
        </w:rPr>
      </w:pPr>
    </w:p>
    <w:p>
      <w:pPr>
        <w:ind w:right="300" w:firstLine="648"/>
        <w:spacing w:after="0" w:line="252" w:lineRule="auto"/>
        <w:rPr>
          <w:sz w:val="20"/>
          <w:szCs w:val="20"/>
          <w:color w:val="auto"/>
        </w:rPr>
      </w:pPr>
      <w:r>
        <w:rPr>
          <w:rFonts w:ascii="Arial" w:cs="Arial" w:eastAsia="Arial" w:hAnsi="Arial"/>
          <w:sz w:val="18"/>
          <w:szCs w:val="18"/>
          <w:color w:val="auto"/>
        </w:rPr>
        <w:t>Additional information on our training programs and engagement metrics can be found on our website at https://www.msci.com/who-we-are/corporate-responsibility/social-responsibility/cultivating-talent. Information contained on our website is not deemed part of or incorporated by reference into this Annual Report on Form 10-K or any other report filed with the SEC.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our Employees Through COVID-19</w:t>
      </w:r>
    </w:p>
    <w:p>
      <w:pPr>
        <w:spacing w:after="0" w:line="114" w:lineRule="exact"/>
        <w:rPr>
          <w:sz w:val="20"/>
          <w:szCs w:val="20"/>
          <w:color w:val="auto"/>
        </w:rPr>
      </w:pPr>
    </w:p>
    <w:p>
      <w:pPr>
        <w:ind w:right="400" w:firstLine="656"/>
        <w:spacing w:after="0" w:line="315" w:lineRule="auto"/>
        <w:rPr>
          <w:sz w:val="20"/>
          <w:szCs w:val="20"/>
          <w:color w:val="auto"/>
        </w:rPr>
      </w:pPr>
      <w:r>
        <w:rPr>
          <w:rFonts w:ascii="Arial" w:cs="Arial" w:eastAsia="Arial" w:hAnsi="Arial"/>
          <w:sz w:val="15"/>
          <w:szCs w:val="15"/>
          <w:color w:val="auto"/>
        </w:rPr>
        <w:t>The COVID-19 pandemic has underscored for us the importance of keeping our employees safe and healthy. In response to the pandemic, we immediately implemented an employee communication strategy that was direct, transparent and inclusive. Through townhalls, firmwide e-mail communications and broad cross-functional meetings, management delivered key messages around employee safety and well-being, leadership, remaining productive, engaging with clients, promoting community and having empathy for others. We also increased communications around employee assistance</w:t>
      </w:r>
    </w:p>
    <w:p>
      <w:pPr>
        <w:sectPr>
          <w:pgSz w:w="11900" w:h="16838" w:orient="portrait"/>
          <w:cols w:equalWidth="0" w:num="1">
            <w:col w:w="11240"/>
          </w:cols>
          <w:pgMar w:left="320" w:top="443" w:right="339" w:bottom="0" w:gutter="0" w:footer="0" w:header="0"/>
        </w:sectPr>
      </w:pPr>
    </w:p>
    <w:bookmarkStart w:id="14" w:name="page15"/>
    <w:bookmarkEnd w:id="14"/>
    <w:p>
      <w:pPr>
        <w:ind w:right="120"/>
        <w:spacing w:after="0" w:line="261" w:lineRule="auto"/>
        <w:rPr>
          <w:sz w:val="20"/>
          <w:szCs w:val="20"/>
          <w:color w:val="auto"/>
        </w:rPr>
      </w:pPr>
      <w:r>
        <w:rPr>
          <w:rFonts w:ascii="Arial" w:cs="Arial" w:eastAsia="Arial" w:hAnsi="Arial"/>
          <w:sz w:val="18"/>
          <w:szCs w:val="18"/>
          <w:color w:val="auto"/>
        </w:rPr>
        <w:t>programs that provide mental health and emotional well-being support, and resources to help manage stress and care for individuals and their families. Finally, we paid for or reimbursed employees for the cost of COVID-19 testing and enhanced our sick leave policies.</w:t>
      </w:r>
    </w:p>
    <w:p>
      <w:pPr>
        <w:spacing w:after="0" w:line="76" w:lineRule="exact"/>
        <w:rPr>
          <w:sz w:val="20"/>
          <w:szCs w:val="20"/>
          <w:color w:val="auto"/>
        </w:rPr>
      </w:pPr>
    </w:p>
    <w:p>
      <w:pPr>
        <w:ind w:right="80" w:firstLine="656"/>
        <w:spacing w:after="0" w:line="315" w:lineRule="auto"/>
        <w:rPr>
          <w:sz w:val="20"/>
          <w:szCs w:val="20"/>
          <w:color w:val="auto"/>
        </w:rPr>
      </w:pPr>
      <w:r>
        <w:rPr>
          <w:rFonts w:ascii="Arial" w:cs="Arial" w:eastAsia="Arial" w:hAnsi="Arial"/>
          <w:sz w:val="15"/>
          <w:szCs w:val="15"/>
          <w:color w:val="auto"/>
        </w:rPr>
        <w:t>At the outset of the COVID-19 pandemic our technology infrastructure allowed us to seamlessly transition to a remote work environment. We increased technology effectiveness to allow our employees to remain fully engaged, productive and well. We also provided individualized support and equipment to our employees as needed to facilitate productivity. We continue to closely monitor and manage the situation regarding the COVID-19 pandemic and follow the recommended practices and guidelines from the World Health Organization as well as local requirements where our offices are located globally.</w:t>
      </w:r>
    </w:p>
    <w:p>
      <w:pPr>
        <w:spacing w:after="0" w:line="4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As noted above, in January 2022, we transitioned to our Future of Work at MSCI, which introduced increased flexibility to how and where employees work, reimagined our use of our offices and modernized technology to enhance MSCI’s interactions with clients and employees. For most of our employees, the Future of Work introduced a hybrid work environment allowing employees to work flexibly, sometimes at the office and other times remotely, based on the requirements of their specific roles. The Future of Work at MSCI unites our inclusive culture with modern ways of working to give employees the accountability, responsibility and empowerment to perform at their very best, while keeping our clients at the center of all we do. We believe these efforts will be iterative and adaptable, and feedback from our employees will be critical to ensure this initiative remains relevant and positions MSCI and its employees for success.</w:t>
      </w:r>
    </w:p>
    <w:p>
      <w:pPr>
        <w:spacing w:after="0" w:line="200" w:lineRule="exact"/>
        <w:rPr>
          <w:sz w:val="20"/>
          <w:szCs w:val="20"/>
          <w:color w:val="auto"/>
        </w:rPr>
      </w:pPr>
    </w:p>
    <w:p>
      <w:pPr>
        <w:spacing w:after="0" w:line="359" w:lineRule="exact"/>
        <w:rPr>
          <w:sz w:val="20"/>
          <w:szCs w:val="20"/>
          <w:color w:val="auto"/>
        </w:rPr>
      </w:pPr>
    </w:p>
    <w:p>
      <w:pPr>
        <w:ind w:left="140" w:hanging="135"/>
        <w:spacing w:after="0"/>
        <w:tabs>
          <w:tab w:leader="none" w:pos="140" w:val="left"/>
        </w:tabs>
        <w:numPr>
          <w:ilvl w:val="0"/>
          <w:numId w:val="20"/>
        </w:numPr>
        <w:rPr>
          <w:rFonts w:ascii="Arial" w:cs="Arial" w:eastAsia="Arial" w:hAnsi="Arial"/>
          <w:sz w:val="15"/>
          <w:szCs w:val="15"/>
          <w:color w:val="auto"/>
        </w:rPr>
      </w:pPr>
      <w:r>
        <w:rPr>
          <w:rFonts w:ascii="Arial" w:cs="Arial" w:eastAsia="Arial" w:hAnsi="Arial"/>
          <w:sz w:val="14"/>
          <w:szCs w:val="14"/>
          <w:color w:val="auto"/>
        </w:rPr>
        <w:t>Management roles are employees in Managing Director, Executive Director or Vice President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4274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Government Regulation</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is subject to reporting, disclosure and recordkeeping obligations pursuant to SEC requirements applicable to U.S. public companies.</w:t>
      </w:r>
    </w:p>
    <w:p>
      <w:pPr>
        <w:spacing w:after="0" w:line="263" w:lineRule="exact"/>
        <w:rPr>
          <w:sz w:val="20"/>
          <w:szCs w:val="20"/>
          <w:color w:val="auto"/>
        </w:rPr>
      </w:pPr>
    </w:p>
    <w:p>
      <w:pPr>
        <w:ind w:firstLine="589"/>
        <w:spacing w:after="0" w:line="249" w:lineRule="auto"/>
        <w:rPr>
          <w:sz w:val="20"/>
          <w:szCs w:val="20"/>
          <w:color w:val="auto"/>
        </w:rPr>
      </w:pPr>
      <w:r>
        <w:rPr>
          <w:rFonts w:ascii="Arial" w:cs="Arial" w:eastAsia="Arial" w:hAnsi="Arial"/>
          <w:sz w:val="18"/>
          <w:szCs w:val="18"/>
          <w:color w:val="auto"/>
        </w:rPr>
        <w:t xml:space="preserve">Pursuant to the European Union’s benchmark regulation, the United Kingdom’s Financial Conduct Authority (“UK FCA”) authorized MSCI Limited (a subsidiary of MSCI Inc.) to be the benchmark administrator for applicable MSCI indexes. Information about index regulation is periodically updated on our website at </w:t>
      </w:r>
      <w:r>
        <w:rPr>
          <w:rFonts w:ascii="Arial" w:cs="Arial" w:eastAsia="Arial" w:hAnsi="Arial"/>
          <w:sz w:val="18"/>
          <w:szCs w:val="18"/>
          <w:u w:val="single" w:color="auto"/>
          <w:color w:val="auto"/>
        </w:rPr>
        <w:t>https://www.msci.com/index-regulation</w:t>
      </w:r>
      <w:r>
        <w:rPr>
          <w:rFonts w:ascii="Arial" w:cs="Arial" w:eastAsia="Arial" w:hAnsi="Arial"/>
          <w:sz w:val="18"/>
          <w:szCs w:val="18"/>
          <w:color w:val="auto"/>
        </w:rPr>
        <w:t>. The contents of our website, including this webpage, are not, however, a part of or incorporated by reference in this Annual Report on Form 10-K.</w:t>
      </w:r>
    </w:p>
    <w:p>
      <w:pPr>
        <w:spacing w:after="0" w:line="232" w:lineRule="exact"/>
        <w:rPr>
          <w:sz w:val="20"/>
          <w:szCs w:val="20"/>
          <w:color w:val="auto"/>
        </w:rPr>
      </w:pPr>
    </w:p>
    <w:p>
      <w:pPr>
        <w:ind w:right="200" w:firstLine="589"/>
        <w:spacing w:after="0" w:line="248" w:lineRule="auto"/>
        <w:rPr>
          <w:sz w:val="20"/>
          <w:szCs w:val="20"/>
          <w:color w:val="auto"/>
        </w:rPr>
      </w:pPr>
      <w:r>
        <w:rPr>
          <w:rFonts w:ascii="Arial" w:cs="Arial" w:eastAsia="Arial" w:hAnsi="Arial"/>
          <w:sz w:val="18"/>
          <w:szCs w:val="18"/>
          <w:color w:val="auto"/>
        </w:rPr>
        <w:t>MSCI ESG Research LLC is a registered investment adviser and must comply with the requirements of the Investment Advisers Act of 1940 (the “Advisers Act”) and related SEC regulations. Such requirements relate to, among other things, disclosure obligations, recordkeeping and reporting requirements, marketing restrictions and general anti-fraud prohibitions. It is possible that in addition to MSCI ESG Research LLC, other entities in our corporate family may be required to register as an investment adviser under the Advisers Act or comply with similar laws or requirements in states or foreign jurisdictions.</w:t>
      </w:r>
    </w:p>
    <w:p>
      <w:pPr>
        <w:spacing w:after="0" w:line="258" w:lineRule="exact"/>
        <w:rPr>
          <w:sz w:val="20"/>
          <w:szCs w:val="20"/>
          <w:color w:val="auto"/>
        </w:rPr>
      </w:pPr>
    </w:p>
    <w:p>
      <w:pPr>
        <w:ind w:right="320" w:firstLine="589"/>
        <w:spacing w:after="0" w:line="252" w:lineRule="auto"/>
        <w:rPr>
          <w:sz w:val="20"/>
          <w:szCs w:val="20"/>
          <w:color w:val="auto"/>
        </w:rPr>
      </w:pPr>
      <w:r>
        <w:rPr>
          <w:rFonts w:ascii="Arial" w:cs="Arial" w:eastAsia="Arial" w:hAnsi="Arial"/>
          <w:sz w:val="18"/>
          <w:szCs w:val="18"/>
          <w:color w:val="auto"/>
        </w:rPr>
        <w:t>A subsidiary of the Company is registered with the State Council Information Office of the Ministry of Commerce and the State Administration for Industry and Commerce in China as a foreign institution supplying financial information services in China. This license is currently administered by the Cyberspace Administration of China.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w w:val="91"/>
              </w:rPr>
              <w:t>Information About Our Executive Officers</w:t>
            </w:r>
          </w:p>
        </w:tc>
        <w:tc>
          <w:tcPr>
            <w:tcW w:w="120" w:type="dxa"/>
            <w:vAlign w:val="bottom"/>
          </w:tcPr>
          <w:p>
            <w:pPr>
              <w:spacing w:after="0"/>
              <w:rPr>
                <w:sz w:val="19"/>
                <w:szCs w:val="19"/>
                <w:color w:val="auto"/>
              </w:rPr>
            </w:pPr>
          </w:p>
        </w:tc>
        <w:tc>
          <w:tcPr>
            <w:tcW w:w="7860" w:type="dxa"/>
            <w:vAlign w:val="bottom"/>
          </w:tcPr>
          <w:p>
            <w:pPr>
              <w:spacing w:after="0"/>
              <w:rPr>
                <w:sz w:val="19"/>
                <w:szCs w:val="19"/>
                <w:color w:val="auto"/>
              </w:rPr>
            </w:pPr>
          </w:p>
        </w:tc>
      </w:tr>
      <w:tr>
        <w:trPr>
          <w:trHeight w:val="421"/>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Age</w:t>
            </w:r>
          </w:p>
        </w:tc>
        <w:tc>
          <w:tcPr>
            <w:tcW w:w="120" w:type="dxa"/>
            <w:vAlign w:val="bottom"/>
          </w:tcPr>
          <w:p>
            <w:pPr>
              <w:spacing w:after="0"/>
              <w:rPr>
                <w:sz w:val="24"/>
                <w:szCs w:val="24"/>
                <w:color w:val="auto"/>
              </w:rPr>
            </w:pPr>
          </w:p>
        </w:tc>
        <w:tc>
          <w:tcPr>
            <w:tcW w:w="7860" w:type="dxa"/>
            <w:vAlign w:val="bottom"/>
            <w:tcBorders>
              <w:bottom w:val="single" w:sz="8" w:color="auto"/>
            </w:tcBorders>
          </w:tcPr>
          <w:p>
            <w:pPr>
              <w:ind w:left="3680"/>
              <w:spacing w:after="0"/>
              <w:rPr>
                <w:sz w:val="20"/>
                <w:szCs w:val="20"/>
                <w:color w:val="auto"/>
              </w:rPr>
            </w:pPr>
            <w:r>
              <w:rPr>
                <w:rFonts w:ascii="Arial" w:cs="Arial" w:eastAsia="Arial" w:hAnsi="Arial"/>
                <w:sz w:val="18"/>
                <w:szCs w:val="18"/>
                <w:b w:val="1"/>
                <w:bCs w:val="1"/>
                <w:color w:val="auto"/>
              </w:rPr>
              <w:t>Position</w:t>
            </w:r>
          </w:p>
        </w:tc>
      </w:tr>
      <w:tr>
        <w:trPr>
          <w:trHeight w:val="191"/>
        </w:trPr>
        <w:tc>
          <w:tcPr>
            <w:tcW w:w="2680" w:type="dxa"/>
            <w:vAlign w:val="bottom"/>
          </w:tcPr>
          <w:p>
            <w:pPr>
              <w:spacing w:after="0" w:line="191" w:lineRule="exact"/>
              <w:rPr>
                <w:sz w:val="20"/>
                <w:szCs w:val="20"/>
                <w:color w:val="auto"/>
              </w:rPr>
            </w:pPr>
            <w:r>
              <w:rPr>
                <w:rFonts w:ascii="Arial" w:cs="Arial" w:eastAsia="Arial" w:hAnsi="Arial"/>
                <w:sz w:val="18"/>
                <w:szCs w:val="18"/>
                <w:color w:val="auto"/>
              </w:rPr>
              <w:t>Henry A. Fernandez</w:t>
            </w:r>
          </w:p>
        </w:tc>
        <w:tc>
          <w:tcPr>
            <w:tcW w:w="160" w:type="dxa"/>
            <w:vAlign w:val="bottom"/>
          </w:tcPr>
          <w:p>
            <w:pPr>
              <w:spacing w:after="0"/>
              <w:rPr>
                <w:sz w:val="16"/>
                <w:szCs w:val="16"/>
                <w:color w:val="auto"/>
              </w:rPr>
            </w:pPr>
          </w:p>
        </w:tc>
        <w:tc>
          <w:tcPr>
            <w:tcW w:w="420" w:type="dxa"/>
            <w:vAlign w:val="bottom"/>
          </w:tcPr>
          <w:p>
            <w:pPr>
              <w:jc w:val="right"/>
              <w:ind w:right="175"/>
              <w:spacing w:after="0"/>
              <w:rPr>
                <w:sz w:val="20"/>
                <w:szCs w:val="20"/>
                <w:color w:val="auto"/>
              </w:rPr>
            </w:pPr>
            <w:r>
              <w:rPr>
                <w:rFonts w:ascii="Arial" w:cs="Arial" w:eastAsia="Arial" w:hAnsi="Arial"/>
                <w:sz w:val="16"/>
                <w:szCs w:val="16"/>
                <w:color w:val="auto"/>
                <w:w w:val="78"/>
              </w:rPr>
              <w:t>63</w:t>
            </w:r>
          </w:p>
        </w:tc>
        <w:tc>
          <w:tcPr>
            <w:tcW w:w="120" w:type="dxa"/>
            <w:vAlign w:val="bottom"/>
          </w:tcPr>
          <w:p>
            <w:pPr>
              <w:spacing w:after="0"/>
              <w:rPr>
                <w:sz w:val="16"/>
                <w:szCs w:val="16"/>
                <w:color w:val="auto"/>
              </w:rPr>
            </w:pPr>
          </w:p>
        </w:tc>
        <w:tc>
          <w:tcPr>
            <w:tcW w:w="7860" w:type="dxa"/>
            <w:vAlign w:val="bottom"/>
          </w:tcPr>
          <w:p>
            <w:pPr>
              <w:spacing w:after="0" w:line="191" w:lineRule="exact"/>
              <w:rPr>
                <w:sz w:val="20"/>
                <w:szCs w:val="20"/>
                <w:color w:val="auto"/>
              </w:rPr>
            </w:pPr>
            <w:r>
              <w:rPr>
                <w:rFonts w:ascii="Arial" w:cs="Arial" w:eastAsia="Arial" w:hAnsi="Arial"/>
                <w:sz w:val="18"/>
                <w:szCs w:val="18"/>
                <w:color w:val="auto"/>
              </w:rPr>
              <w:t>Chairman and Chief Executive Officer</w:t>
            </w:r>
          </w:p>
        </w:tc>
      </w:tr>
      <w:tr>
        <w:trPr>
          <w:trHeight w:val="210"/>
        </w:trPr>
        <w:tc>
          <w:tcPr>
            <w:tcW w:w="2680" w:type="dxa"/>
            <w:vAlign w:val="bottom"/>
          </w:tcPr>
          <w:p>
            <w:pPr>
              <w:spacing w:after="0"/>
              <w:rPr>
                <w:sz w:val="20"/>
                <w:szCs w:val="20"/>
                <w:color w:val="auto"/>
              </w:rPr>
            </w:pPr>
            <w:r>
              <w:rPr>
                <w:rFonts w:ascii="Arial" w:cs="Arial" w:eastAsia="Arial" w:hAnsi="Arial"/>
                <w:sz w:val="18"/>
                <w:szCs w:val="18"/>
                <w:color w:val="auto"/>
              </w:rPr>
              <w:t>C.D. Baer Pettit</w:t>
            </w:r>
          </w:p>
        </w:tc>
        <w:tc>
          <w:tcPr>
            <w:tcW w:w="580" w:type="dxa"/>
            <w:vAlign w:val="bottom"/>
            <w:gridSpan w:val="2"/>
          </w:tcPr>
          <w:p>
            <w:pPr>
              <w:jc w:val="right"/>
              <w:ind w:right="175"/>
              <w:spacing w:after="0"/>
              <w:rPr>
                <w:sz w:val="20"/>
                <w:szCs w:val="20"/>
                <w:color w:val="auto"/>
              </w:rPr>
            </w:pPr>
            <w:r>
              <w:rPr>
                <w:rFonts w:ascii="Arial" w:cs="Arial" w:eastAsia="Arial" w:hAnsi="Arial"/>
                <w:sz w:val="18"/>
                <w:szCs w:val="18"/>
                <w:color w:val="auto"/>
              </w:rPr>
              <w:t>57</w:t>
            </w:r>
          </w:p>
        </w:tc>
        <w:tc>
          <w:tcPr>
            <w:tcW w:w="7980" w:type="dxa"/>
            <w:vAlign w:val="bottom"/>
            <w:gridSpan w:val="2"/>
          </w:tcPr>
          <w:p>
            <w:pPr>
              <w:ind w:left="120"/>
              <w:spacing w:after="0"/>
              <w:rPr>
                <w:sz w:val="20"/>
                <w:szCs w:val="20"/>
                <w:color w:val="auto"/>
              </w:rPr>
            </w:pPr>
            <w:r>
              <w:rPr>
                <w:rFonts w:ascii="Arial" w:cs="Arial" w:eastAsia="Arial" w:hAnsi="Arial"/>
                <w:sz w:val="18"/>
                <w:szCs w:val="18"/>
                <w:color w:val="auto"/>
              </w:rPr>
              <w:t>President and Chief Operating Officer</w:t>
            </w:r>
          </w:p>
        </w:tc>
      </w:tr>
      <w:tr>
        <w:trPr>
          <w:trHeight w:val="210"/>
        </w:trPr>
        <w:tc>
          <w:tcPr>
            <w:tcW w:w="2680" w:type="dxa"/>
            <w:vAlign w:val="bottom"/>
          </w:tcPr>
          <w:p>
            <w:pPr>
              <w:spacing w:after="0"/>
              <w:rPr>
                <w:sz w:val="20"/>
                <w:szCs w:val="20"/>
                <w:color w:val="auto"/>
              </w:rPr>
            </w:pPr>
            <w:r>
              <w:rPr>
                <w:rFonts w:ascii="Arial" w:cs="Arial" w:eastAsia="Arial" w:hAnsi="Arial"/>
                <w:sz w:val="18"/>
                <w:szCs w:val="18"/>
                <w:color w:val="auto"/>
              </w:rPr>
              <w:t>Andrew C. Wiechmann</w:t>
            </w:r>
          </w:p>
        </w:tc>
        <w:tc>
          <w:tcPr>
            <w:tcW w:w="580" w:type="dxa"/>
            <w:vAlign w:val="bottom"/>
            <w:gridSpan w:val="2"/>
          </w:tcPr>
          <w:p>
            <w:pPr>
              <w:jc w:val="right"/>
              <w:ind w:right="175"/>
              <w:spacing w:after="0"/>
              <w:rPr>
                <w:sz w:val="20"/>
                <w:szCs w:val="20"/>
                <w:color w:val="auto"/>
              </w:rPr>
            </w:pPr>
            <w:r>
              <w:rPr>
                <w:rFonts w:ascii="Arial" w:cs="Arial" w:eastAsia="Arial" w:hAnsi="Arial"/>
                <w:sz w:val="18"/>
                <w:szCs w:val="18"/>
                <w:color w:val="auto"/>
              </w:rPr>
              <w:t>42</w:t>
            </w:r>
          </w:p>
        </w:tc>
        <w:tc>
          <w:tcPr>
            <w:tcW w:w="798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10"/>
        </w:trPr>
        <w:tc>
          <w:tcPr>
            <w:tcW w:w="2680" w:type="dxa"/>
            <w:vAlign w:val="bottom"/>
          </w:tcPr>
          <w:p>
            <w:pPr>
              <w:spacing w:after="0"/>
              <w:rPr>
                <w:sz w:val="20"/>
                <w:szCs w:val="20"/>
                <w:color w:val="auto"/>
              </w:rPr>
            </w:pPr>
            <w:r>
              <w:rPr>
                <w:rFonts w:ascii="Arial" w:cs="Arial" w:eastAsia="Arial" w:hAnsi="Arial"/>
                <w:sz w:val="18"/>
                <w:szCs w:val="18"/>
                <w:color w:val="auto"/>
              </w:rPr>
              <w:t>Robert J. Gutowski</w:t>
            </w:r>
          </w:p>
        </w:tc>
        <w:tc>
          <w:tcPr>
            <w:tcW w:w="580" w:type="dxa"/>
            <w:vAlign w:val="bottom"/>
            <w:gridSpan w:val="2"/>
          </w:tcPr>
          <w:p>
            <w:pPr>
              <w:jc w:val="right"/>
              <w:ind w:right="175"/>
              <w:spacing w:after="0"/>
              <w:rPr>
                <w:sz w:val="20"/>
                <w:szCs w:val="20"/>
                <w:color w:val="auto"/>
              </w:rPr>
            </w:pPr>
            <w:r>
              <w:rPr>
                <w:rFonts w:ascii="Arial" w:cs="Arial" w:eastAsia="Arial" w:hAnsi="Arial"/>
                <w:sz w:val="18"/>
                <w:szCs w:val="18"/>
                <w:color w:val="auto"/>
              </w:rPr>
              <w:t>54</w:t>
            </w:r>
          </w:p>
        </w:tc>
        <w:tc>
          <w:tcPr>
            <w:tcW w:w="7980" w:type="dxa"/>
            <w:vAlign w:val="bottom"/>
            <w:gridSpan w:val="2"/>
          </w:tcPr>
          <w:p>
            <w:pPr>
              <w:ind w:left="120"/>
              <w:spacing w:after="0"/>
              <w:rPr>
                <w:sz w:val="20"/>
                <w:szCs w:val="20"/>
                <w:color w:val="auto"/>
              </w:rPr>
            </w:pPr>
            <w:r>
              <w:rPr>
                <w:rFonts w:ascii="Arial" w:cs="Arial" w:eastAsia="Arial" w:hAnsi="Arial"/>
                <w:sz w:val="18"/>
                <w:szCs w:val="18"/>
                <w:color w:val="auto"/>
              </w:rPr>
              <w:t>General Counsel</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Scott A. Crum</w:t>
            </w:r>
          </w:p>
        </w:tc>
        <w:tc>
          <w:tcPr>
            <w:tcW w:w="580" w:type="dxa"/>
            <w:vAlign w:val="bottom"/>
            <w:gridSpan w:val="2"/>
          </w:tcPr>
          <w:p>
            <w:pPr>
              <w:jc w:val="right"/>
              <w:ind w:right="175"/>
              <w:spacing w:after="0"/>
              <w:rPr>
                <w:sz w:val="20"/>
                <w:szCs w:val="20"/>
                <w:color w:val="auto"/>
              </w:rPr>
            </w:pPr>
            <w:r>
              <w:rPr>
                <w:rFonts w:ascii="Arial" w:cs="Arial" w:eastAsia="Arial" w:hAnsi="Arial"/>
                <w:sz w:val="18"/>
                <w:szCs w:val="18"/>
                <w:color w:val="auto"/>
              </w:rPr>
              <w:t>65</w:t>
            </w:r>
          </w:p>
        </w:tc>
        <w:tc>
          <w:tcPr>
            <w:tcW w:w="7980" w:type="dxa"/>
            <w:vAlign w:val="bottom"/>
            <w:gridSpan w:val="2"/>
          </w:tcPr>
          <w:p>
            <w:pPr>
              <w:ind w:left="120"/>
              <w:spacing w:after="0"/>
              <w:rPr>
                <w:sz w:val="20"/>
                <w:szCs w:val="20"/>
                <w:color w:val="auto"/>
              </w:rPr>
            </w:pPr>
            <w:r>
              <w:rPr>
                <w:rFonts w:ascii="Arial" w:cs="Arial" w:eastAsia="Arial" w:hAnsi="Arial"/>
                <w:sz w:val="18"/>
                <w:szCs w:val="18"/>
                <w:color w:val="auto"/>
              </w:rPr>
              <w:t>Chief Human Resources Officer</w:t>
            </w:r>
          </w:p>
        </w:tc>
      </w:tr>
    </w:tbl>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are no family relationships between any of our executive officers and any director or other executive officer of the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Henry A. Fernandez</w:t>
      </w:r>
    </w:p>
    <w:p>
      <w:pPr>
        <w:spacing w:after="0" w:line="108" w:lineRule="exact"/>
        <w:rPr>
          <w:sz w:val="20"/>
          <w:szCs w:val="20"/>
          <w:color w:val="auto"/>
        </w:rPr>
      </w:pPr>
    </w:p>
    <w:p>
      <w:pPr>
        <w:ind w:right="20" w:firstLine="589"/>
        <w:spacing w:after="0" w:line="279" w:lineRule="auto"/>
        <w:rPr>
          <w:sz w:val="20"/>
          <w:szCs w:val="20"/>
          <w:color w:val="auto"/>
        </w:rPr>
      </w:pPr>
      <w:r>
        <w:rPr>
          <w:rFonts w:ascii="Arial" w:cs="Arial" w:eastAsia="Arial" w:hAnsi="Arial"/>
          <w:sz w:val="16"/>
          <w:szCs w:val="16"/>
          <w:color w:val="auto"/>
        </w:rPr>
        <w:t>Mr. Fernandez has served as Chairman since October 2007 and as Chief Executive Officer and a director since 1998. He also served as head of the MSCI business from 1996 to 1998 and as President from 1998 to October 2017. Before leading MSCI’s transition to becoming a fully independent, standalone public company in 2007, he was a Managing Director at Morgan Stanley, where he worked in emerging markets business strategy, equity derivatives sales and trading, mergers and acquisitions, and corporate and mortgage finance. Mr. Fernandez worked for Morgan Stanley from 1983 to 1991 and from 1994 to 2007. Mr. Fernandez also serves on boards of directors/trustees at Royalty Pharma plc, Stanford University, King Abdullah University of Science and Technology and its affiliate, KIMC, the Hoover Institution, Memorial Sloan-Kettering Cancer Center, the Foreign Policy Association, and Catholic Charities of the Archdiocese of New York. Mr. Fernandez previously served on the boards of trustees at Georgetown University, the Trinity School, The Browning School and MexDer (Mexican Derivatives Exchange) and was the Chair of the Advisory Council at the Stanford University Graduate School of Business. He holds a Bachelor of Arts in economics from Georgetown University, an M.B.A. from the Stanford University Graduate School of Business and pursued doctoral studies in economics at Princeton University.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 Baer Pettit</w:t>
      </w:r>
    </w:p>
    <w:p>
      <w:pPr>
        <w:spacing w:after="0" w:line="108" w:lineRule="exact"/>
        <w:rPr>
          <w:sz w:val="20"/>
          <w:szCs w:val="20"/>
          <w:color w:val="auto"/>
        </w:rPr>
      </w:pPr>
    </w:p>
    <w:p>
      <w:pPr>
        <w:ind w:right="60" w:firstLine="589"/>
        <w:spacing w:after="0" w:line="248" w:lineRule="auto"/>
        <w:rPr>
          <w:sz w:val="20"/>
          <w:szCs w:val="20"/>
          <w:color w:val="auto"/>
        </w:rPr>
      </w:pPr>
      <w:r>
        <w:rPr>
          <w:rFonts w:ascii="Arial" w:cs="Arial" w:eastAsia="Arial" w:hAnsi="Arial"/>
          <w:sz w:val="18"/>
          <w:szCs w:val="18"/>
          <w:color w:val="auto"/>
        </w:rPr>
        <w:t>Mr. Pettit has served as the Company's President since October 2017 and the Company’s Chief Operating Officer since January 2020. As President and Chief Operating Officer, Mr. Pettit oversees the Company's business functions, including client coverage, marketing, product management, research and product development, technology and operations. He previously served as Chief Operating Officer from 2015 to 2017, Head of the Product Group from February 2015 to September 2015, Head of Index Products from 2011 to 2015, Head of Marketing from 2005 to 2012 and Head of Client Coverage from 2001 to 2012. Prior to joining the Company, Mr. Pettit worked for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ind w:right="340"/>
        <w:spacing w:after="0" w:line="261" w:lineRule="auto"/>
        <w:rPr>
          <w:sz w:val="20"/>
          <w:szCs w:val="20"/>
          <w:color w:val="auto"/>
        </w:rPr>
      </w:pPr>
      <w:r>
        <w:rPr>
          <w:rFonts w:ascii="Arial" w:cs="Arial" w:eastAsia="Arial" w:hAnsi="Arial"/>
          <w:sz w:val="18"/>
          <w:szCs w:val="18"/>
          <w:color w:val="auto"/>
        </w:rPr>
        <w:t>Bloomberg L.P. from 1992 to 1999. Mr. Pettit holds a Master of Arts degree in history from Cambridge University and a Master of Science degree from the School of Foreign Service at Georgetown University.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C. Wiechmann</w:t>
      </w:r>
    </w:p>
    <w:p>
      <w:pPr>
        <w:spacing w:after="0" w:line="108"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Mr. Wiechmann has served as the Company’s Chief Financial Officer since September 2020 and our Treasurer since November 2021. Mr. Wiechmann previously served as Chief Strategy Officer from May 2019 to September 2020, Interim Chief Financial Officer from March 2019 to May 2019, Head of Strategy and Corporate Development from July 2012 to March 2019, Head of Investor Relations from December 2017 to March 2019 and Head of Financial Planning &amp; Analysis from July 2015 to December 2017. Prior to joining MSCI in 2012, Mr. Wiechmann was an investment banker at Morgan Stanley where he executed M&amp;A and capital markets transactions for financial technology and specialty finance companies, including advising MSCI on its IPO and various acquisitions. Mr. Wiechmann holds Bachelor of Arts degrees in Physics and Economics from Hamilton College.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J. Gutowski</w:t>
      </w:r>
    </w:p>
    <w:p>
      <w:pPr>
        <w:spacing w:after="0" w:line="108"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Mr. Gutowski has served as the Company’s General Counsel since January 2020. Mr. Gutowski previously served as the Company’s Deputy General Counsel and the Head of Compliance from 2010 to 2019 and the Head of Internal Audit from 2012 to 2019. He joined MSCI in 2002. Prior to joining MSCI, he was an attorney in private practice at Rogers &amp; Wells LLP and Clifford Chance LLP. He received his B.A. from Georgetown University and his J.D. from the State University of New York at Buffalo Law School.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 A. Crum</w:t>
      </w:r>
    </w:p>
    <w:p>
      <w:pPr>
        <w:spacing w:after="0" w:line="108"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Mr. Crum has served as the Company’s Chief Human Resources Officer since April 2014. Prior to joining MSCI, Mr. Crum served as global head of human resources for four publicly traded companies. Mr. Crum worked for Avon Products, Inc. as Senior Vice President of Human Resources and Chief People Officer from 2012 to 2013. From 2010 to 2012, Mr. Crum served as Senior Vice President and Chief People Officer of Motorola Mobility Holdings, Inc., one of two publicly traded companies formally created when Motorola Inc. split in January 2011 until it was acquired by Google. Prior to that, he served as the Senior Vice President and Director of Human Resources of ITT Corporation from 2002 to 2010 and Senior Vice President of Administration and Employee Resources at General Instruments Corp. from 1997 to 2000. Mr. Crum holds a Bachelor of Business Administration with a concentration in industrial relations from Southern Methodist University.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4" w:lineRule="exact"/>
        <w:rPr>
          <w:sz w:val="20"/>
          <w:szCs w:val="20"/>
          <w:color w:val="auto"/>
        </w:rPr>
      </w:pPr>
    </w:p>
    <w:p>
      <w:pPr>
        <w:ind w:right="140" w:firstLine="589"/>
        <w:spacing w:after="0" w:line="253" w:lineRule="auto"/>
        <w:rPr>
          <w:sz w:val="20"/>
          <w:szCs w:val="20"/>
          <w:color w:val="auto"/>
        </w:rPr>
      </w:pPr>
      <w:r>
        <w:rPr>
          <w:rFonts w:ascii="Arial" w:cs="Arial" w:eastAsia="Arial" w:hAnsi="Arial"/>
          <w:sz w:val="18"/>
          <w:szCs w:val="18"/>
          <w:color w:val="auto"/>
        </w:rPr>
        <w:t>Our corporate headquarters is located at 7 World Trade Center, 250 Greenwich Street, 49</w:t>
      </w:r>
      <w:r>
        <w:rPr>
          <w:rFonts w:ascii="Arial" w:cs="Arial" w:eastAsia="Arial" w:hAnsi="Arial"/>
          <w:sz w:val="14"/>
          <w:szCs w:val="14"/>
          <w:color w:val="auto"/>
        </w:rPr>
        <w:t>th</w:t>
      </w:r>
      <w:r>
        <w:rPr>
          <w:rFonts w:ascii="Arial" w:cs="Arial" w:eastAsia="Arial" w:hAnsi="Arial"/>
          <w:sz w:val="18"/>
          <w:szCs w:val="18"/>
          <w:color w:val="auto"/>
        </w:rPr>
        <w:t xml:space="preserve"> Floor, New York, New York, 10007, and our telephone number is (212) 804-3900. We maintain a website on the internet at www.msci.com. The contents of our website are not a part of or incorporated by reference in this Annual Report on Form 10-K.</w:t>
      </w:r>
    </w:p>
    <w:p>
      <w:pPr>
        <w:spacing w:after="0" w:line="187" w:lineRule="exact"/>
        <w:rPr>
          <w:sz w:val="20"/>
          <w:szCs w:val="20"/>
          <w:color w:val="auto"/>
        </w:rPr>
      </w:pPr>
    </w:p>
    <w:p>
      <w:pPr>
        <w:ind w:right="60" w:firstLine="589"/>
        <w:spacing w:after="0" w:line="248"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that contains reports, proxy and information statements and other information that we file electronically with the SEC at www.sec.gov. We also make available free of charge, on or through our website, these reports, proxy statements and other information as soon as reasonably practicable following the time they are electronically filed with or furnished to the SEC. To access these, click on the “SEC Filings” link under the “Financial Information” tab found on our Investor Relations homepage (http://ir.msci.com).</w:t>
      </w:r>
    </w:p>
    <w:p>
      <w:pPr>
        <w:spacing w:after="0" w:line="192" w:lineRule="exact"/>
        <w:rPr>
          <w:sz w:val="20"/>
          <w:szCs w:val="20"/>
          <w:color w:val="auto"/>
        </w:rPr>
      </w:pPr>
    </w:p>
    <w:p>
      <w:pPr>
        <w:ind w:right="600" w:firstLine="589"/>
        <w:spacing w:after="0" w:line="324" w:lineRule="auto"/>
        <w:rPr>
          <w:sz w:val="20"/>
          <w:szCs w:val="20"/>
          <w:color w:val="auto"/>
        </w:rPr>
      </w:pPr>
      <w:r>
        <w:rPr>
          <w:rFonts w:ascii="Arial" w:cs="Arial" w:eastAsia="Arial" w:hAnsi="Arial"/>
          <w:sz w:val="16"/>
          <w:szCs w:val="16"/>
          <w:color w:val="auto"/>
        </w:rPr>
        <w:t>We also use our Investor Relations homepage, Corporate Responsibility homepage and corporate Twitter account (@MSCI_Inc) as channels of distribution of Company information. The information we post through these channels may be deemed material.</w:t>
      </w:r>
    </w:p>
    <w:p>
      <w:pPr>
        <w:spacing w:after="0" w:line="134" w:lineRule="exact"/>
        <w:rPr>
          <w:sz w:val="20"/>
          <w:szCs w:val="20"/>
          <w:color w:val="auto"/>
        </w:rPr>
      </w:pPr>
    </w:p>
    <w:p>
      <w:pPr>
        <w:ind w:right="200" w:firstLine="589"/>
        <w:spacing w:after="0" w:line="248" w:lineRule="auto"/>
        <w:rPr>
          <w:sz w:val="20"/>
          <w:szCs w:val="20"/>
          <w:color w:val="auto"/>
        </w:rPr>
      </w:pPr>
      <w:r>
        <w:rPr>
          <w:rFonts w:ascii="Arial" w:cs="Arial" w:eastAsia="Arial" w:hAnsi="Arial"/>
          <w:sz w:val="18"/>
          <w:szCs w:val="18"/>
          <w:color w:val="auto"/>
        </w:rPr>
        <w:t>Accordingly, investors should monitor these channels, in addition to following our press releases, SEC filings and public conference calls and webcasts. In addition, you may automatically receive email alerts and other information about us when you enroll your email address by visiting the “Email Alert Subscription” section of our Investor Relations homepage at http://ir.msci.com/alerts.cfm. The contents of our website, including our Investor Relations homepage, Corporate Responsibility homepage and social media channels are not, however, a part of or incorporated by reference in this Annual Report on Form 10-K.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7" w:name="page18"/>
    <w:bookmarkEnd w:id="17"/>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4"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i w:val="1"/>
          <w:iCs w:val="1"/>
          <w:color w:val="auto"/>
        </w:rPr>
        <w:t>You should carefully consider the following risks and all of the other information set forth in this Annual Report on Form 10-K. If any of the following risks actually occurs, our business, financial condition or results of operations could be materially and adversely affected. You should read the section titled “Forward-Looking Statements” on page 1 for a description of the types of statements that are considered forward-looking statements, as well as the significance of such statements in the context of this Annual Report on Form 10-K. This information should be read in conjunction with "Management’s Discussion and Analysis of Financial Condition and Result of Operations" and the consolidated financial statements and related notes. These factors could cause our future results to differ materially from our historical results and from expectations reflected in forward-looking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220" w:lineRule="exact"/>
        <w:rPr>
          <w:sz w:val="20"/>
          <w:szCs w:val="20"/>
          <w:color w:val="auto"/>
        </w:rPr>
      </w:pPr>
    </w:p>
    <w:p>
      <w:pPr>
        <w:ind w:right="180" w:firstLine="540"/>
        <w:spacing w:after="0" w:line="261" w:lineRule="auto"/>
        <w:rPr>
          <w:sz w:val="20"/>
          <w:szCs w:val="20"/>
          <w:color w:val="auto"/>
        </w:rPr>
      </w:pPr>
      <w:r>
        <w:rPr>
          <w:rFonts w:ascii="Arial" w:cs="Arial" w:eastAsia="Arial" w:hAnsi="Arial"/>
          <w:sz w:val="18"/>
          <w:szCs w:val="18"/>
          <w:color w:val="auto"/>
        </w:rPr>
        <w:t>Our business is subject to numerous risks and uncertainties, discussed in more detail in the following section. These risks include, among others, the following key risks:</w:t>
      </w:r>
    </w:p>
    <w:p>
      <w:pPr>
        <w:spacing w:after="0" w:line="181" w:lineRule="exact"/>
        <w:rPr>
          <w:sz w:val="20"/>
          <w:szCs w:val="20"/>
          <w:color w:val="auto"/>
        </w:rPr>
      </w:pPr>
    </w:p>
    <w:p>
      <w:pPr>
        <w:ind w:left="840" w:right="280" w:hanging="414"/>
        <w:spacing w:after="0" w:line="261"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dependence on third parties to supply data, applications and services for our products and services and on certain vendors to distribute our products;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Undetected errors, defects, malfunctions or similar problems in our products leading to increased costs or liability;</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COVID-19 pandemic or other widespread health crises;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exposure to potential reputational and credibility concerns;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possibility that our clients seek to negotiate lower asset-based fees or cease using our indexes as the basis for indexed investment products;</w:t>
      </w:r>
    </w:p>
    <w:p>
      <w:pPr>
        <w:spacing w:after="0" w:line="223" w:lineRule="exact"/>
        <w:rPr>
          <w:rFonts w:ascii="Arial" w:cs="Arial" w:eastAsia="Arial" w:hAnsi="Arial"/>
          <w:sz w:val="16"/>
          <w:szCs w:val="16"/>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Cancellations or reductions by any of our largest clients and/or reduced demand for our products or services;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failures, disruptions, instability or vulnerabilities in our information technology systems or applications;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ensure and protect the confidentiality of data;</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exposure to cyber-attacks or failures of our cyber-security plans, systems or procedures;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Unanticipated failures, interruptions or delays in the performance or delivery of our products as a result of the adoption of new technologies;</w:t>
      </w:r>
    </w:p>
    <w:p>
      <w:pPr>
        <w:spacing w:after="0" w:line="223" w:lineRule="exact"/>
        <w:rPr>
          <w:rFonts w:ascii="Arial" w:cs="Arial" w:eastAsia="Arial" w:hAnsi="Arial"/>
          <w:sz w:val="16"/>
          <w:szCs w:val="16"/>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vulnerabilities resulting from our use of open source code;</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changes in the global capital markets;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on us from competition and financial and budgetary pressures affecting our clients;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need to successfully develop new and enhanced products and services in order to remain competitive;</w:t>
      </w:r>
    </w:p>
    <w:p>
      <w:pPr>
        <w:spacing w:after="0" w:line="200" w:lineRule="exact"/>
        <w:rPr>
          <w:rFonts w:ascii="Arial" w:cs="Arial" w:eastAsia="Arial" w:hAnsi="Arial"/>
          <w:sz w:val="18"/>
          <w:szCs w:val="18"/>
          <w:color w:val="auto"/>
        </w:rPr>
      </w:pPr>
    </w:p>
    <w:p>
      <w:pPr>
        <w:ind w:left="840" w:right="300" w:hanging="414"/>
        <w:spacing w:after="0" w:line="261"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our global operations and any future expansion on management and our exposure to additional issues from our increased global footprint;</w:t>
      </w:r>
    </w:p>
    <w:p>
      <w:pPr>
        <w:spacing w:after="0" w:line="141"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regulations or changes to current regulations;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foreign currency exchange rate fluctuation;</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our indebtedness on our financial flexibility;</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changes in our credit ratings; and</w:t>
      </w:r>
    </w:p>
    <w:p>
      <w:pPr>
        <w:spacing w:after="0" w:line="200"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exposure to tax liabilities in various jurisdictions.</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69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1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We are dependent on third parties to supply data, applications and services for our products and services and are dependent on certain vendors to distribute our products. A refusal or failure by a key vendor to distribute our products or any loss of key outside suppliers of data, applications or services or a reduction in the accuracy or quality of such data, applications or services or any failure by us to comply with our suppliers’ or distributors’ licensing requirements could impair our ability to provide our clients with our products and services, which could have a material adverse effect on our business, financial condition or results of operations.</w:t>
      </w:r>
    </w:p>
    <w:p>
      <w:pPr>
        <w:spacing w:after="0" w:line="60" w:lineRule="exact"/>
        <w:rPr>
          <w:sz w:val="20"/>
          <w:szCs w:val="20"/>
          <w:color w:val="auto"/>
        </w:rPr>
      </w:pPr>
    </w:p>
    <w:p>
      <w:pPr>
        <w:ind w:right="180" w:firstLine="589"/>
        <w:spacing w:after="0" w:line="286" w:lineRule="auto"/>
        <w:rPr>
          <w:sz w:val="20"/>
          <w:szCs w:val="20"/>
          <w:color w:val="auto"/>
        </w:rPr>
      </w:pPr>
      <w:r>
        <w:rPr>
          <w:rFonts w:ascii="Arial" w:cs="Arial" w:eastAsia="Arial" w:hAnsi="Arial"/>
          <w:sz w:val="16"/>
          <w:szCs w:val="16"/>
          <w:color w:val="auto"/>
        </w:rPr>
        <w:t>We rely on third-party suppliers of data, applications and services, including data from stock exchanges (“Vendor Products”), and depend on the accuracy and quality of Vendor Products and the ability and willingness of such suppliers to deliver, support, enhance and develop new Vendor Products on a timely and cost-effective basis, and respond to emerging industry needs and other changes in order to produce, deliver and develop our products and services. Additionally, we depend on clients to supply certain data in order to provide our services to them. Any failure to supply, errors or reduction in the amount, accuracy or quality of such data supplied from clients impairs our ability to provide them with our products and services.</w:t>
      </w:r>
    </w:p>
    <w:p>
      <w:pPr>
        <w:spacing w:after="0" w:line="166"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If Vendor Products include errors, design defects, are delayed, become incompatible with future versions of our products, are unavailable on acceptable terms or are not available at all, we may not be able to deliver our products and services. In addition, in the ordinary course suppliers of Vendor Products are subject to various forms of cyber-attacks. Breaches of our suppliers’ systems and networks may cause material interruptions or malfunctions in our or such suppliers’ websites, applications or data processing, or may compromise the confidentiality and integrity of affected information.</w:t>
      </w:r>
    </w:p>
    <w:p>
      <w:pPr>
        <w:spacing w:after="0" w:line="162"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Some of our agreements with third-party suppliers allow them to cancel on short notice and from time to time we receive notices from third-party suppliers threatening to terminate the provision of their products or services to us, and some data suppliers have terminated the provision of their data to us. Termination of the provision of Vendor Products by one or more of our significant suppliers or exclusion from, or restricted use of, or litigation in connection with Vendor Products could decrease the data and materials available for us to use and deliver to our clients. In addition, some of our competitors could enter into exclusive contracts with our data suppliers, including with certain stock exchanges. If our competitors enter into such exclusive contracts, we may be precluded from receiving certain data or other materials from these suppliers or restricted in our use of such data or other materials, which would give our competitors a competitive advantage. Such exclusive contracts could hinder our ability to create our products and services or to provide our clients with the data or other products or services they prefer, which could lead to a decrease in our client base.</w:t>
      </w:r>
    </w:p>
    <w:p>
      <w:pPr>
        <w:spacing w:after="0" w:line="169"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Despite our efforts to comply with the licensing requirements of Vendor Products, our use of certain Vendor Products has been challenged in the past and there can be no assurance that third parties may not challenge our use in the future, resulting in increased acquisition or licensing costs, loss of rights and/or costly legal actions. Our business could be materially adversely affected if we are unable to timely or effectively replace the data or functionality provided by Vendor Products that become unavailable or fail to operate effectively for any reason. Our operating costs could increase if additional license fees are imposed or current license fees increase or the efforts to incorporate enhancements to Vendor Products are substantial and we are unable to negotiate acceptable licensing arrangements with these suppliers or find alternative sources of equivalent products or services. If any of these risks materialize, they could have a material adverse effect on our business, financial condition or results of operations.</w:t>
      </w:r>
    </w:p>
    <w:p>
      <w:pPr>
        <w:spacing w:after="0" w:line="169"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We also rely on certain third-party vendors to distribute our data to clients. While some of our vendors generate revenue in connection with distributing our data, others do not derive a direct financial benefit. Should any of our key vendors refuse to distribute our data for any reason or require that we pay them new or additional fees in connection with the distribution of our data, we would need to find alternative ways to distribute our data or lose revenue or profitability for certain products, which may have a material adverse effect on our business, financial condition or results of operations.</w:t>
      </w:r>
    </w:p>
    <w:p>
      <w:pPr>
        <w:spacing w:after="0" w:line="162" w:lineRule="exact"/>
        <w:rPr>
          <w:sz w:val="20"/>
          <w:szCs w:val="20"/>
          <w:color w:val="auto"/>
        </w:rPr>
      </w:pPr>
    </w:p>
    <w:p>
      <w:pPr>
        <w:jc w:val="both"/>
        <w:ind w:right="40"/>
        <w:spacing w:after="0" w:line="299" w:lineRule="auto"/>
        <w:rPr>
          <w:sz w:val="20"/>
          <w:szCs w:val="20"/>
          <w:color w:val="auto"/>
        </w:rPr>
      </w:pPr>
      <w:r>
        <w:rPr>
          <w:rFonts w:ascii="Arial" w:cs="Arial" w:eastAsia="Arial" w:hAnsi="Arial"/>
          <w:sz w:val="16"/>
          <w:szCs w:val="16"/>
          <w:b w:val="1"/>
          <w:bCs w:val="1"/>
          <w:i w:val="1"/>
          <w:iCs w:val="1"/>
          <w:color w:val="auto"/>
        </w:rPr>
        <w:t>If our products contain undetected errors or fail to perform properly due to defects, malfunctions or similar problems, we may, among other things, become subject to increased costs or liability based on the use of our products or services to support our clients’ investment processes, which could have a material adverse effect on our business, financial condition or results of operations.</w:t>
      </w:r>
    </w:p>
    <w:p>
      <w:pPr>
        <w:spacing w:after="0" w:line="48" w:lineRule="exact"/>
        <w:rPr>
          <w:sz w:val="20"/>
          <w:szCs w:val="20"/>
          <w:color w:val="auto"/>
        </w:rPr>
      </w:pPr>
    </w:p>
    <w:p>
      <w:pPr>
        <w:ind w:right="180" w:firstLine="589"/>
        <w:spacing w:after="0" w:line="252" w:lineRule="auto"/>
        <w:rPr>
          <w:sz w:val="20"/>
          <w:szCs w:val="20"/>
          <w:color w:val="auto"/>
        </w:rPr>
      </w:pPr>
      <w:r>
        <w:rPr>
          <w:rFonts w:ascii="Arial" w:cs="Arial" w:eastAsia="Arial" w:hAnsi="Arial"/>
          <w:sz w:val="18"/>
          <w:szCs w:val="18"/>
          <w:color w:val="auto"/>
        </w:rPr>
        <w:t>Our products and services support the investment processes of our clients, which relate to, in the aggregate, trillions of dollars in assets. Products or services we develop or license may contain undetected errors or defects despite testing or other quality assurance practices. Use of our products or services as part of the investment process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9" w:name="page20"/>
    <w:bookmarkEnd w:id="19"/>
    <w:p>
      <w:pPr>
        <w:ind w:right="120"/>
        <w:spacing w:after="0" w:line="299" w:lineRule="auto"/>
        <w:rPr>
          <w:sz w:val="20"/>
          <w:szCs w:val="20"/>
          <w:color w:val="auto"/>
        </w:rPr>
      </w:pPr>
      <w:r>
        <w:rPr>
          <w:rFonts w:ascii="Arial" w:cs="Arial" w:eastAsia="Arial" w:hAnsi="Arial"/>
          <w:sz w:val="16"/>
          <w:szCs w:val="16"/>
          <w:color w:val="auto"/>
        </w:rPr>
        <w:t>creates the risk that our clients, the parties whose assets are managed by our clients, investors in investment products linked to our indexes, the companies that we rate or assess in our ESG solutions or the shareholders of those companies, may pursue claims against us based on even a small error in our data, calculations, methodologies or analysis or a malfunction or failure in our systems, products or services.</w:t>
      </w:r>
    </w:p>
    <w:p>
      <w:pPr>
        <w:spacing w:after="0" w:line="154" w:lineRule="exact"/>
        <w:rPr>
          <w:sz w:val="20"/>
          <w:szCs w:val="20"/>
          <w:color w:val="auto"/>
        </w:rPr>
      </w:pPr>
    </w:p>
    <w:p>
      <w:pPr>
        <w:ind w:right="40" w:firstLine="589"/>
        <w:spacing w:after="0" w:line="299" w:lineRule="auto"/>
        <w:rPr>
          <w:sz w:val="20"/>
          <w:szCs w:val="20"/>
          <w:color w:val="auto"/>
        </w:rPr>
      </w:pPr>
      <w:r>
        <w:rPr>
          <w:rFonts w:ascii="Arial" w:cs="Arial" w:eastAsia="Arial" w:hAnsi="Arial"/>
          <w:sz w:val="15"/>
          <w:szCs w:val="15"/>
          <w:color w:val="auto"/>
        </w:rPr>
        <w:t>Errors or defects can exist at any point in a product’s lifecycle, but are frequently found after introduction of new products or services or enhancements to existing products. We continually introduce new methodologies and products, and new versions of and updates to our existing products or services. Despite internal testing and in some cases testing or use by clients, our products or services may contain errors in our data, calculations, methodologies or analysis, including serious defects or malfunctions. If we detect any errors before we release or deliver a product or service or publish a methodology or analysis, we might have to suspend or delay the product or service release or delivery for an extended period of time while we address the problem. We may not discover errors that affect our products or services or enhancements until after they are deployed, and we may need to provide enhancements or corrections to address such errors, and in certain cases it may be impracticable to do so. If undetected errors exist in our products or services, or if our products or services fail to perform properly due to defects, malfunctions or similar problems, it could result in harm to our brand or reputation, significantly increased costs, lost sales, delays in commercial release, third-party claims, contractual disputes, negative publicity, delays in or loss of market acceptance of our products or services, license terminations or renegotiations and/or unexpected expenses and diversion of resources to remedy or mitigate such errors, defects or malfunctions. The realization of any of these events could materially adversely affect our business, financial condition or results of operations.</w:t>
      </w:r>
    </w:p>
    <w:p>
      <w:pPr>
        <w:spacing w:after="0" w:line="160"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While we have provisions in our client contracts that are designed to limit our liability from claims brought by our clients or third parties relating to our products or services, these provisions could be invalidated or fail to adequately limit our liability. In addition, clients also increasingly require us to provide contractual assurances regarding our risk management and security practices or policies, and many of our clients in the financial services sector are subject to regulations and requirements to adopt risk management processes to oversee their third-party relationships. Contractual disputes could result in the provision of credits, adverse monetary judgments and other penalties and damages. Any such claims brought against us, even if the outcome were to be ultimately favorable to us, would require attention of our management, personnel, financial and other resources and could have a negative impact on our reputation or pose a significant disruption to our normal business operations. In addition, the duration or outcome of such claims and lawsuits is difficult to predict, which could further exacerbate the adverse effect they may have on our business, financial condition or results of operations.</w:t>
      </w:r>
    </w:p>
    <w:p>
      <w:pPr>
        <w:spacing w:after="0" w:line="16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The COVID-19 pandemic, or other widespread health crises, could have a material adverse effect on our business, financial condition or results of operations.</w:t>
      </w:r>
    </w:p>
    <w:p>
      <w:pPr>
        <w:spacing w:after="0" w:line="181" w:lineRule="exact"/>
        <w:rPr>
          <w:sz w:val="20"/>
          <w:szCs w:val="20"/>
          <w:color w:val="auto"/>
        </w:rPr>
      </w:pPr>
    </w:p>
    <w:p>
      <w:pPr>
        <w:ind w:right="40" w:firstLine="589"/>
        <w:spacing w:after="0" w:line="282" w:lineRule="auto"/>
        <w:rPr>
          <w:sz w:val="20"/>
          <w:szCs w:val="20"/>
          <w:color w:val="auto"/>
        </w:rPr>
      </w:pPr>
      <w:r>
        <w:rPr>
          <w:rFonts w:ascii="Arial" w:cs="Arial" w:eastAsia="Arial" w:hAnsi="Arial"/>
          <w:sz w:val="16"/>
          <w:szCs w:val="16"/>
          <w:color w:val="auto"/>
        </w:rPr>
        <w:t>The COVID-19 pandemic has caused significant economic disruption, including volatility in the global equity markets. Our operations have been affected by a range of external factors related to the COVID-19 pandemic that are not within our control, including the imposition in many jurisdictions of a wide range of restrictions on the physical movement of our employees and vendors to limit the spread of COVID-19. Even though some initial measures have been relaxed, certain restrictions have been reinstated as new variants of COVID-19 have emerged, and other measures may be put back into place or increased if the spread of the COVID-19 pandemic continues or increases in the future. While we were not materially impacted in 2021, due to ongoing uncertainty related to the duration, magnitude and impact of the COVID-19 pandemic, and the volatile regional and global economic conditions stemming from the pandemic, its potential effects on our business are uncertain and difficult to predict, but may include:</w:t>
      </w:r>
    </w:p>
    <w:p>
      <w:pPr>
        <w:spacing w:after="0" w:line="169" w:lineRule="exact"/>
        <w:rPr>
          <w:sz w:val="20"/>
          <w:szCs w:val="20"/>
          <w:color w:val="auto"/>
        </w:rPr>
      </w:pPr>
    </w:p>
    <w:p>
      <w:pPr>
        <w:ind w:left="840" w:right="140" w:hanging="414"/>
        <w:spacing w:after="0" w:line="248"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failures, errors, delays, disruptions or instability affecting our key products or services, vendors, suppliers, distributors, information technology platforms, data centers, production and delivery systems, applications or processes, including those that negatively affect our ability to calculate, process or distribute our products or service our clients effectively;</w:t>
      </w:r>
    </w:p>
    <w:p>
      <w:pPr>
        <w:spacing w:after="0" w:line="1" w:lineRule="exact"/>
        <w:rPr>
          <w:rFonts w:ascii="Arial" w:cs="Arial" w:eastAsia="Arial" w:hAnsi="Arial"/>
          <w:sz w:val="18"/>
          <w:szCs w:val="18"/>
          <w:color w:val="auto"/>
        </w:rPr>
      </w:pPr>
    </w:p>
    <w:p>
      <w:pPr>
        <w:ind w:left="840" w:right="280" w:hanging="414"/>
        <w:spacing w:after="0" w:line="243"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equity market conditions, volatility in the financial markets and unforeseen investment trends resulting in a reduction in our asset-based fees, increased cancellations and reduced demand for our products and services;</w:t>
      </w:r>
    </w:p>
    <w:p>
      <w:pPr>
        <w:spacing w:after="0" w:line="1" w:lineRule="exact"/>
        <w:rPr>
          <w:rFonts w:ascii="Arial" w:cs="Arial" w:eastAsia="Arial" w:hAnsi="Arial"/>
          <w:sz w:val="18"/>
          <w:szCs w:val="18"/>
          <w:color w:val="auto"/>
        </w:rPr>
      </w:pPr>
    </w:p>
    <w:p>
      <w:pPr>
        <w:ind w:left="840" w:right="40" w:hanging="414"/>
        <w:spacing w:after="0" w:line="245"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prolonged selling cycles and increased pressures to reduce our fees on account of heightened financial and budgetary pressures affecting our clients (for example, in response to the COVID-19 pandemic, we selectively gave clients access to services licensed under a subscription agreement prior to the beginning of the fee period at no cost to help drive business in key areas);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20" w:name="page21"/>
    <w:bookmarkEnd w:id="20"/>
    <w:p>
      <w:pPr>
        <w:ind w:left="840" w:right="40" w:hanging="414"/>
        <w:spacing w:after="0" w:line="250"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sustain revenue growth through obtaining new clients and achieving and maintaining a high level of renewal rates with respect to our existing clients;</w:t>
      </w:r>
    </w:p>
    <w:p>
      <w:pPr>
        <w:spacing w:after="0" w:line="1"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our ability to collect on our accounts receivables;</w:t>
      </w:r>
    </w:p>
    <w:p>
      <w:pPr>
        <w:spacing w:after="0" w:line="3" w:lineRule="exact"/>
        <w:rPr>
          <w:rFonts w:ascii="Arial" w:cs="Arial" w:eastAsia="Arial" w:hAnsi="Arial"/>
          <w:sz w:val="18"/>
          <w:szCs w:val="18"/>
          <w:color w:val="auto"/>
        </w:rPr>
      </w:pPr>
    </w:p>
    <w:p>
      <w:pPr>
        <w:ind w:left="840" w:right="440" w:hanging="414"/>
        <w:spacing w:after="0" w:line="243"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tax costs as the jurisdictions in which we do business globally may seek to generate additional revenues to offset revenue shortfalls created by the challenging operating environment and stimulus packages;</w:t>
      </w:r>
    </w:p>
    <w:p>
      <w:pPr>
        <w:spacing w:after="0" w:line="1" w:lineRule="exact"/>
        <w:rPr>
          <w:rFonts w:ascii="Arial" w:cs="Arial" w:eastAsia="Arial" w:hAnsi="Arial"/>
          <w:sz w:val="18"/>
          <w:szCs w:val="18"/>
          <w:color w:val="auto"/>
        </w:rPr>
      </w:pPr>
    </w:p>
    <w:p>
      <w:pPr>
        <w:ind w:left="840" w:right="220" w:hanging="414"/>
        <w:spacing w:after="0" w:line="243"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deterioration of worldwide credit and financial markets that could limit our ability to obtain necessary external financing to fund our operations and capital expenditures; and</w:t>
      </w:r>
    </w:p>
    <w:p>
      <w:pPr>
        <w:spacing w:after="0" w:line="1" w:lineRule="exact"/>
        <w:rPr>
          <w:rFonts w:ascii="Arial" w:cs="Arial" w:eastAsia="Arial" w:hAnsi="Arial"/>
          <w:sz w:val="18"/>
          <w:szCs w:val="18"/>
          <w:color w:val="auto"/>
        </w:rPr>
      </w:pPr>
    </w:p>
    <w:p>
      <w:pPr>
        <w:ind w:left="840" w:right="240" w:hanging="414"/>
        <w:spacing w:after="0" w:line="24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strain on our workforce, management and other resources, including employee absenteeism, complications from working remotely and illness of key personnel.</w:t>
      </w:r>
    </w:p>
    <w:p>
      <w:pPr>
        <w:spacing w:after="0" w:line="193"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These effects, alone or taken together, could have a material adverse effect on our business, financial condition or results of operations. If the COVID-19 pandemic is sustained or prolonged, these effects could be exacerbated. Additionally, many of the other risk factors described in this Item may be exacerbated or the likelihood of such risks materializing may be increased by global widespread health crises such as the COVID-19 pandemic and the volatile regional and global economic conditions stemming from the pandemic and responses to the pandemic.</w:t>
      </w:r>
    </w:p>
    <w:p>
      <w:pPr>
        <w:spacing w:after="0" w:line="162" w:lineRule="exact"/>
        <w:rPr>
          <w:sz w:val="20"/>
          <w:szCs w:val="20"/>
          <w:color w:val="auto"/>
        </w:rPr>
      </w:pPr>
    </w:p>
    <w:p>
      <w:pPr>
        <w:ind w:right="280" w:firstLine="589"/>
        <w:spacing w:after="0" w:line="249" w:lineRule="auto"/>
        <w:rPr>
          <w:sz w:val="20"/>
          <w:szCs w:val="20"/>
          <w:color w:val="auto"/>
        </w:rPr>
      </w:pPr>
      <w:r>
        <w:rPr>
          <w:rFonts w:ascii="Arial" w:cs="Arial" w:eastAsia="Arial" w:hAnsi="Arial"/>
          <w:sz w:val="18"/>
          <w:szCs w:val="18"/>
          <w:color w:val="auto"/>
        </w:rPr>
        <w:t>We cannot assure you that we will be successful in our attempts to mitigate any negative effects of this global pandemic on our business, including implementing our business continuity plans and processes, transitioning to remote and flexible-work models globally, proactively reducing costs intended to allow us to protect against further downside revenue risk, and investing in additional initiatives to support our long-term growth, while also focusing on maintaining liquidity and capital structure flexibility.</w:t>
      </w:r>
    </w:p>
    <w:p>
      <w:pPr>
        <w:spacing w:after="0" w:line="192" w:lineRule="exact"/>
        <w:rPr>
          <w:sz w:val="20"/>
          <w:szCs w:val="20"/>
          <w:color w:val="auto"/>
        </w:rPr>
      </w:pPr>
    </w:p>
    <w:p>
      <w:pPr>
        <w:ind w:right="20" w:firstLine="589"/>
        <w:spacing w:after="0" w:line="247" w:lineRule="auto"/>
        <w:rPr>
          <w:sz w:val="20"/>
          <w:szCs w:val="20"/>
          <w:color w:val="auto"/>
        </w:rPr>
      </w:pPr>
      <w:r>
        <w:rPr>
          <w:rFonts w:ascii="Arial" w:cs="Arial" w:eastAsia="Arial" w:hAnsi="Arial"/>
          <w:sz w:val="18"/>
          <w:szCs w:val="18"/>
          <w:color w:val="auto"/>
        </w:rPr>
        <w:t>We closely monitor the impact of the COVID-19 pandemic and continually assess its potential effects on our business and take appropriate actions in accordance with the recommendations and requirements of relevant authorities. The extent to which the COVID-19 pandemic may impact our operational and financial performance remains uncertain and will depend on many factors outside of our control, including the timing, extent, trajectory and duration of the pandemic; the emergence, spread and severity of new variants of COVID-19; the development, availability, distribution and effectiveness of vaccines and treatments; the imposition of protective public safety measures, including vaccine and testing mandates; and the impact of the pandemic on the global economy, including financial markets.</w:t>
      </w:r>
    </w:p>
    <w:p>
      <w:pPr>
        <w:spacing w:after="0" w:line="194" w:lineRule="exact"/>
        <w:rPr>
          <w:sz w:val="20"/>
          <w:szCs w:val="20"/>
          <w:color w:val="auto"/>
        </w:rPr>
      </w:pPr>
    </w:p>
    <w:p>
      <w:pPr>
        <w:ind w:right="260" w:firstLine="589"/>
        <w:spacing w:after="0" w:line="252" w:lineRule="auto"/>
        <w:rPr>
          <w:sz w:val="20"/>
          <w:szCs w:val="20"/>
          <w:color w:val="auto"/>
        </w:rPr>
      </w:pPr>
      <w:r>
        <w:rPr>
          <w:rFonts w:ascii="Arial" w:cs="Arial" w:eastAsia="Arial" w:hAnsi="Arial"/>
          <w:sz w:val="18"/>
          <w:szCs w:val="18"/>
          <w:color w:val="auto"/>
        </w:rPr>
        <w:t>This situation is changing rapidly, and additional effects may arise that we are not presently aware of or that we currently do not consider significant risks to our operations. If we are not able to respond to and manage the impact of such events effectively, our business, financial condition or results of operations may be negatively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MSCI is exposed to potential reputational and credibility concerns.</w:t>
      </w:r>
    </w:p>
    <w:p>
      <w:pPr>
        <w:spacing w:after="0" w:line="214"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To the extent that any of MSCI’s operating segments or product lines or MSCI as a whole suffers a reputational or other loss in credibility, it could have a material adverse impact on MSCI’s business. Real or perceived factors that may have already affected credibility, or which could potentially have an impact in this regard, include: the appearance of a conflict of interest; the editorial independence of our index composition and ESG rating and assessment processes and decisions; the influence of third parties, including governments and large investors or asset owners, on our editorial decisions; the performance of companies relative to their ESG ratings, index inclusion, risk characteristics or other MSCI content or analytics; the timing and nature of changes to our indexes or ESG ratings and assessments; disagreement with our methodologies or models, including for calculating indexes, value-at-risk and other risk measures, ESG ratings and assessments, data, information and analysis; the accuracy and completeness of our data; views expressed by the media, politicians, other government officials or representatives, regulators or other third parties regarding our company or our industry or our role in the investment process; our own sustainability and corporate responsibility policies or practices, including as a result of (i) failure to meet publicly disclosed ESG and climate-related targets or goals, or (ii) misalignment with evolving market standards or the methodologies and standards used in our products and ESG ratings; and the impact of political tensions relating to countries, industries, companies or issues relevant to our products and services, such as the inclusion of certain Chinese companies in our indexes or the focus on sustainable investing and climate considerations in our offerings. In some cases, our ESG and Climate offerings, such as our company ESG ratings and our Net-Zero Tracker, may insert MSCI into a public spotlight or debate regarding the environment, social concerns or corporate responsibility. In addition, our position as a leading source of ESG research, ratings, data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1" w:name="page22"/>
    <w:bookmarkEnd w:id="21"/>
    <w:p>
      <w:pPr>
        <w:ind w:right="20"/>
        <w:spacing w:after="0" w:line="286" w:lineRule="auto"/>
        <w:rPr>
          <w:sz w:val="20"/>
          <w:szCs w:val="20"/>
          <w:color w:val="auto"/>
        </w:rPr>
      </w:pPr>
      <w:r>
        <w:rPr>
          <w:rFonts w:ascii="Arial" w:cs="Arial" w:eastAsia="Arial" w:hAnsi="Arial"/>
          <w:sz w:val="16"/>
          <w:szCs w:val="16"/>
          <w:color w:val="auto"/>
        </w:rPr>
        <w:t>assessments may at times become contentious or controversial and lead to disputes with companies or investors or other interested stakeholders and create negative media or regulatory attention. Errors and other actions by MSCI competitors could also damage the reputation of the industries that we operate in and, therefore, harm the reputation of the Company or certain of our products. In addition, we believe that MSCI’s corporate culture and reputation contribute to our ability to attract and retain talent, and reputational damage could negatively affect both our hiring and employee retention. Damage to our reputation, brand or credibility could have a material adverse impact on MSCI’s business, financial condition or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Client Risks</w:t>
      </w:r>
    </w:p>
    <w:p>
      <w:pPr>
        <w:spacing w:after="0" w:line="11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i w:val="1"/>
          <w:iCs w:val="1"/>
          <w:color w:val="auto"/>
        </w:rPr>
        <w:t>Our clients that pay us a fee based on the assets under management or total expense ratio of an indexed investment product may seek to negotiate a lower asset-based fee percentage or lower the total expense ratio of such products or may cease using our indexes, which could limit the growth of or decrease our revenues from asset-based fees.</w:t>
      </w:r>
    </w:p>
    <w:p>
      <w:pPr>
        <w:spacing w:after="0" w:line="84" w:lineRule="exact"/>
        <w:rPr>
          <w:sz w:val="20"/>
          <w:szCs w:val="20"/>
          <w:color w:val="auto"/>
        </w:rPr>
      </w:pPr>
    </w:p>
    <w:p>
      <w:pPr>
        <w:ind w:right="40" w:firstLine="589"/>
        <w:spacing w:after="0" w:line="282" w:lineRule="auto"/>
        <w:rPr>
          <w:sz w:val="20"/>
          <w:szCs w:val="20"/>
          <w:color w:val="auto"/>
        </w:rPr>
      </w:pPr>
      <w:r>
        <w:rPr>
          <w:rFonts w:ascii="Arial" w:cs="Arial" w:eastAsia="Arial" w:hAnsi="Arial"/>
          <w:sz w:val="16"/>
          <w:szCs w:val="16"/>
          <w:color w:val="auto"/>
        </w:rPr>
        <w:t>A portion of our revenues are from asset-based fees and these revenue streams are concentrated in some of our largest clients, including BlackRock, and in our largest market, the U.S. Our clients, including our largest clients, may seek for a variety of reasons to negotiate to pay us lower asset-based fee percentages, which are sometimes calculated as a percentage of the relevant product’s total expense ratio (“TER”). Additionally, competition is intense among our clients that offer or manage indexed investment products, including ETFs, and low fees are one of the competitive differentiators. Where an investment product’s TER determines our fees, a reduction in the TER may negatively impact our revenues. Additionally, our clients, including our largest clients, may seek to renegotiate existing asset-based fee models with the objective of achieving lower fees, either on a rate basis or in aggregate, which may have a negative impact on our operating revenues.</w:t>
      </w:r>
    </w:p>
    <w:p>
      <w:pPr>
        <w:spacing w:after="0" w:line="169" w:lineRule="exact"/>
        <w:rPr>
          <w:sz w:val="20"/>
          <w:szCs w:val="20"/>
          <w:color w:val="auto"/>
        </w:rPr>
      </w:pPr>
    </w:p>
    <w:p>
      <w:pPr>
        <w:ind w:right="40" w:firstLine="589"/>
        <w:spacing w:after="0" w:line="279" w:lineRule="auto"/>
        <w:rPr>
          <w:sz w:val="20"/>
          <w:szCs w:val="20"/>
          <w:color w:val="auto"/>
        </w:rPr>
      </w:pPr>
      <w:r>
        <w:rPr>
          <w:rFonts w:ascii="Arial" w:cs="Arial" w:eastAsia="Arial" w:hAnsi="Arial"/>
          <w:sz w:val="16"/>
          <w:szCs w:val="16"/>
          <w:color w:val="auto"/>
        </w:rPr>
        <w:t>Moreover, clients that have licensed our indexes to serve as the basis of indexed investment products are generally not required to continue to use our indexes and could elect at any time to cease offering the investment product or switch to using a non-MSCI index. Clients that license our indexes to serve as the basis for listed futures and options contracts might also discontinue such contracts. Additionally, we have a differentiated licensing strategy for our indexes and from time to time experience faster growth from lower fee products, resulting in a lower average asset-based fee percentage from indexed investment products. While we aim to maximize the price and volume trade-off over the long-term, there can be no assurance that we will be able to do so. Results for any given quarter could be materially adversely affected by stronger growth in assets in indexed investment products with lower-than-average fees not sufficiently offset by growth in assets in indexed investment products with higher-than-average fees. Our asset-based fees could dramatically decrease, which could have a material adverse effect on our business, financial condition or results of operations. Finally, to the extent that multiple investment products are based on the same index, (i) assets under management in one product could shift to products that pay MSCI lower fee levels, (ii) the products could compete for the same assets such that none of the products becomes large enough to be successful or sustained, or (iii) the failure or discontinuance of one product (</w:t>
      </w:r>
      <w:r>
        <w:rPr>
          <w:rFonts w:ascii="Arial" w:cs="Arial" w:eastAsia="Arial" w:hAnsi="Arial"/>
          <w:sz w:val="16"/>
          <w:szCs w:val="16"/>
          <w:i w:val="1"/>
          <w:iCs w:val="1"/>
          <w:color w:val="auto"/>
        </w:rPr>
        <w:t>e.g.</w:t>
      </w:r>
      <w:r>
        <w:rPr>
          <w:rFonts w:ascii="Arial" w:cs="Arial" w:eastAsia="Arial" w:hAnsi="Arial"/>
          <w:sz w:val="16"/>
          <w:szCs w:val="16"/>
          <w:color w:val="auto"/>
        </w:rPr>
        <w:t>, derivatives used for hedging) could have a detrimental effect on the use of the other products (</w:t>
      </w:r>
      <w:r>
        <w:rPr>
          <w:rFonts w:ascii="Arial" w:cs="Arial" w:eastAsia="Arial" w:hAnsi="Arial"/>
          <w:sz w:val="16"/>
          <w:szCs w:val="16"/>
          <w:i w:val="1"/>
          <w:iCs w:val="1"/>
          <w:color w:val="auto"/>
        </w:rPr>
        <w:t>e.g.</w:t>
      </w:r>
      <w:r>
        <w:rPr>
          <w:rFonts w:ascii="Arial" w:cs="Arial" w:eastAsia="Arial" w:hAnsi="Arial"/>
          <w:sz w:val="16"/>
          <w:szCs w:val="16"/>
          <w:color w:val="auto"/>
        </w:rPr>
        <w:t>, ETFs).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Cancellations or reductions by any of our largest clients could have a material adverse effect on our business, financial condition or results of operations.</w:t>
      </w:r>
    </w:p>
    <w:p>
      <w:pPr>
        <w:spacing w:after="0" w:line="143"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A material portion of our revenues is concentrated in some of our largest customers. For the fiscal year ended December 31, 2021, our largest client organization by revenue, BlackRock, accounted for 12.7% of our total revenues. For the fiscal year ended December 31, 2020, BlackRock accounted for 11.0% of our total revenues. Our revenue growth depends on our ability to obtain new clients, sell additional services to existing clients and achieve and sustain a high level of renewal rates with respect to our existing licenses. Failure to achieve one or more of these objectives could have a material adverse effect on our business, financial condition and results of operations. If one or more of our largest clients cancels or reduces its licenses and we are unsuccessful in replacing those licenses, our business, financial condition or results of operations could be materially adversely affected.</w:t>
      </w:r>
    </w:p>
    <w:p>
      <w:pPr>
        <w:spacing w:after="0" w:line="31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clients may become more self-sufficient, which may reduce demand for our products or services and materially adversely affect our business, financial condition or results of operations.</w:t>
      </w:r>
    </w:p>
    <w:p>
      <w:pPr>
        <w:spacing w:after="0" w:line="76" w:lineRule="exact"/>
        <w:rPr>
          <w:sz w:val="20"/>
          <w:szCs w:val="20"/>
          <w:color w:val="auto"/>
        </w:rPr>
      </w:pPr>
    </w:p>
    <w:p>
      <w:pPr>
        <w:ind w:right="60" w:firstLine="589"/>
        <w:spacing w:after="0" w:line="284" w:lineRule="auto"/>
        <w:rPr>
          <w:sz w:val="20"/>
          <w:szCs w:val="20"/>
          <w:color w:val="auto"/>
        </w:rPr>
      </w:pPr>
      <w:r>
        <w:rPr>
          <w:rFonts w:ascii="Arial" w:cs="Arial" w:eastAsia="Arial" w:hAnsi="Arial"/>
          <w:sz w:val="16"/>
          <w:szCs w:val="16"/>
          <w:color w:val="auto"/>
        </w:rPr>
        <w:t>Our clients may internally develop certain functionality contained in the products or services they currently license from us. For example, a number of our clients have obtained regulatory clearance to create indexes for use as the basis of ETFs that they manage and others have invested in direct indexing strategies, allowing investors to purchase individual stocks making up an index rather than investing in a fund or ETF. Similarly, some of our clients who currently license our risk or ESG and climate data to analyze their portfolio risk may develop their own tools to collect data and assess risk or embed ESG and climate considerations into their investment processes, making our products or services unnecessary for them. A growing number of asset managers and investment banks, in partnership with index providers that offer calculation agent services, or acting together with an industry group or</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2" w:name="page23"/>
    <w:bookmarkEnd w:id="22"/>
    <w:p>
      <w:pPr>
        <w:jc w:val="both"/>
        <w:ind w:right="60"/>
        <w:spacing w:after="0" w:line="252" w:lineRule="auto"/>
        <w:rPr>
          <w:sz w:val="20"/>
          <w:szCs w:val="20"/>
          <w:color w:val="auto"/>
        </w:rPr>
      </w:pPr>
      <w:r>
        <w:rPr>
          <w:rFonts w:ascii="Arial" w:cs="Arial" w:eastAsia="Arial" w:hAnsi="Arial"/>
          <w:sz w:val="18"/>
          <w:szCs w:val="18"/>
          <w:color w:val="auto"/>
        </w:rPr>
        <w:t>association, have created or may create their own range of proprietary indexes, which they use to manage funds or as the basis of ETFs, structured products or over-the-counter derivatives. To the extent that our clients become more self-sufficient, demand for our products or services may be reduced, which could have a material adverse effect on our business,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Risks</w:t>
      </w:r>
    </w:p>
    <w:p>
      <w:pPr>
        <w:spacing w:after="0" w:line="11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Any failures, disruptions, instability or vulnerabilities in our information technology architecture, platforms, vendors and service providers, production and delivery systems, software, code, internal network, the Internet or other systems or applications may disrupt our operations, cause our products to be unavailable or fail and impose delays or additional costs in deploying our products, or impose conditions or restrictions on our ability to commercialize our products or keep them confidential and result in reputational and other harm and have a material adverse effect on our business, financial condition or results of operations.</w:t>
      </w:r>
    </w:p>
    <w:p>
      <w:pPr>
        <w:spacing w:after="0" w:line="87" w:lineRule="exact"/>
        <w:rPr>
          <w:sz w:val="20"/>
          <w:szCs w:val="20"/>
          <w:color w:val="auto"/>
        </w:rPr>
      </w:pPr>
    </w:p>
    <w:p>
      <w:pPr>
        <w:ind w:firstLine="589"/>
        <w:spacing w:after="0" w:line="302" w:lineRule="auto"/>
        <w:rPr>
          <w:sz w:val="20"/>
          <w:szCs w:val="20"/>
          <w:color w:val="auto"/>
        </w:rPr>
      </w:pPr>
      <w:r>
        <w:rPr>
          <w:rFonts w:ascii="Arial" w:cs="Arial" w:eastAsia="Arial" w:hAnsi="Arial"/>
          <w:sz w:val="15"/>
          <w:szCs w:val="15"/>
          <w:color w:val="auto"/>
        </w:rPr>
        <w:t>We depend heavily on the capacity, reliability and security of our information technology systems and platforms and their components, including our data centers, cloud providers and other vendors and service providers, production and delivery systems as well the Internet, to create and deliver our products and service our clients. Our employees also depend on these systems, platforms and providers for internal use. Heavy use of our electronic delivery systems and other factors such as loss of service from third parties, operational failures, human error, terrorist or other attacks affecting systems or sites where we are located, climate or weather related events (</w:t>
      </w:r>
      <w:r>
        <w:rPr>
          <w:rFonts w:ascii="Arial" w:cs="Arial" w:eastAsia="Arial" w:hAnsi="Arial"/>
          <w:sz w:val="15"/>
          <w:szCs w:val="15"/>
          <w:i w:val="1"/>
          <w:iCs w:val="1"/>
          <w:color w:val="auto"/>
        </w:rPr>
        <w:t>e.g.</w:t>
      </w:r>
      <w:r>
        <w:rPr>
          <w:rFonts w:ascii="Arial" w:cs="Arial" w:eastAsia="Arial" w:hAnsi="Arial"/>
          <w:sz w:val="15"/>
          <w:szCs w:val="15"/>
          <w:color w:val="auto"/>
        </w:rPr>
        <w:t>, hurricanes, floods or other natural disasters), another outbreak of pandemic or contagious disease, power loss, telecommunications failures, technical breakdowns, Internet failures or malicious software could impair our systems’ operations or interrupt their availability for extended periods of time or impact the availability of personnel. Our ability to effectively use the Internet, including our remote work force’s ability to access the Internet, may also be impaired due to infrastructure failures, service outages at third-party Internet providers or increased government regulation.</w:t>
      </w:r>
    </w:p>
    <w:p>
      <w:pPr>
        <w:spacing w:after="0" w:line="156"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Disruptions, failures or slowdowns that could occur with respect to our operations, including to our information technology systems and platforms, our electronic delivery systems or the Internet, could damage our brand and reputation, result in litigation and negatively affect our ability to distribute our products effectively and to service our clients, including delivering managed services or delivering real-time index data. To the extent we grow through acquisitions, newly acquired businesses may not have invested in technological infrastructure and disaster recovery to the same extent as we have. As their systems are integrated into ours, a vulnerability could be introduced, which could impact our platforms across the Company.</w:t>
      </w:r>
    </w:p>
    <w:p>
      <w:pPr>
        <w:spacing w:after="0" w:line="166" w:lineRule="exact"/>
        <w:rPr>
          <w:sz w:val="20"/>
          <w:szCs w:val="20"/>
          <w:color w:val="auto"/>
        </w:rPr>
      </w:pPr>
    </w:p>
    <w:p>
      <w:pPr>
        <w:ind w:right="80" w:firstLine="589"/>
        <w:spacing w:after="0" w:line="249" w:lineRule="auto"/>
        <w:rPr>
          <w:sz w:val="20"/>
          <w:szCs w:val="20"/>
          <w:color w:val="auto"/>
        </w:rPr>
      </w:pPr>
      <w:r>
        <w:rPr>
          <w:rFonts w:ascii="Arial" w:cs="Arial" w:eastAsia="Arial" w:hAnsi="Arial"/>
          <w:sz w:val="18"/>
          <w:szCs w:val="18"/>
          <w:color w:val="auto"/>
        </w:rPr>
        <w:t>There is no assurance that we will be able to successfully defend against such disruptions or that our disaster recovery or business continuity plans, or those of our third-party service providers (including cloud providers), will be effective in mitigating the risks and associated costs, which could be exacerbated by our shift to an increasingly remote working environment, and which could have a material impact on our business, financial condition or results of operations.</w:t>
      </w:r>
    </w:p>
    <w:p>
      <w:pPr>
        <w:spacing w:after="0" w:line="29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Any failure to ensure and protect the confidentiality of data could have a material adverse effect on our business, financial condition or results of operations.</w:t>
      </w:r>
    </w:p>
    <w:p>
      <w:pPr>
        <w:spacing w:after="0" w:line="76"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Many of our products, as well as our internal systems and processes, involve the collection, retrieval, processing, storage and transmission of proprietary, third party and client confidential information. We also handle personal information of our employees in connection with their employment. We rely on a complex system of internal processes and IT controls along with policies, procedures and training to protect this information, including sensitive client data such as material non-public information and client portfolio data that may be provided to us or hosted on our systems, against unauthorized access or disclosure. In addition, we believe that when we change the composition of our indexes, in some cases the changes can have an indirect effect on the prices of constituent securities and on certain indexed investment products as a result of trading activity related to tracking our indexes. As the usage and types of uses of our ESG ratings increase, the ratings and changes to the ratings in some cases could also potentially have an impact on the companies that we rate, the price of their securities and the price of other securities that reference their securities.</w:t>
      </w:r>
    </w:p>
    <w:p>
      <w:pPr>
        <w:spacing w:after="0" w:line="169"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If our internal processes, confidentiality policies, conflict of interest policies or information barrier procedures fail or are insufficient, including as a result of human error or manual processes, system error or other failure, or if an employee purposely circumvents or violates our internal controls, policies or procedures, then unauthorized access to, or disclosure or misappropriation of, data, including material non-public or other confidential information (</w:t>
      </w:r>
      <w:r>
        <w:rPr>
          <w:rFonts w:ascii="Arial" w:cs="Arial" w:eastAsia="Arial" w:hAnsi="Arial"/>
          <w:sz w:val="16"/>
          <w:szCs w:val="16"/>
          <w:i w:val="1"/>
          <w:iCs w:val="1"/>
          <w:color w:val="auto"/>
        </w:rPr>
        <w:t>e.g.</w:t>
      </w:r>
      <w:r>
        <w:rPr>
          <w:rFonts w:ascii="Arial" w:cs="Arial" w:eastAsia="Arial" w:hAnsi="Arial"/>
          <w:sz w:val="16"/>
          <w:szCs w:val="16"/>
          <w:color w:val="auto"/>
        </w:rPr>
        <w:t>, certain index composition data or ESG rating data), our brand and reputation may suffer and we may become subject to litigation, regulatory actions, sanctions or other penalties, leading to a loss of client confidence, which could have a material adverse effect on our business, financial condition or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23" w:name="page24"/>
    <w:bookmarkEnd w:id="23"/>
    <w:p>
      <w:pPr>
        <w:ind w:right="300"/>
        <w:spacing w:after="0" w:line="261" w:lineRule="auto"/>
        <w:rPr>
          <w:sz w:val="20"/>
          <w:szCs w:val="20"/>
          <w:color w:val="auto"/>
        </w:rPr>
      </w:pPr>
      <w:r>
        <w:rPr>
          <w:rFonts w:ascii="Arial" w:cs="Arial" w:eastAsia="Arial" w:hAnsi="Arial"/>
          <w:sz w:val="18"/>
          <w:szCs w:val="18"/>
          <w:b w:val="1"/>
          <w:bCs w:val="1"/>
          <w:i w:val="1"/>
          <w:iCs w:val="1"/>
          <w:color w:val="auto"/>
        </w:rPr>
        <w:t>Successful cyber-attacks and the failure of cyber-security plans, systems and procedures could have a material adverse effect on our business, financial condition or results of operations.</w:t>
      </w:r>
    </w:p>
    <w:p>
      <w:pPr>
        <w:spacing w:after="0" w:line="76" w:lineRule="exact"/>
        <w:rPr>
          <w:sz w:val="20"/>
          <w:szCs w:val="20"/>
          <w:color w:val="auto"/>
        </w:rPr>
      </w:pPr>
    </w:p>
    <w:p>
      <w:pPr>
        <w:ind w:right="120" w:firstLine="589"/>
        <w:spacing w:after="0" w:line="279" w:lineRule="auto"/>
        <w:rPr>
          <w:sz w:val="20"/>
          <w:szCs w:val="20"/>
          <w:color w:val="auto"/>
        </w:rPr>
      </w:pPr>
      <w:r>
        <w:rPr>
          <w:rFonts w:ascii="Arial" w:cs="Arial" w:eastAsia="Arial" w:hAnsi="Arial"/>
          <w:sz w:val="16"/>
          <w:szCs w:val="16"/>
          <w:color w:val="auto"/>
        </w:rPr>
        <w:t>The Company’s operations rely on the secure processing, storage and transmission of confidential, sensitive, proprietary and other types of data and information, and on those of our third-party vendors. We and our vendors are subject to cyber risks, including cyber-attacks, such as phishing scams, hacking, tampering, intrusions, viruses, ransomware, malware and denial-of-service attacks. In some cases, these risks are heightened when employees are working remotely. Our and our vendors’ use of mobile and cloud technologies may also increase our risk for such threats. The Company may be exposed to more targeted and more sophisticated cyber-attacks aimed at accessing certain information on our systems because of our role or prominence in the global marketplace, including client portfolio data, the composition of our indexes and MSCI ESG Research ratings of corporate issuers. Any such threats may cause material interruptions or malfunctions in our or our vendors’ products or services, networks, systems, websites, applications, data or data processing, or may otherwise compromise the availability, confidentiality or integrity of data or information in our possession. While the Company has not experienced cyber incidents that are individually, or in the aggregate, material, the Company has experienced cyber-attacks of varying degrees in the past, including denial-of-service attacks, and there can be no assurance that there will not be a material adverse effect in the future.</w:t>
      </w:r>
    </w:p>
    <w:p>
      <w:pPr>
        <w:spacing w:after="0" w:line="69" w:lineRule="exact"/>
        <w:rPr>
          <w:sz w:val="20"/>
          <w:szCs w:val="20"/>
          <w:color w:val="auto"/>
        </w:rPr>
      </w:pPr>
    </w:p>
    <w:p>
      <w:pPr>
        <w:ind w:right="60" w:firstLine="589"/>
        <w:spacing w:after="0" w:line="284" w:lineRule="auto"/>
        <w:rPr>
          <w:sz w:val="20"/>
          <w:szCs w:val="20"/>
          <w:color w:val="auto"/>
        </w:rPr>
      </w:pPr>
      <w:r>
        <w:rPr>
          <w:rFonts w:ascii="Arial" w:cs="Arial" w:eastAsia="Arial" w:hAnsi="Arial"/>
          <w:sz w:val="16"/>
          <w:szCs w:val="16"/>
          <w:color w:val="auto"/>
        </w:rPr>
        <w:t>Our security measures or those of our third-party providers, including any cloud-based technologies, may prove insufficient depending upon the attack or threat posed. Cyber-attacks, security breaches or third-party reports of perceived security vulnerability to the Company’s systems, even if no breach has occurred, could damage our brand and reputation, result in litigation, regulatory actions, sanctions or other penalties, lead to loss of client confidence, which would harm our ability to retain clients and gain new ones, and lead to financial losses. Any of the foregoing could lead to unexpected or higher than estimated costs. We may also incur additional costs as a result of increasing and refining our internal processes and IT controls and policies and procedures related to security, processing integrity and confidentiality or privacy.</w:t>
      </w:r>
    </w:p>
    <w:p>
      <w:pPr>
        <w:spacing w:after="0" w:line="27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i w:val="1"/>
          <w:iCs w:val="1"/>
          <w:color w:val="auto"/>
        </w:rPr>
        <w:t>Migration of our applications, systems, processes and infrastructure to new technologies, cloud providers, data centers, processes, platforms or applications could result in unanticipated failures, interruptions or delays in the performance and delivery of our products, services and client support. Such incidents could have a material adverse effect on our business, financial condition or results of operations.</w:t>
      </w:r>
    </w:p>
    <w:p>
      <w:pPr>
        <w:spacing w:after="0" w:line="48" w:lineRule="exact"/>
        <w:rPr>
          <w:sz w:val="20"/>
          <w:szCs w:val="20"/>
          <w:color w:val="auto"/>
        </w:rPr>
      </w:pPr>
    </w:p>
    <w:p>
      <w:pPr>
        <w:ind w:right="40" w:firstLine="589"/>
        <w:spacing w:after="0" w:line="278" w:lineRule="auto"/>
        <w:rPr>
          <w:sz w:val="20"/>
          <w:szCs w:val="20"/>
          <w:color w:val="auto"/>
        </w:rPr>
      </w:pPr>
      <w:r>
        <w:rPr>
          <w:rFonts w:ascii="Arial" w:cs="Arial" w:eastAsia="Arial" w:hAnsi="Arial"/>
          <w:sz w:val="16"/>
          <w:szCs w:val="16"/>
          <w:color w:val="auto"/>
        </w:rPr>
        <w:t>In the past, we have experienced unanticipated interruption and delay in the performance and delivery of certain products after we migrated applications and infrastructure to new data centers. While we have taken steps to mitigate such interruptions and delays, we cannot provide assurance that they will not occur again in the future as part of migration efforts to new technologies, applications or processes (</w:t>
      </w:r>
      <w:r>
        <w:rPr>
          <w:rFonts w:ascii="Arial" w:cs="Arial" w:eastAsia="Arial" w:hAnsi="Arial"/>
          <w:sz w:val="16"/>
          <w:szCs w:val="16"/>
          <w:i w:val="1"/>
          <w:iCs w:val="1"/>
          <w:color w:val="auto"/>
        </w:rPr>
        <w:t>e.g.</w:t>
      </w:r>
      <w:r>
        <w:rPr>
          <w:rFonts w:ascii="Arial" w:cs="Arial" w:eastAsia="Arial" w:hAnsi="Arial"/>
          <w:sz w:val="16"/>
          <w:szCs w:val="16"/>
          <w:color w:val="auto"/>
        </w:rPr>
        <w:t>, cloud migration), even after extensive testing of new systems, processes, applications and hardware, or if we experience significant growth of our customer base or increases in the number of products or services or in the speed at which we are required to provide products and services. Such disruptions may result in cancellations and reduced demand for our products and services, resulting in decreased revenues, or in cost increases relating to our use of power and data storage. After adopting new technologies, applications and processes, such as cloud computing, virtualization and agile software development, we may experience unanticipated interruption and delay in the performance and delivery of certain of our products, services and client support. We may also incur increased operating expenses to recover data, repair, replace or remediate systems, equipment or facilities, and to protect ourselves from such disruptions. Accordingly, any significant failures, disruptions or instability affecting our information technology platform, cloud providers, data centers, production and delivery systems, applications, processes or the Internet could negatively affect our ability to distribute our products effectively and to service our clients, damage our brand and reputation and result in litigation, which may have a material adverse effect on our business, financial condition or results of operations.</w:t>
      </w:r>
    </w:p>
    <w:p>
      <w:pPr>
        <w:spacing w:after="0" w:line="282"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Our use of open source code could introduce security vulnerabilities, impose unanticipated delays or costs in deploying our products or services, or impose conditions or restrictions on our ability to commercialize our products or services or keep them confidential.</w:t>
      </w:r>
    </w:p>
    <w:p>
      <w:pPr>
        <w:spacing w:after="0" w:line="29" w:lineRule="exact"/>
        <w:rPr>
          <w:sz w:val="20"/>
          <w:szCs w:val="20"/>
          <w:color w:val="auto"/>
        </w:rPr>
      </w:pPr>
    </w:p>
    <w:p>
      <w:pPr>
        <w:ind w:firstLine="589"/>
        <w:spacing w:after="0" w:line="302" w:lineRule="auto"/>
        <w:rPr>
          <w:sz w:val="20"/>
          <w:szCs w:val="20"/>
          <w:color w:val="auto"/>
        </w:rPr>
      </w:pPr>
      <w:r>
        <w:rPr>
          <w:rFonts w:ascii="Arial" w:cs="Arial" w:eastAsia="Arial" w:hAnsi="Arial"/>
          <w:sz w:val="15"/>
          <w:szCs w:val="15"/>
          <w:color w:val="auto"/>
        </w:rPr>
        <w:t>We rely on open source code to develop software and to incorporate it in our products and internal systems. The use of open source code may entail greater risks than the use of third-party commercial software, as open source licensors generally do not provide warranties or other contractual protections regarding infringement claims, the quality of the code or the security of the code. Some open source licenses provide that if we combine our proprietary code with open source code and distribute it in a certain manner, we could be required to release the source code of our proprietary applications to the public. This would allow our competitors to create similar products with less development effort and time and ultimately put us at a competitive disadvantage. Additionally, the terms of many open source code licenses are ambiguous and have not been interpreted by U.S. courts. Therefore, we could be required to seek licenses from third parties on terms that are not commercially feasible, to make generally available portions of our proprietary code, to re-engineer our products or systems, to discontinue the licensing of our products if re-engineering could not be accomplished on a timely or cost-effective basis, or to take other remedial action that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653" w:right="359" w:bottom="1440" w:gutter="0" w:footer="0" w:header="0"/>
        </w:sectPr>
      </w:pPr>
    </w:p>
    <w:bookmarkStart w:id="24" w:name="page25"/>
    <w:bookmarkEnd w:id="24"/>
    <w:p>
      <w:pPr>
        <w:ind w:right="380"/>
        <w:spacing w:after="0" w:line="261" w:lineRule="auto"/>
        <w:rPr>
          <w:sz w:val="20"/>
          <w:szCs w:val="20"/>
          <w:color w:val="auto"/>
        </w:rPr>
      </w:pPr>
      <w:r>
        <w:rPr>
          <w:rFonts w:ascii="Arial" w:cs="Arial" w:eastAsia="Arial" w:hAnsi="Arial"/>
          <w:sz w:val="18"/>
          <w:szCs w:val="18"/>
          <w:color w:val="auto"/>
        </w:rPr>
        <w:t>could divert resources away from our development efforts. Any of these requirements could materially adversely affect our business, financial condition or results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Strategy and Growth Risks</w:t>
      </w:r>
    </w:p>
    <w:p>
      <w:pPr>
        <w:spacing w:after="0" w:line="325"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b w:val="1"/>
          <w:bCs w:val="1"/>
          <w:i w:val="1"/>
          <w:iCs w:val="1"/>
          <w:color w:val="auto"/>
        </w:rPr>
        <w:t>Our business may be affected by changes in the global capital markets, including adverse equity market conditions, volatility in the financial markets and evolving investment trends. Such changes could decrease the use of our products and services which could have a material adverse effect on our business, financial condition or results of operations.</w:t>
      </w:r>
    </w:p>
    <w:p>
      <w:pPr>
        <w:spacing w:after="0" w:line="84" w:lineRule="exact"/>
        <w:rPr>
          <w:sz w:val="20"/>
          <w:szCs w:val="20"/>
          <w:color w:val="auto"/>
        </w:rPr>
      </w:pPr>
    </w:p>
    <w:p>
      <w:pPr>
        <w:ind w:right="160" w:firstLine="589"/>
        <w:spacing w:after="0" w:line="290" w:lineRule="auto"/>
        <w:rPr>
          <w:sz w:val="20"/>
          <w:szCs w:val="20"/>
          <w:color w:val="auto"/>
        </w:rPr>
      </w:pPr>
      <w:r>
        <w:rPr>
          <w:rFonts w:ascii="Arial" w:cs="Arial" w:eastAsia="Arial" w:hAnsi="Arial"/>
          <w:sz w:val="16"/>
          <w:szCs w:val="16"/>
          <w:color w:val="auto"/>
        </w:rPr>
        <w:t>Our business is impacted by economic conditions and volatility in the global capital markets. Our clients use our products for a variety of purposes, including benchmarking, performance attribution, portfolio construction and risk management, and to support investment strategies including ESG, climate, factor, thematic, private asset and MAC investing. Volatile capital markets may impact whether, how, where and when investors choose to invest, for example between developed or emerging markets, U.S. or non-U.S. markets, as well as whether to adopt different investment strategies.</w:t>
      </w:r>
    </w:p>
    <w:p>
      <w:pPr>
        <w:spacing w:after="0" w:line="162" w:lineRule="exact"/>
        <w:rPr>
          <w:sz w:val="20"/>
          <w:szCs w:val="20"/>
          <w:color w:val="auto"/>
        </w:rPr>
      </w:pPr>
    </w:p>
    <w:p>
      <w:pPr>
        <w:jc w:val="both"/>
        <w:ind w:right="260" w:firstLine="589"/>
        <w:spacing w:after="0" w:line="252" w:lineRule="auto"/>
        <w:rPr>
          <w:sz w:val="20"/>
          <w:szCs w:val="20"/>
          <w:color w:val="auto"/>
        </w:rPr>
      </w:pPr>
      <w:r>
        <w:rPr>
          <w:rFonts w:ascii="Arial" w:cs="Arial" w:eastAsia="Arial" w:hAnsi="Arial"/>
          <w:sz w:val="18"/>
          <w:szCs w:val="18"/>
          <w:color w:val="auto"/>
        </w:rPr>
        <w:t>A portion of our revenues comes from clients who use our indexes as the basis for indexed investment products. These fees are primarily based on a client’s assets under management or trading volumes. The value of an investment product’s assets may increase or decrease in response to changes in market performance and cash inflows and outflows, which could impact our revenues.</w:t>
      </w:r>
    </w:p>
    <w:p>
      <w:pPr>
        <w:spacing w:after="0" w:line="189" w:lineRule="exact"/>
        <w:rPr>
          <w:sz w:val="20"/>
          <w:szCs w:val="20"/>
          <w:color w:val="auto"/>
        </w:rPr>
      </w:pPr>
    </w:p>
    <w:p>
      <w:pPr>
        <w:jc w:val="both"/>
        <w:ind w:right="40" w:firstLine="589"/>
        <w:spacing w:after="0" w:line="299" w:lineRule="auto"/>
        <w:rPr>
          <w:sz w:val="20"/>
          <w:szCs w:val="20"/>
          <w:color w:val="auto"/>
        </w:rPr>
      </w:pPr>
      <w:r>
        <w:rPr>
          <w:rFonts w:ascii="Arial" w:cs="Arial" w:eastAsia="Arial" w:hAnsi="Arial"/>
          <w:sz w:val="16"/>
          <w:szCs w:val="16"/>
          <w:color w:val="auto"/>
        </w:rPr>
        <w:t>Additionally, an increasing portion of our revenues comes from products and services that relate to certain investment trends, such as ESG and climate, factor, thematic, private asset and MAC investing. A decline in the equity markets or movement away from such investment trends could decrease demand for our related products and services, which could have a material adverse effect on our business, financial condition or results of operations.</w:t>
      </w:r>
    </w:p>
    <w:p>
      <w:pPr>
        <w:spacing w:after="0" w:line="25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Competition and financial and budgetary pressures affecting clients in our industry may cause price reductions or loss of market share, which may materially adversely affect our business, financial condition or results of operations.</w:t>
      </w:r>
    </w:p>
    <w:p>
      <w:pPr>
        <w:spacing w:after="0" w:line="76" w:lineRule="exact"/>
        <w:rPr>
          <w:sz w:val="20"/>
          <w:szCs w:val="20"/>
          <w:color w:val="auto"/>
        </w:rPr>
      </w:pPr>
    </w:p>
    <w:p>
      <w:pPr>
        <w:ind w:right="180" w:firstLine="589"/>
        <w:spacing w:after="0" w:line="284" w:lineRule="auto"/>
        <w:rPr>
          <w:sz w:val="20"/>
          <w:szCs w:val="20"/>
          <w:color w:val="auto"/>
        </w:rPr>
      </w:pPr>
      <w:r>
        <w:rPr>
          <w:rFonts w:ascii="Arial" w:cs="Arial" w:eastAsia="Arial" w:hAnsi="Arial"/>
          <w:sz w:val="16"/>
          <w:szCs w:val="16"/>
          <w:color w:val="auto"/>
        </w:rPr>
        <w:t>Competition exists across all markets for our products and services. Our competitors range in size from large companies with substantial resources to small, single-product businesses that are highly specialized. Our larger competitors may have access to more resources and may be able to achieve greater economies of scale, and our specialized competitors may be more effective in devoting technical, marketing and financial resources to compete with us with respect to a particular product or service. Some competitors may offer price incentives or different pricing structures that are more attractive to clients. The competitive landscape may also experience consolidation in the form of mergers and acquisitions, joint ventures or strategic partnerships, which result in a narrower pool of competitors that are better capitalized or that are able to gain a competitive advantage through synergies.</w:t>
      </w:r>
    </w:p>
    <w:p>
      <w:pPr>
        <w:spacing w:after="0" w:line="166"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Barriers to entry may be low or declining in many of the markets for our products and services, including for single-purpose product companies, which could lead to the emergence of new competitors. For example, more broker-dealers, data suppliers, credit rating agencies or other market participants or vendors could begin developing their own content such as proprietary risk analytics, ESG and climate data or indexes. Recent developments, including increases in the availability of free or relatively inexpensive information through Internet sources or other low-cost delivery systems, advances in cloud computing, increased use of open source code, the ability of machine learning and other artificial intelligence systems to process and organize large data sets, as well as client development of proprietary applications in specific areas, have further reduced barriers to entry in some cases.</w:t>
      </w:r>
    </w:p>
    <w:p>
      <w:pPr>
        <w:spacing w:after="0" w:line="16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We may experience pressures to reduce our fees on account of financial and budgetary pressures affecting our clients, including those resulting from weak or volatile economic or market conditions, including uncertainty regarding the duration and long-term economic and societal consequences of the COVID-19 pandemic, which may lead certain clients to reduce their overall spending on our products or services, including by seeking similar products or services at a lower cost than what we are able to provide, by consolidating their spending with fewer providers, by consolidating with other clients or by self-sourcing certain of their information and analytical needs. Accordingly, competitive and market pressures may result in fewer clients or reduced sales, including as a result of client closures and consolidations, price reductions, prolonged selling and renewal cycles and increased operating costs, such as for marketing and product development, which could, individually or in the aggregate, result in a material adverse effect on our business, financial condition or results of operations.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i w:val="1"/>
          <w:iCs w:val="1"/>
          <w:color w:val="auto"/>
        </w:rPr>
        <w:t>To remain competitive, we must successfully develop new and enhanced products and services and effectively manage product transitions and integrations.</w:t>
      </w:r>
    </w:p>
    <w:p>
      <w:pPr>
        <w:spacing w:after="0" w:line="248"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To remain competitive, we must continually introduce new products and services, enhance existing products and services, including through integration of products and services within MSCI and with third-party platforms, and effectively generate customer demand for new and enhanced products and services. We may not be successful in developing, introducing, implementing, marketing, pricing, launching or licensing new products or enhancements on a timely or cost-effective basis or without impacting the stability and efficiency of existing products and systems. Any new products and enhancements may not adequately meet the requirements of the marketplace or industry standards or achieve market acceptance.</w:t>
      </w:r>
    </w:p>
    <w:p>
      <w:pPr>
        <w:spacing w:after="0" w:line="166" w:lineRule="exact"/>
        <w:rPr>
          <w:sz w:val="20"/>
          <w:szCs w:val="20"/>
          <w:color w:val="auto"/>
        </w:rPr>
      </w:pPr>
    </w:p>
    <w:p>
      <w:pPr>
        <w:ind w:right="80" w:firstLine="589"/>
        <w:spacing w:after="0" w:line="281" w:lineRule="auto"/>
        <w:rPr>
          <w:sz w:val="20"/>
          <w:szCs w:val="20"/>
          <w:color w:val="auto"/>
        </w:rPr>
      </w:pPr>
      <w:r>
        <w:rPr>
          <w:rFonts w:ascii="Arial" w:cs="Arial" w:eastAsia="Arial" w:hAnsi="Arial"/>
          <w:sz w:val="16"/>
          <w:szCs w:val="16"/>
          <w:color w:val="auto"/>
        </w:rPr>
        <w:t>The process of developing and enhancing our products and services is complex and may become increasingly complex and expensive in the future due to the introduction of new platforms, operating systems, technologies and customer expectations. In addition, our reputation could be harmed if we are perceived as not innovating rapidly enough to meet the changing needs of investors or their advisors. We must make long-term investments and commit significant resources before knowing whether these investments will eventually result in new or enhanced products and services that satisfy our clients’ needs and generate adequate revenues. From time to time, we also incur costs to integrate existing products and services and transition clients to enhanced products and services, which also present execution risks and challenges and could lead to price reductions or other concessions. If we are unable to effectively manage the development of new or enhanced products and services, we may not be able to remain competitive and our business, financial condition or results of operations could be materially adversely affected.</w:t>
      </w:r>
    </w:p>
    <w:p>
      <w:pPr>
        <w:spacing w:after="0" w:line="274"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b w:val="1"/>
          <w:bCs w:val="1"/>
          <w:i w:val="1"/>
          <w:iCs w:val="1"/>
          <w:color w:val="auto"/>
        </w:rPr>
        <w:t>Our global operations and any future expansions may continue to place significant strain on our management and other resources, as well as subject us to additional, and in some cases unanticipated, risks and costs in connection with political, economic, legal, operational and other issues resulting from our increased global footprint, which could materially adversely impact our businesses.</w:t>
      </w:r>
    </w:p>
    <w:p>
      <w:pPr>
        <w:spacing w:after="0" w:line="154"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Our global operations and any future expansion are expected to continue to place significant demands on our personnel, management and other resources. Whether we expand organically or by way of acquisition, there can be no assurance that we will effectively attract, engage and retain additional qualified personnel, including additional managers or key employees, develop effective leadership in all our locations; expand our physical facilities and information technology, legal and compliance infrastructure; integrate acquired businesses; or otherwise adequately manage expansion. Additionally, new hires require significant training and may, in some cases, take a significant amount of time before becoming fully productive.</w:t>
      </w:r>
    </w:p>
    <w:p>
      <w:pPr>
        <w:spacing w:after="0" w:line="166" w:lineRule="exact"/>
        <w:rPr>
          <w:sz w:val="20"/>
          <w:szCs w:val="20"/>
          <w:color w:val="auto"/>
        </w:rPr>
      </w:pPr>
    </w:p>
    <w:p>
      <w:pPr>
        <w:ind w:right="20" w:firstLine="589"/>
        <w:spacing w:after="0" w:line="281" w:lineRule="auto"/>
        <w:rPr>
          <w:sz w:val="20"/>
          <w:szCs w:val="20"/>
          <w:color w:val="auto"/>
        </w:rPr>
      </w:pPr>
      <w:r>
        <w:rPr>
          <w:rFonts w:ascii="Arial" w:cs="Arial" w:eastAsia="Arial" w:hAnsi="Arial"/>
          <w:sz w:val="16"/>
          <w:szCs w:val="16"/>
          <w:color w:val="auto"/>
        </w:rPr>
        <w:t>Our global operations also expose us to political, economic, legal, operational, franchise and other risks that are inherent in operating in many countries, including risks of possible capital controls, exchange controls, customs duties, sanctions compliance, tax penalties, levies or assessments, legal uncertainty, broad regulatory discretion and other restrictive governmental actions, as well as the outbreak of hostilities or political and governmental instability in certain of the countries or regions in which we conduct operations. The majority of our employees are located in offices outside of the U.S. and a number of those employees are located in emerging market locations. The cost of establishing and maintaining these offices, including costs related to information technology infrastructure, as well as the costs of attracting, training and retaining employees in these locations may be higher, or may increase at a faster rate, than we anticipate. Additionally, public health epidemics impacting the global economy and our employees, such as the worldwide COVID-19 pandemic, may have a material adverse effect on our business, financial condition or results of operations.</w:t>
      </w:r>
    </w:p>
    <w:p>
      <w:pPr>
        <w:spacing w:after="0" w:line="169" w:lineRule="exact"/>
        <w:rPr>
          <w:sz w:val="20"/>
          <w:szCs w:val="20"/>
          <w:color w:val="auto"/>
        </w:rPr>
      </w:pPr>
    </w:p>
    <w:p>
      <w:pPr>
        <w:ind w:right="40" w:firstLine="589"/>
        <w:spacing w:after="0" w:line="249" w:lineRule="auto"/>
        <w:rPr>
          <w:sz w:val="20"/>
          <w:szCs w:val="20"/>
          <w:color w:val="auto"/>
        </w:rPr>
      </w:pPr>
      <w:r>
        <w:rPr>
          <w:rFonts w:ascii="Arial" w:cs="Arial" w:eastAsia="Arial" w:hAnsi="Arial"/>
          <w:sz w:val="18"/>
          <w:szCs w:val="18"/>
          <w:color w:val="auto"/>
        </w:rPr>
        <w:t>The laws and regulations in many countries applicable to our business are uncertain and evolving, and it may be difficult or costly for us to determine and remain compliant with the exact requirements of local laws in every market. Our inability to maintain consistent internal policies and procedures across our offices and remain in compliance with local laws in a particular market could have a significant and negative effect not only on our businesses in that market but also on our reputation generally.</w:t>
      </w:r>
    </w:p>
    <w:p>
      <w:pPr>
        <w:spacing w:after="0" w:line="192" w:lineRule="exact"/>
        <w:rPr>
          <w:sz w:val="20"/>
          <w:szCs w:val="20"/>
          <w:color w:val="auto"/>
        </w:rPr>
      </w:pPr>
    </w:p>
    <w:p>
      <w:pPr>
        <w:jc w:val="both"/>
        <w:ind w:right="40" w:firstLine="589"/>
        <w:spacing w:after="0" w:line="290" w:lineRule="auto"/>
        <w:rPr>
          <w:sz w:val="20"/>
          <w:szCs w:val="20"/>
          <w:color w:val="auto"/>
        </w:rPr>
      </w:pPr>
      <w:r>
        <w:rPr>
          <w:rFonts w:ascii="Arial" w:cs="Arial" w:eastAsia="Arial" w:hAnsi="Arial"/>
          <w:sz w:val="16"/>
          <w:szCs w:val="16"/>
          <w:color w:val="auto"/>
        </w:rPr>
        <w:t>Demand for our products and services is still nascent in many parts of the world, particularly in emerging market locations where risk management and ESG and climate integration practices are often not fully developed. In addition, the data required to model local securities in some emerging markets might be difficult to source and local investment product nuances may be difficult or costly to model. If we do not appropriately tailor our products and services to fit the needs of the local market, we may be unable to effectively grow sales of our products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services in some locations outside of the U.S. There can be no assurances that demand for our products and services will develop in these countries.</w:t>
      </w:r>
    </w:p>
    <w:p>
      <w:pPr>
        <w:spacing w:after="0" w:line="237"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Any failure to effectively manage expansion or to effectively manage the business globally could damage our brand and reputation, result in increased costs and litigation and have a material adverse effect on our business, financial condition or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Failure to comply with regulations, or the introduction of new regulations or changes to existing regulations could materially adversely affect our business, financial condition or results of operations.</w:t>
      </w:r>
    </w:p>
    <w:p>
      <w:pPr>
        <w:spacing w:after="0" w:line="76" w:lineRule="exact"/>
        <w:rPr>
          <w:sz w:val="20"/>
          <w:szCs w:val="20"/>
          <w:color w:val="auto"/>
        </w:rPr>
      </w:pPr>
    </w:p>
    <w:p>
      <w:pPr>
        <w:jc w:val="both"/>
        <w:ind w:firstLine="589"/>
        <w:spacing w:after="0" w:line="298" w:lineRule="auto"/>
        <w:rPr>
          <w:sz w:val="20"/>
          <w:szCs w:val="20"/>
          <w:color w:val="auto"/>
        </w:rPr>
      </w:pPr>
      <w:r>
        <w:rPr>
          <w:rFonts w:ascii="Arial" w:cs="Arial" w:eastAsia="Arial" w:hAnsi="Arial"/>
          <w:sz w:val="15"/>
          <w:szCs w:val="15"/>
          <w:color w:val="auto"/>
        </w:rPr>
        <w:t>Failure to comply with any applicable laws, rules, orders, regulations or other requirements could subject us to litigation, regulatory actions, sanctions, fines or other penalties, as well as damage our brand and reputation. The financial services industry, within which we and many of our clients operate, is subject to extensive laws, rules and regulations at the federal and state levels, as well as by foreign governments, with some jurisdictions regulating indexes directly.</w:t>
      </w:r>
    </w:p>
    <w:p>
      <w:pPr>
        <w:ind w:right="20"/>
        <w:spacing w:after="0" w:line="277" w:lineRule="auto"/>
        <w:rPr>
          <w:sz w:val="20"/>
          <w:szCs w:val="20"/>
          <w:color w:val="auto"/>
        </w:rPr>
      </w:pPr>
      <w:r>
        <w:rPr>
          <w:rFonts w:ascii="Arial" w:cs="Arial" w:eastAsia="Arial" w:hAnsi="Arial"/>
          <w:sz w:val="16"/>
          <w:szCs w:val="16"/>
          <w:color w:val="auto"/>
        </w:rPr>
        <w:t>These laws, rules and regulations are complex, evolve frequently and sometimes quickly and unexpectedly, and are subject to administrative interpretation and judicial construction in ways that are difficult to predict, and could materially adversely affect our business and our clients’ businesses. Uncertainty caused by political change globally heightens regulatory uncertainty. Additionally, we may be required to comply with multiple and potentially conflicting laws, rules or regulations in various jurisdictions, which could, individually or in the aggregate, result in materially higher compliance costs to us. It is possible that laws, rules or regulations could cause us to restrict or change the way we license and price our products and services or could impose additional costs on us. Changes to the laws, rules and regulations applicable to our clients could limit our clients’ ability to use our products and services or could otherwise impact our clients’ demand for our products and services. As such, to the extent that our clients become subject to certain laws, rules or regulations, we may incur higher costs in connection with modifying our products or services. To the extent that we rely on our clients and vendors to provide data for our products and services and certain laws, rules or regulations impact our clients’ and vendors’ ability or willingness to provide that data to us or regulate the fees for which such data can be provided, our ability to continue to produce our products and services or the related costs could be negatively impacted. The regulations and regulatory developments that most significantly impact us are described below:</w:t>
      </w:r>
    </w:p>
    <w:p>
      <w:pPr>
        <w:spacing w:after="0" w:line="71" w:lineRule="exact"/>
        <w:rPr>
          <w:sz w:val="20"/>
          <w:szCs w:val="20"/>
          <w:color w:val="auto"/>
        </w:rPr>
      </w:pPr>
    </w:p>
    <w:p>
      <w:pPr>
        <w:ind w:left="840" w:right="60" w:hanging="414"/>
        <w:spacing w:after="0" w:line="284" w:lineRule="auto"/>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Brexit. </w:t>
      </w:r>
      <w:r>
        <w:rPr>
          <w:rFonts w:ascii="Arial" w:cs="Arial" w:eastAsia="Arial" w:hAnsi="Arial"/>
          <w:sz w:val="16"/>
          <w:szCs w:val="16"/>
          <w:color w:val="auto"/>
        </w:rPr>
        <w:t>The United Kingdom (“UK”) exited the European Union (“EU”) on January 31, 2020 (commonly referred to as “Brexit”) and the UK’s</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in the EU single market ended on December 31, 2020. On December 24, 2020, the UK and the EU announced that they had struck a new bilateral trade and cooperation deal governing the future relationship between the UK and the EU (the “EU-UK Trade and Cooperation Agreement”) which was formally approved by the 27 member states of the EU on December 29, 2020. In March 2021, the UK and EU agreed on a framework for voluntary regulatory cooperation and dialogue on financial services issues between them in a Memorandum of Understanding (the “MOU”), which is expected to be signed after formal steps are completed, although this has not yet occurred.</w:t>
      </w:r>
    </w:p>
    <w:p>
      <w:pPr>
        <w:spacing w:after="0" w:line="166" w:lineRule="exact"/>
        <w:rPr>
          <w:sz w:val="20"/>
          <w:szCs w:val="20"/>
          <w:color w:val="auto"/>
        </w:rPr>
      </w:pPr>
    </w:p>
    <w:p>
      <w:pPr>
        <w:ind w:left="860" w:right="60"/>
        <w:spacing w:after="0" w:line="284" w:lineRule="auto"/>
        <w:rPr>
          <w:sz w:val="20"/>
          <w:szCs w:val="20"/>
          <w:color w:val="auto"/>
        </w:rPr>
      </w:pPr>
      <w:r>
        <w:rPr>
          <w:rFonts w:ascii="Arial" w:cs="Arial" w:eastAsia="Arial" w:hAnsi="Arial"/>
          <w:sz w:val="16"/>
          <w:szCs w:val="16"/>
          <w:color w:val="auto"/>
        </w:rPr>
        <w:t>The EU-UK Trade and Cooperation Agreement and the MOU provide some clarity regarding the future relationship between the UK and the EU including some detailed matters of trade and cooperation, but there remain uncertainties related to Brexit and the new relationship between the UK and EU that will continue to be developed and defined, as well as uncertainties related to the wider trading, legal, regulatory, tax and labor environments, and the resulting impact on our business and that of our clients. Because we have significant operations in the EU and certain members of our senior management team are based in the UK, any of these uncertainties could increase our costs of doing business, or in some cases, affect our ability to do business, which could have a material adverse effect on our business, financial condition or results of operations.</w:t>
      </w:r>
    </w:p>
    <w:p>
      <w:pPr>
        <w:spacing w:after="0" w:line="61" w:lineRule="exact"/>
        <w:rPr>
          <w:sz w:val="20"/>
          <w:szCs w:val="20"/>
          <w:color w:val="auto"/>
        </w:rPr>
      </w:pPr>
    </w:p>
    <w:p>
      <w:pPr>
        <w:ind w:left="840" w:right="20" w:hanging="414"/>
        <w:spacing w:after="0" w:line="282" w:lineRule="auto"/>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Regulation Affecting Benchmarks. </w:t>
      </w:r>
      <w:r>
        <w:rPr>
          <w:rFonts w:ascii="Arial" w:cs="Arial" w:eastAsia="Arial" w:hAnsi="Arial"/>
          <w:sz w:val="16"/>
          <w:szCs w:val="16"/>
          <w:color w:val="auto"/>
        </w:rPr>
        <w:t>Compliance efforts associated with regulations affecting benchmarks or their uses and any related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and guidance could have a negative impact on our business and results of operations. In particular, compliance requirements could lead to a change in our business practices, product offerings and/or our ability to offer indexes in certain jurisdictions, including the EU, including without limitation, by increasing our costs of doing business, including direct costs paid to regulators, diminishing our intellectual property rights, impacting the fees we can charge for our indexes, imposing constraints on our ability to meet contractual commitments to our data providers, imposing constraints on how we offer our products or causing our data providers to refuse to provide data to us, any of which could have a material adverse effect on our index products.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27" w:name="page28"/>
    <w:bookmarkEnd w:id="27"/>
    <w:p>
      <w:pPr>
        <w:ind w:left="860" w:right="20"/>
        <w:spacing w:after="0" w:line="278" w:lineRule="auto"/>
        <w:rPr>
          <w:sz w:val="20"/>
          <w:szCs w:val="20"/>
          <w:color w:val="auto"/>
        </w:rPr>
      </w:pPr>
      <w:r>
        <w:rPr>
          <w:rFonts w:ascii="Arial" w:cs="Arial" w:eastAsia="Arial" w:hAnsi="Arial"/>
          <w:sz w:val="16"/>
          <w:szCs w:val="16"/>
          <w:color w:val="auto"/>
        </w:rPr>
        <w:t>For example, the benchmark industry is subject to regulations in the EU, such as Regulation (EU) 2016/1011 (as amended), which is also applicable in the UK as it forms part of UK domestic law by virtue of the European Union (Withdrawal) Act 2018 (as amended), as well as increased scrutiny and potential new or increased regulation in various other jurisdictions. Additionally, the European Securities and Markets Authority (“ESMA”) issues guidance from time to time regarding interpretations of the EU benchmark regulation (such as Regulation (EU) 2016/1011 (as amended) and Regulation (EU) No 600/2014). The ESMA Guidelines on ETFs and other UCITS Issues limit the types of indexes that can be used as the basis of Undertakings for Collective Investment in Transferable Securities (“UCITS”) funds and require, among other things, index constituents, together with their respective weightings, to be made easily accessible free of charge, such as via the internet, to investors and prospective investors on a delayed and periodic basis. The International Organization of Securities Commissions (“IOSCO”) recommends that benchmark administrators, on a voluntary basis, publicly disclose whether they comply with the principles for financial benchmarks published by IOSCO. Other jurisdictions have also indicated they may consider potential benchmark regulation or conduct reviews of the benchmark industry. For instance, the UK FCA has announced that it will conduct a market study into how competition is working in the markets for benchmarks and indices. The heightened attention and scrutiny on benchmarks and index providers by regulators, policymakers and the media in the EU, the U.S. and other jurisdictions around the world could result in negative publicity or comments about the role or influence of our company or the index industry generally, which could harm our reputation and credibility.</w:t>
      </w:r>
    </w:p>
    <w:p>
      <w:pPr>
        <w:spacing w:after="0" w:line="171" w:lineRule="exact"/>
        <w:rPr>
          <w:sz w:val="20"/>
          <w:szCs w:val="20"/>
          <w:color w:val="auto"/>
        </w:rPr>
      </w:pPr>
    </w:p>
    <w:p>
      <w:pPr>
        <w:ind w:left="860" w:right="200"/>
        <w:spacing w:after="0" w:line="361" w:lineRule="auto"/>
        <w:rPr>
          <w:sz w:val="20"/>
          <w:szCs w:val="20"/>
          <w:color w:val="auto"/>
        </w:rPr>
      </w:pPr>
      <w:r>
        <w:rPr>
          <w:rFonts w:ascii="Arial" w:cs="Arial" w:eastAsia="Arial" w:hAnsi="Arial"/>
          <w:sz w:val="15"/>
          <w:szCs w:val="15"/>
          <w:color w:val="auto"/>
        </w:rPr>
        <w:t>Further, laws, rules, regulations and orders affecting users of our indexes can have an indirect impact on our indexes, including their construction and composition, such as sanctions that prohibit users of our indexes from investing or transacting in securities included in our indexes.</w:t>
      </w:r>
    </w:p>
    <w:p>
      <w:pPr>
        <w:spacing w:after="0" w:line="7" w:lineRule="exact"/>
        <w:rPr>
          <w:sz w:val="20"/>
          <w:szCs w:val="20"/>
          <w:color w:val="auto"/>
        </w:rPr>
      </w:pPr>
    </w:p>
    <w:p>
      <w:pPr>
        <w:ind w:left="840" w:hanging="414"/>
        <w:spacing w:after="0" w:line="278" w:lineRule="auto"/>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Data Privacy Legislation. </w:t>
      </w:r>
      <w:r>
        <w:rPr>
          <w:rFonts w:ascii="Arial" w:cs="Arial" w:eastAsia="Arial" w:hAnsi="Arial"/>
          <w:sz w:val="16"/>
          <w:szCs w:val="16"/>
          <w:color w:val="auto"/>
        </w:rPr>
        <w:t>Changes in laws, rules or regulations, or consumer environments relating to privacy or information collection and use</w:t>
      </w:r>
      <w:r>
        <w:rPr>
          <w:rFonts w:ascii="Arial" w:cs="Arial" w:eastAsia="Arial" w:hAnsi="Arial"/>
          <w:sz w:val="16"/>
          <w:szCs w:val="16"/>
          <w:i w:val="1"/>
          <w:iCs w:val="1"/>
          <w:color w:val="auto"/>
        </w:rPr>
        <w:t xml:space="preserve"> </w:t>
      </w:r>
      <w:r>
        <w:rPr>
          <w:rFonts w:ascii="Arial" w:cs="Arial" w:eastAsia="Arial" w:hAnsi="Arial"/>
          <w:sz w:val="16"/>
          <w:szCs w:val="16"/>
          <w:color w:val="auto"/>
        </w:rPr>
        <w:t>may affect our ability to collect, manage, aggregate, store, transfer and use personal data. There could be a material adverse impact on our direct marketing due to the enactment of legislation or industry regulations, or simply a change in practices, arising from public concern over privacy issues. Restrictions or bans could be placed upon the collection, management, aggregation, storage, transfer and use of information that is currently legally available, in which case our costs related to handling information could increase materially. For example, California passed the California Consumer Privacy Act (“CCPA”), which took effect on January 1, 2020, and the California Privacy Rights Act (“CPRA”), which will take effect on January 1, 2023 and significantly amends and expands the CCPA. The CCPA and CPRA regulate the processing of personal data of all Californians and imposes significant penalties for non-compliance. The European General Data Protection Regulation imposes enhanced operational requirements for companies that receive or process personal data of residents of the EU and includes significant penalties for non-compliance. In Japan, the Act on the Protection of Personal Information regulates the use of personal information and personal data of “data subjects” for business purposes without regard to whether such use is within Japan. In addition, other jurisdictions, including China and India, are considering imposing or have already imposed additional restrictions.</w:t>
      </w:r>
    </w:p>
    <w:p>
      <w:pPr>
        <w:spacing w:after="0" w:line="71" w:lineRule="exact"/>
        <w:rPr>
          <w:rFonts w:ascii="Arial" w:cs="Arial" w:eastAsia="Arial" w:hAnsi="Arial"/>
          <w:sz w:val="16"/>
          <w:szCs w:val="16"/>
          <w:color w:val="auto"/>
        </w:rPr>
      </w:pPr>
    </w:p>
    <w:p>
      <w:pPr>
        <w:ind w:left="840" w:right="80" w:hanging="414"/>
        <w:spacing w:after="0" w:line="280" w:lineRule="auto"/>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Investment Advisers Act. </w:t>
      </w:r>
      <w:r>
        <w:rPr>
          <w:rFonts w:ascii="Arial" w:cs="Arial" w:eastAsia="Arial" w:hAnsi="Arial"/>
          <w:sz w:val="16"/>
          <w:szCs w:val="16"/>
          <w:color w:val="auto"/>
        </w:rPr>
        <w:t>Except with respect to certain products provided by MSCI ESG Research LLC and certain of its designated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we believe that our products and services do not constitute or provide investment advice as contemplated by the Advisers Act. See Part I, Item 1. “Business—Government Regulation” above. The Advisers Act imposes fiduciary duties, recordkeeping and reporting requirements, disclosure requirements, limitations on agency and principal transactions between an adviser and advisory clients, as well as general anti-fraud prohibitions. Future developments in our product lines or changes to current laws, rules, regulations or interpretations could cause this status to change, requiring other entities in our corporate family to register as investment advisers under the Advisers Act or comply with similar laws or requirements in states or foreign jurisdictions. In the U.S., the SEC has indicated that it may seek public comment on the role of certain third-party service providers to the asset management industry, including index providers and model providers, which could lead to regulation pursuant to the Advisers Act or other framework.</w:t>
      </w:r>
    </w:p>
    <w:p>
      <w:pPr>
        <w:spacing w:after="0" w:line="197" w:lineRule="exact"/>
        <w:rPr>
          <w:sz w:val="20"/>
          <w:szCs w:val="20"/>
          <w:color w:val="auto"/>
        </w:rPr>
      </w:pPr>
    </w:p>
    <w:p>
      <w:pPr>
        <w:ind w:right="60" w:firstLine="589"/>
        <w:spacing w:after="0" w:line="248" w:lineRule="auto"/>
        <w:rPr>
          <w:sz w:val="20"/>
          <w:szCs w:val="20"/>
          <w:color w:val="auto"/>
        </w:rPr>
      </w:pPr>
      <w:r>
        <w:rPr>
          <w:rFonts w:ascii="Arial" w:cs="Arial" w:eastAsia="Arial" w:hAnsi="Arial"/>
          <w:sz w:val="18"/>
          <w:szCs w:val="18"/>
          <w:color w:val="auto"/>
        </w:rPr>
        <w:t>In some instances, in connection with the provision of data and services, we have incurred additional costs to implement processes and systems at the request of our clients to ensure that the products and services that they in turn provide to their clients using our data are compliant with the financial regulations to which our clients may be subject. For example, a U.S. Executive Order prohibiting many of our clients from transacting in the securities of certain Chinese companies resulted in our decision to remove these companies from relevant indexes in order to support our clients’ needs that our indexes meet their objective to be replicable in investment portfolios. To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8" w:name="page29"/>
    <w:bookmarkEnd w:id="28"/>
    <w:p>
      <w:pPr>
        <w:ind w:right="180"/>
        <w:spacing w:after="0" w:line="261" w:lineRule="auto"/>
        <w:rPr>
          <w:sz w:val="20"/>
          <w:szCs w:val="20"/>
          <w:color w:val="auto"/>
        </w:rPr>
      </w:pPr>
      <w:r>
        <w:rPr>
          <w:rFonts w:ascii="Arial" w:cs="Arial" w:eastAsia="Arial" w:hAnsi="Arial"/>
          <w:sz w:val="18"/>
          <w:szCs w:val="18"/>
          <w:color w:val="auto"/>
        </w:rPr>
        <w:t>extent that our clients are subject to increased regulation, we may be indirectly impacted and could incur increased costs that could have a negative impact on the profitability of certain products.</w:t>
      </w:r>
    </w:p>
    <w:p>
      <w:pPr>
        <w:spacing w:after="0" w:line="181"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Additionally, there has been increased attention on and scrutiny of index and ESG rating providers by politicians, regulators, policymakers and the media, which could create negative publicity that could harm our reputation or credibility as well as result in new or additional regulation that could increase our costs and have a negative impact on our business, financial condition or results of operations. For example, IOSCO has asked regulators to consider focusing more attention on the use of ESG ratings and data products and ESG ratings and data products providers that may be subject to their jurisdiction, and ESMA has called for entities issuing ESG ratings and assessments to be registered and supervised. These or similar regulatory regimes could impose significant compliance burdens and costs on our ESG and Climate products and services. Furthermore, regulation in multiple jurisdictions may be inconsistent, which could create implementation challenges and result in inadvertent noncompliance.</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Legal protections for our intellectual property rights and other rights may not be sufficient or available to protect our competitive advantages. Third parties may infringe on our intellectual property rights or we may infringe upon their intellectual property rights, which, in each case, could have a material adverse effect on our business, financial condition or results of operations.</w:t>
      </w:r>
    </w:p>
    <w:p>
      <w:pPr>
        <w:spacing w:after="0" w:line="84" w:lineRule="exact"/>
        <w:rPr>
          <w:sz w:val="20"/>
          <w:szCs w:val="20"/>
          <w:color w:val="auto"/>
        </w:rPr>
      </w:pPr>
    </w:p>
    <w:p>
      <w:pPr>
        <w:ind w:right="40" w:firstLine="589"/>
        <w:spacing w:after="0" w:line="248" w:lineRule="auto"/>
        <w:rPr>
          <w:sz w:val="20"/>
          <w:szCs w:val="20"/>
          <w:color w:val="auto"/>
        </w:rPr>
      </w:pPr>
      <w:r>
        <w:rPr>
          <w:rFonts w:ascii="Arial" w:cs="Arial" w:eastAsia="Arial" w:hAnsi="Arial"/>
          <w:sz w:val="18"/>
          <w:szCs w:val="18"/>
          <w:color w:val="auto"/>
        </w:rPr>
        <w:t>We consider many aspects of our products and services to be proprietary. We rely primarily on a combination of trade secrets, patents, copyrights and trademark rights, laws regarding unfair competition and the misappropriation of intellectual property, as well as technical measures and contractual protections, such as non-disclosure obligations, to protect our products and services. Despite our best efforts, we cannot be certain that the steps we have taken to protect our intellectual property rights, and the rights of those from whom we license intellectual property, are adequate to prevent unauthorized use, misappropriation, distribution or theft of our intellectual property.</w:t>
      </w:r>
    </w:p>
    <w:p>
      <w:pPr>
        <w:spacing w:after="0" w:line="192" w:lineRule="exact"/>
        <w:rPr>
          <w:sz w:val="20"/>
          <w:szCs w:val="20"/>
          <w:color w:val="auto"/>
        </w:rPr>
      </w:pPr>
    </w:p>
    <w:p>
      <w:pPr>
        <w:ind w:right="160" w:firstLine="589"/>
        <w:spacing w:after="0" w:line="290" w:lineRule="auto"/>
        <w:rPr>
          <w:sz w:val="20"/>
          <w:szCs w:val="20"/>
          <w:color w:val="auto"/>
        </w:rPr>
      </w:pPr>
      <w:r>
        <w:rPr>
          <w:rFonts w:ascii="Arial" w:cs="Arial" w:eastAsia="Arial" w:hAnsi="Arial"/>
          <w:sz w:val="16"/>
          <w:szCs w:val="16"/>
          <w:color w:val="auto"/>
        </w:rPr>
        <w:t>Intellectual property laws in various jurisdictions in which we operate are subject to change or varying interpretations at any time and could further restrict our ability to protect our intellectual property rights. The enforceability of intellectual property rights and obligations under our agreements, as well as the availability of remedies in the event of a breach, may vary due to the different jurisdictions in which our clients and employees are located. Failure to protect our intellectual property adequately could harm us, our brand or reputation and affect our ability to compete effectively.</w:t>
      </w:r>
    </w:p>
    <w:p>
      <w:pPr>
        <w:spacing w:after="0" w:line="162" w:lineRule="exact"/>
        <w:rPr>
          <w:sz w:val="20"/>
          <w:szCs w:val="20"/>
          <w:color w:val="auto"/>
        </w:rPr>
      </w:pPr>
    </w:p>
    <w:p>
      <w:pPr>
        <w:ind w:right="80" w:firstLine="589"/>
        <w:spacing w:after="0" w:line="248" w:lineRule="auto"/>
        <w:rPr>
          <w:sz w:val="20"/>
          <w:szCs w:val="20"/>
          <w:color w:val="auto"/>
        </w:rPr>
      </w:pPr>
      <w:r>
        <w:rPr>
          <w:rFonts w:ascii="Arial" w:cs="Arial" w:eastAsia="Arial" w:hAnsi="Arial"/>
          <w:sz w:val="18"/>
          <w:szCs w:val="18"/>
          <w:color w:val="auto"/>
        </w:rPr>
        <w:t>There is no guarantee that any intellectual property rights that we may obtain will protect our competitive advantages, nor is there any assurance that our competitors will not infringe upon our rights. Furthermore, our competitors may independently develop and protect products and services that are the same or similar to ours. We may be unable to detect the unauthorized use or disclosure of our intellectual property or confidential information, or to take the necessary steps to enforce our rights. In addition, our products and services, or third-party products that we provide to our clients, could infringe upon the intellectual property rights of others.</w:t>
      </w:r>
    </w:p>
    <w:p>
      <w:pPr>
        <w:spacing w:after="0" w:line="192" w:lineRule="exact"/>
        <w:rPr>
          <w:sz w:val="20"/>
          <w:szCs w:val="20"/>
          <w:color w:val="auto"/>
        </w:rPr>
      </w:pPr>
    </w:p>
    <w:p>
      <w:pPr>
        <w:ind w:right="40" w:firstLine="589"/>
        <w:spacing w:after="0" w:line="280" w:lineRule="auto"/>
        <w:rPr>
          <w:sz w:val="20"/>
          <w:szCs w:val="20"/>
          <w:color w:val="auto"/>
        </w:rPr>
      </w:pPr>
      <w:r>
        <w:rPr>
          <w:rFonts w:ascii="Arial" w:cs="Arial" w:eastAsia="Arial" w:hAnsi="Arial"/>
          <w:sz w:val="16"/>
          <w:szCs w:val="16"/>
          <w:color w:val="auto"/>
        </w:rPr>
        <w:t>Pursuing intellectual property claims to preserve our intellectual property rights or responding to intellectual property claims, regardless of merit, can consume valuable time, and result in costly litigation or delays, and there is no guarantee that we will be successful. From time to time, we receive claims or notices from third parties alleging infringement or potential infringement of their intellectual property rights; and the number of these claims may grow. These intellectual property claims would likely be costly to defend and could require us to pay damages, limit our future use of certain technologies, harm our brand and reputation, significantly increase our costs and prevent us from offering some services or products. We may need to settle such claims on unfavorable terms, pay damages, stop providing or using the affected products or services or enter into royalty or licensing agreements, which may include terms that are not commercially acceptable to us. From time to time, we receive notices calling upon us to defend partners, clients, suppliers or distributors against third-party claims under indemnification clauses in our contracts. If any of these risks materialize, they could have a material adverse effect on our business, financial condition or results of operations.</w:t>
      </w:r>
    </w:p>
    <w:p>
      <w:pPr>
        <w:spacing w:after="0" w:line="171" w:lineRule="exact"/>
        <w:rPr>
          <w:sz w:val="20"/>
          <w:szCs w:val="20"/>
          <w:color w:val="auto"/>
        </w:rPr>
      </w:pPr>
    </w:p>
    <w:p>
      <w:pPr>
        <w:ind w:right="220" w:firstLine="589"/>
        <w:spacing w:after="0" w:line="290" w:lineRule="auto"/>
        <w:rPr>
          <w:sz w:val="20"/>
          <w:szCs w:val="20"/>
          <w:color w:val="auto"/>
        </w:rPr>
      </w:pPr>
      <w:r>
        <w:rPr>
          <w:rFonts w:ascii="Arial" w:cs="Arial" w:eastAsia="Arial" w:hAnsi="Arial"/>
          <w:sz w:val="16"/>
          <w:szCs w:val="16"/>
          <w:color w:val="auto"/>
        </w:rPr>
        <w:t>There have been a number of lawsuits in multiple jurisdictions, including in the U.S. and Germany, regarding whether issuers of indexed investment products are required to obtain a license from the index owner or whether issuers may issue investment products based on publicly available index-level data without obtaining permission from (or making payment to) the index owner. The outcome of these cases depends on a number of factors, including the governing law, the amount of information about the index available without a license and the other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right="120"/>
        <w:spacing w:after="0" w:line="290" w:lineRule="auto"/>
        <w:rPr>
          <w:sz w:val="20"/>
          <w:szCs w:val="20"/>
          <w:color w:val="auto"/>
        </w:rPr>
      </w:pPr>
      <w:r>
        <w:rPr>
          <w:rFonts w:ascii="Arial" w:cs="Arial" w:eastAsia="Arial" w:hAnsi="Arial"/>
          <w:sz w:val="16"/>
          <w:szCs w:val="16"/>
          <w:color w:val="auto"/>
        </w:rPr>
        <w:t>particular facts and circumstances of the cases. In some instances, the results have been unfavorable to the index owner. If courts or regulators or other governmental bodies in relevant jurisdictions determine that a license is not required to issue investment products linked to indexes, this could have a material adverse effect on our business, financial condition or results of operations. It might also lead to changes in current industry practices such that we would no longer make our index level data publicly available, such as via our website or news media, on a timely basis.</w:t>
      </w:r>
    </w:p>
    <w:p>
      <w:pPr>
        <w:spacing w:after="0" w:line="162" w:lineRule="exact"/>
        <w:rPr>
          <w:sz w:val="20"/>
          <w:szCs w:val="20"/>
          <w:color w:val="auto"/>
        </w:rPr>
      </w:pPr>
    </w:p>
    <w:p>
      <w:pPr>
        <w:ind w:right="40" w:firstLine="589"/>
        <w:spacing w:after="0" w:line="324" w:lineRule="auto"/>
        <w:rPr>
          <w:sz w:val="20"/>
          <w:szCs w:val="20"/>
          <w:color w:val="auto"/>
        </w:rPr>
      </w:pPr>
      <w:r>
        <w:rPr>
          <w:rFonts w:ascii="Arial" w:cs="Arial" w:eastAsia="Arial" w:hAnsi="Arial"/>
          <w:sz w:val="16"/>
          <w:szCs w:val="16"/>
          <w:color w:val="auto"/>
        </w:rPr>
        <w:t>Some of our products and services help our clients to meet their regulatory requirements. Changes to regulatory requirements may obviate the need for these products or services or may cause us to invest in enhancing the products or services to help our clients meet the new regulatory requirements.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expenses, assets and liabilities are subject to foreign currency exchange rate fluctuation risk.</w:t>
      </w:r>
    </w:p>
    <w:p>
      <w:pPr>
        <w:spacing w:after="0" w:line="108"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We are subject to foreign currency exchange rate fluctuation risk. Exchange rate movements can impact the U.S. dollar reported value of our revenues, expenses, assets and liabilities denominated in non-U.S. dollar currencies or where the currency of such items is different than the functional currency of the entity where these items were recorded. Additionally, the value of assets in indexed investment products can fluctuate significantly over short periods of time and such volatility may be further impacted by fluctuations in foreign currency exchange rates.</w:t>
      </w:r>
    </w:p>
    <w:p>
      <w:pPr>
        <w:spacing w:after="0" w:line="162" w:lineRule="exact"/>
        <w:rPr>
          <w:sz w:val="20"/>
          <w:szCs w:val="20"/>
          <w:color w:val="auto"/>
        </w:rPr>
      </w:pPr>
    </w:p>
    <w:p>
      <w:pPr>
        <w:ind w:right="380" w:firstLine="589"/>
        <w:spacing w:after="0" w:line="327" w:lineRule="auto"/>
        <w:rPr>
          <w:sz w:val="20"/>
          <w:szCs w:val="20"/>
          <w:color w:val="auto"/>
        </w:rPr>
      </w:pPr>
      <w:r>
        <w:rPr>
          <w:rFonts w:ascii="Arial" w:cs="Arial" w:eastAsia="Arial" w:hAnsi="Arial"/>
          <w:sz w:val="15"/>
          <w:szCs w:val="15"/>
          <w:color w:val="auto"/>
        </w:rPr>
        <w:t>We manage certain portions of our foreign currency exchange rate risk, in part, through the use of derivative financial instruments comprised principally of forward contracts on foreign currency which are not designated as hedging instruments for accounting purposes. Any derivative financial instruments that we are currently party to or may enter into in the future may not be successful, resulting in an adverse impact on our results of operations.</w:t>
      </w:r>
    </w:p>
    <w:p>
      <w:pPr>
        <w:spacing w:after="0" w:line="136" w:lineRule="exact"/>
        <w:rPr>
          <w:sz w:val="20"/>
          <w:szCs w:val="20"/>
          <w:color w:val="auto"/>
        </w:rPr>
      </w:pPr>
    </w:p>
    <w:p>
      <w:pPr>
        <w:ind w:right="100" w:firstLine="589"/>
        <w:spacing w:after="0" w:line="249" w:lineRule="auto"/>
        <w:rPr>
          <w:sz w:val="20"/>
          <w:szCs w:val="20"/>
          <w:color w:val="auto"/>
        </w:rPr>
      </w:pPr>
      <w:r>
        <w:rPr>
          <w:rFonts w:ascii="Arial" w:cs="Arial" w:eastAsia="Arial" w:hAnsi="Arial"/>
          <w:sz w:val="18"/>
          <w:szCs w:val="18"/>
          <w:color w:val="auto"/>
        </w:rPr>
        <w:t>In addition, Brexit has caused, and may continue to cause, significant volatility in currency exchange rates, especially between the U.S. dollar and the British pound sterling. To the extent that our international activities recorded in local currencies increase or decrease in the future, our exposure to fluctuations in foreign currency exchange rates may correspondingly increase or decrease and could have a material adverse effect on our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materially adversely affect our cash flows and financial flexibility.</w:t>
      </w:r>
    </w:p>
    <w:p>
      <w:pPr>
        <w:spacing w:after="0" w:line="214" w:lineRule="exact"/>
        <w:rPr>
          <w:sz w:val="20"/>
          <w:szCs w:val="20"/>
          <w:color w:val="auto"/>
        </w:rPr>
      </w:pPr>
    </w:p>
    <w:p>
      <w:pPr>
        <w:ind w:right="40" w:firstLine="589"/>
        <w:spacing w:after="0" w:line="279" w:lineRule="auto"/>
        <w:rPr>
          <w:sz w:val="20"/>
          <w:szCs w:val="20"/>
          <w:color w:val="auto"/>
        </w:rPr>
      </w:pPr>
      <w:r>
        <w:rPr>
          <w:rFonts w:ascii="Arial" w:cs="Arial" w:eastAsia="Arial" w:hAnsi="Arial"/>
          <w:sz w:val="16"/>
          <w:szCs w:val="16"/>
          <w:color w:val="auto"/>
        </w:rPr>
        <w:t>For an overview of our current outstanding indebtedness and history of our debt offerings, see “Management’s Discussion and Analysis of Financial Condition and Results of Operations” below. Although we believe that our cash flows will be sufficient to service our outstanding indebtedness, we cannot provide assurance that we will generate and maintain cash flows sufficient to permit us to pay the principal, premium, if any, and interest on our indebtedness. Our ability to make payments on indebtedness and to fund planned capital expenditures depends on our ability to generate and access cash in the future, which, in turn, is subject to general economic, financial, competitive, regulatory and other factors, many of which are beyond our control. If we are unable to pay our obligations as they mature, we may need to refinance all or a portion of our indebtedness on or before maturity. If we are unable to secure additional financing on terms favorable or acceptable to us or at all, we could also be forced to sell assets to make up for any shortfall in our payment obligations. The restrictive covenants in our debt agreements, however, limit our and our subsidiaries’ ability to sell assets and also restrict the use of proceeds from such a sale. If we cannot refinance or otherwise pay our obligations as they mature and fund our liquidity needs, our business, financial condition, results of operations, cash flows, liquidity, ability to obtain financing and ability to compete in our industry could be materially adversely affected.</w:t>
      </w:r>
    </w:p>
    <w:p>
      <w:pPr>
        <w:spacing w:after="0" w:line="174" w:lineRule="exact"/>
        <w:rPr>
          <w:sz w:val="20"/>
          <w:szCs w:val="20"/>
          <w:color w:val="auto"/>
        </w:rPr>
      </w:pPr>
    </w:p>
    <w:p>
      <w:pPr>
        <w:ind w:right="180" w:firstLine="589"/>
        <w:spacing w:after="0" w:line="249" w:lineRule="auto"/>
        <w:rPr>
          <w:sz w:val="20"/>
          <w:szCs w:val="20"/>
          <w:color w:val="auto"/>
        </w:rPr>
      </w:pPr>
      <w:r>
        <w:rPr>
          <w:rFonts w:ascii="Arial" w:cs="Arial" w:eastAsia="Arial" w:hAnsi="Arial"/>
          <w:sz w:val="18"/>
          <w:szCs w:val="18"/>
          <w:color w:val="auto"/>
        </w:rPr>
        <w:t>We may need or want to refinance our existing debt or incur additional debt from time to time to finance working capital, capital expenditures, investments or acquisitions, or for other purposes. If we do so, we may be subject to less favorable terms. The risks related to our level of indebtedness could also intensify, including by making it difficult for us to optimally capitalize and manage the cash flow for our business or placing us at a competitive disadvantage compared to our competitors that have less indebtedness.</w:t>
      </w:r>
    </w:p>
    <w:p>
      <w:pPr>
        <w:spacing w:after="0" w:line="19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Furthermore, the terms of our debt agreements include restrictive covenants that limit, among other things, our and our existing and future subsidiaries’ financial flexibility. If we are unable to comply with the restrictions and covenants in our debt agreements, there could be a default that, in some cases, if continuing, could result in the accelerated payment of our debt obligations or the termination of borrowing commitments on the part of the lenders under the Credit Agreement, dated as of November 20, 2014, by and among the Company, the guarantors party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30" w:name="page31"/>
    <w:bookmarkEnd w:id="30"/>
    <w:p>
      <w:pPr>
        <w:ind w:right="60"/>
        <w:spacing w:after="0" w:line="261" w:lineRule="auto"/>
        <w:rPr>
          <w:sz w:val="20"/>
          <w:szCs w:val="20"/>
          <w:color w:val="auto"/>
        </w:rPr>
      </w:pPr>
      <w:r>
        <w:rPr>
          <w:rFonts w:ascii="Arial" w:cs="Arial" w:eastAsia="Arial" w:hAnsi="Arial"/>
          <w:sz w:val="18"/>
          <w:szCs w:val="18"/>
          <w:color w:val="auto"/>
        </w:rPr>
        <w:t>thereto, JPMorgan Chase Bank, N.A., as administrative agent and the lenders from time to time party thereto, as amended, supplemented, modified or amended and restated from time to time (as amended, the “Revolving Credit Facility”).</w:t>
      </w:r>
    </w:p>
    <w:p>
      <w:pPr>
        <w:spacing w:after="0" w:line="181" w:lineRule="exact"/>
        <w:rPr>
          <w:sz w:val="20"/>
          <w:szCs w:val="20"/>
          <w:color w:val="auto"/>
        </w:rPr>
      </w:pPr>
    </w:p>
    <w:p>
      <w:pPr>
        <w:ind w:firstLine="589"/>
        <w:spacing w:after="0" w:line="277" w:lineRule="auto"/>
        <w:rPr>
          <w:sz w:val="20"/>
          <w:szCs w:val="20"/>
          <w:color w:val="auto"/>
        </w:rPr>
      </w:pPr>
      <w:r>
        <w:rPr>
          <w:rFonts w:ascii="Arial" w:cs="Arial" w:eastAsia="Arial" w:hAnsi="Arial"/>
          <w:sz w:val="16"/>
          <w:szCs w:val="16"/>
          <w:color w:val="auto"/>
        </w:rPr>
        <w:t>In 2017, the UK Financial Conduct Authority (the “FCA”), which regulates London Interbank Offered Rate (“LIBOR”), announced that the FCA will no longer persuade or compel banks to submit rates for the calculation of the LIBOR benchmark after 2021. The administrator for LIBOR announced on March 5, 2021 that it will permanently cease to publish most LIBOR settings beginning on January 1, 2022 and cease to publish the overnight, one-month, three-month, six-month and 12-month USD LIBOR settings on July 1, 2023. Accordingly, the FCA has stated that is does not intend to persuade or compel banks to submit to LIBOR after such respective dates. Until such time, however, FCA panel banks have agreed to continue to support LIBOR. The U.S. Federal Reserve, in conjunction with the Alternative Reference Rates Committee, a steering committee comprised of large U.S. financial institutions, is recommending replacing USD LIBOR with the Secured Overnight Financing Rate (“SOFR”), a new index calculated by short-term repurchase agreements, backed by Treasury securities. It is unknown whether SOFR will attain market acceptance as replacement for LIBOR and, because SOFR differs fundamentally from LIBOR, there is no assurance that SOFR will perform in the same way as LIBOR would have performed at any time, and there is no guarantee that it is a comparable substitute for LIBOR. At this time, it is not possible to predict the effect that these developments may have on any floating rate debt instruments, including borrowings under our Revolving Credit Facility. As of December 31, 2021, there were no amounts outstanding under our Revolving Credit Facility. Pursuant to the Credit Agreement Amendment that became effective on March 29, 2021, we updated the LIBOR succession provisions in our Revolving Credit Facility to contemplate a mechanism for replacing LIBOR with a new benchmark rate without an amendment to the terms of the Credit Agreement governing the Revolving Credit Facility. Since the conditions for the implementation of this mechanism have not yet been triggered, we cannot determine with certainty what such replacement rate would be. As a result, we cannot reasonably predict the potential effect of a discontinuation or replacement of LIBOR, other reforms or the establishment of alternative reference rates on our business, financial condition or results of operations. In addition, if we were to incur any variable rate indebtedness under our Revolving Credit Facility, we would be subject to interest rate risk generally, which could cause our debt service obligations to increase significantly.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our credit ratings could materially adversely affect our financial condition.</w:t>
      </w:r>
    </w:p>
    <w:p>
      <w:pPr>
        <w:spacing w:after="0" w:line="214" w:lineRule="exact"/>
        <w:rPr>
          <w:sz w:val="20"/>
          <w:szCs w:val="20"/>
          <w:color w:val="auto"/>
        </w:rPr>
      </w:pPr>
    </w:p>
    <w:p>
      <w:pPr>
        <w:ind w:firstLine="589"/>
        <w:spacing w:after="0" w:line="247" w:lineRule="auto"/>
        <w:rPr>
          <w:sz w:val="20"/>
          <w:szCs w:val="20"/>
          <w:color w:val="auto"/>
        </w:rPr>
      </w:pPr>
      <w:r>
        <w:rPr>
          <w:rFonts w:ascii="Arial" w:cs="Arial" w:eastAsia="Arial" w:hAnsi="Arial"/>
          <w:sz w:val="18"/>
          <w:szCs w:val="18"/>
          <w:color w:val="auto"/>
        </w:rPr>
        <w:t>Our credit ratings are not recommendations to buy, sell or hold any of our common stock or outstanding debt. Our outstanding debt under the Senior Notes currently has non-investment grade ratings. Any rating assigned to such debt is subject to ongoing evaluation by the credit rating agencies and could be lowered or withdrawn entirely at any time by any of the agencies if, in the agency’s judgment, future circumstances relating to the basis of the rating so warrant. Such future circumstances include, but are not limited to, adverse changes to our results of operations, financial condition or cash flows, or revisions to our corporate strategy pertaining to capitalization or leverage. Any such downgrade or withdrawal could adversely affect the amount of capital we can access, as well as the terms of any financing we obtain.</w:t>
      </w:r>
    </w:p>
    <w:p>
      <w:pPr>
        <w:spacing w:after="0" w:line="194"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color w:val="auto"/>
        </w:rPr>
        <w:t>In addition, our debt covenants contain certain obligations that are triggered by a change in our credit rating, including obligations to make repurchase offers to the noteholders of our Senior Notes if we experience one of the specified kinds of changes in control and related lowering of our credit ratings, as detailed in the indentures governing our Senior Notes.</w:t>
      </w:r>
    </w:p>
    <w:p>
      <w:pPr>
        <w:spacing w:after="0" w:line="189" w:lineRule="exact"/>
        <w:rPr>
          <w:sz w:val="20"/>
          <w:szCs w:val="20"/>
          <w:color w:val="auto"/>
        </w:rPr>
      </w:pPr>
    </w:p>
    <w:p>
      <w:pPr>
        <w:ind w:right="20" w:firstLine="589"/>
        <w:spacing w:after="0" w:line="248" w:lineRule="auto"/>
        <w:rPr>
          <w:sz w:val="20"/>
          <w:szCs w:val="20"/>
          <w:color w:val="auto"/>
        </w:rPr>
      </w:pPr>
      <w:r>
        <w:rPr>
          <w:rFonts w:ascii="Arial" w:cs="Arial" w:eastAsia="Arial" w:hAnsi="Arial"/>
          <w:sz w:val="18"/>
          <w:szCs w:val="18"/>
          <w:color w:val="auto"/>
        </w:rPr>
        <w:t>Any adverse change in our credit rating could have a negative effect on our liquidity and future growth through transactions in which we rely on the ability to receive debt capital at an advantageous cost and on favorable terms. Accordingly, actual or anticipated changes or downgrades to or withdrawal of our credit ratings, including any announcement that our ratings are under review or have been assigned a negative outlook, could result in damage to our brand and reputation and have a material adverse effect on our business, financial condition, results of operations and cash flows and on the market value of our common stock and outstanding debt.</w:t>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exposure to tax liabilities in various jurisdictions. Future changes in tax law could materially affect our tax obligations and effective tax rate.</w:t>
      </w:r>
    </w:p>
    <w:p>
      <w:pPr>
        <w:spacing w:after="0" w:line="248" w:lineRule="exact"/>
        <w:rPr>
          <w:sz w:val="20"/>
          <w:szCs w:val="20"/>
          <w:color w:val="auto"/>
        </w:rPr>
      </w:pPr>
    </w:p>
    <w:p>
      <w:pPr>
        <w:ind w:right="160" w:firstLine="589"/>
        <w:spacing w:after="0" w:line="252" w:lineRule="auto"/>
        <w:rPr>
          <w:sz w:val="20"/>
          <w:szCs w:val="20"/>
          <w:color w:val="auto"/>
        </w:rPr>
      </w:pPr>
      <w:r>
        <w:rPr>
          <w:rFonts w:ascii="Arial" w:cs="Arial" w:eastAsia="Arial" w:hAnsi="Arial"/>
          <w:sz w:val="18"/>
          <w:szCs w:val="18"/>
          <w:color w:val="auto"/>
        </w:rPr>
        <w:t>We are subject to income taxes, as well as non-income or indirect taxes, in the U.S. and various foreign jurisdictions. Significant judgment is required in determining our global provision for income taxes and other tax liabilities. In the ordinary course of a global business, there are many intercompany transactions and calculations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where the ultimate tax determination is uncertain. Changes in domestic and international tax laws could negatively impact our overall effective tax rate.</w:t>
      </w:r>
    </w:p>
    <w:p>
      <w:pPr>
        <w:spacing w:after="0" w:line="237" w:lineRule="exact"/>
        <w:rPr>
          <w:sz w:val="20"/>
          <w:szCs w:val="20"/>
          <w:color w:val="auto"/>
        </w:rPr>
      </w:pPr>
    </w:p>
    <w:p>
      <w:pPr>
        <w:ind w:right="80" w:firstLine="589"/>
        <w:spacing w:after="0" w:line="284" w:lineRule="auto"/>
        <w:rPr>
          <w:sz w:val="20"/>
          <w:szCs w:val="20"/>
          <w:color w:val="auto"/>
        </w:rPr>
      </w:pPr>
      <w:r>
        <w:rPr>
          <w:rFonts w:ascii="Arial" w:cs="Arial" w:eastAsia="Arial" w:hAnsi="Arial"/>
          <w:sz w:val="16"/>
          <w:szCs w:val="16"/>
          <w:color w:val="auto"/>
        </w:rPr>
        <w:t>We are regularly under audit by tax authorities. We may be subject to additional tax liabilities as the jurisdictions in which we do business globally are increasingly focused on digital taxes and the treatment of remote workforces. Although we believe that our tax provisions are reasonable, there can be no assurance that the final determination of tax audits or tax disputes will not be different from what is reflected in our historical income tax provisions and accruals. To the extent we are required to pay amounts in excess of our reserves, such differences could have a material adverse effect on our Consolidated Statement of Income for a particular future period. In addition, an unfavorable tax settlement could require use of our cash and result in an increase in our effective tax rate in the period in which such resolution occurs.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performance might not be sufficient for us to meet the full-year financial guidance or long-term targets that we provide publicly.</w:t>
      </w:r>
    </w:p>
    <w:p>
      <w:pPr>
        <w:spacing w:after="0" w:line="237" w:lineRule="exact"/>
        <w:rPr>
          <w:sz w:val="20"/>
          <w:szCs w:val="20"/>
          <w:color w:val="auto"/>
        </w:rPr>
      </w:pPr>
    </w:p>
    <w:p>
      <w:pPr>
        <w:ind w:right="100" w:firstLine="589"/>
        <w:spacing w:after="0" w:line="249" w:lineRule="auto"/>
        <w:rPr>
          <w:sz w:val="20"/>
          <w:szCs w:val="20"/>
          <w:color w:val="auto"/>
        </w:rPr>
      </w:pPr>
      <w:r>
        <w:rPr>
          <w:rFonts w:ascii="Arial" w:cs="Arial" w:eastAsia="Arial" w:hAnsi="Arial"/>
          <w:sz w:val="18"/>
          <w:szCs w:val="18"/>
          <w:color w:val="auto"/>
        </w:rPr>
        <w:t>We provide certain full-year financial guidance and long-term targets to the public based upon our assumptions regarding our expected financial performance that may not always prove to be accurate and may vary from actual results. If we fail to meet the full-year financial guidance or achieve the long-term targets that we provide, or if we find it necessary to revise such guidance or targets, the market value of our common stock or other securities could be adversely affected.</w:t>
      </w:r>
    </w:p>
    <w:p>
      <w:pPr>
        <w:spacing w:after="0" w:line="298"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b w:val="1"/>
          <w:bCs w:val="1"/>
          <w:i w:val="1"/>
          <w:iCs w:val="1"/>
          <w:color w:val="auto"/>
        </w:rPr>
        <w:t>Our growth and profitability may not continue at the same rate as we have experienced in the past for several reasons, including if our operating costs are higher than expected, which could have a material adverse effect on our business, financial condition or results of operations.</w:t>
      </w:r>
    </w:p>
    <w:p>
      <w:pPr>
        <w:spacing w:after="0" w:line="134" w:lineRule="exact"/>
        <w:rPr>
          <w:sz w:val="20"/>
          <w:szCs w:val="20"/>
          <w:color w:val="auto"/>
        </w:rPr>
      </w:pPr>
    </w:p>
    <w:p>
      <w:pPr>
        <w:ind w:right="80" w:firstLine="589"/>
        <w:spacing w:after="0" w:line="281" w:lineRule="auto"/>
        <w:rPr>
          <w:sz w:val="20"/>
          <w:szCs w:val="20"/>
          <w:color w:val="auto"/>
        </w:rPr>
      </w:pPr>
      <w:r>
        <w:rPr>
          <w:rFonts w:ascii="Arial" w:cs="Arial" w:eastAsia="Arial" w:hAnsi="Arial"/>
          <w:sz w:val="16"/>
          <w:szCs w:val="16"/>
          <w:color w:val="auto"/>
        </w:rPr>
        <w:t>We have experienced significant revenue and earnings growth since we began operations. There can be no assurance that we will be able to maintain the levels of growth and profitability that we have experienced in the past. If we experience higher than expected operating costs, including increased compensation costs, regulatory compliance costs, occupancy costs, selling and marketing costs, investments in geographic expansion, market data costs, software license costs, communication costs, travel costs, application development costs, professional fees, costs related to information technology infrastructure, cloud usage and other IT costs, and we cannot adjust to these costs, our operating results may fluctuate significantly or our anticipated profitability may be reduced and our anticipated results of operations and financial position may be materially adversely affected. Additionally, there can be no assurance that we will be as successful in our product development, selling and marketing efforts, or capital return or allocation strategies as we have been in the past, or that such efforts will result in growth or profit margins comparable to those we have experienced in the past.</w:t>
      </w:r>
    </w:p>
    <w:p>
      <w:pPr>
        <w:spacing w:after="0" w:line="274"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We may be exposed to liabilities as a result of failure to comply with laws and regulations relating to our global operations, including anti-corruption laws, and any determination that we violated these laws could have a material adverse effect on our business.</w:t>
      </w:r>
    </w:p>
    <w:p>
      <w:pPr>
        <w:spacing w:after="0" w:line="134" w:lineRule="exact"/>
        <w:rPr>
          <w:sz w:val="20"/>
          <w:szCs w:val="20"/>
          <w:color w:val="auto"/>
        </w:rPr>
      </w:pPr>
    </w:p>
    <w:p>
      <w:pPr>
        <w:jc w:val="both"/>
        <w:ind w:firstLine="589"/>
        <w:spacing w:after="0" w:line="299" w:lineRule="auto"/>
        <w:rPr>
          <w:sz w:val="20"/>
          <w:szCs w:val="20"/>
          <w:color w:val="auto"/>
        </w:rPr>
      </w:pPr>
      <w:r>
        <w:rPr>
          <w:rFonts w:ascii="Arial" w:cs="Arial" w:eastAsia="Arial" w:hAnsi="Arial"/>
          <w:sz w:val="16"/>
          <w:szCs w:val="16"/>
          <w:color w:val="auto"/>
        </w:rPr>
        <w:t>We are subject to complex laws and regulations that are applicable to our global operations, such as laws and regulations governing economic and trade sanctions, tariffs, embargoes, anti-boycott restrictions and anti-corruption and other similar laws and regulations. Any determination that we have violated these laws or regulations could have a material adverse effect on our business, financial condition or results of operations.</w:t>
      </w:r>
    </w:p>
    <w:p>
      <w:pPr>
        <w:spacing w:after="0" w:line="154"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In particular, we are subject to various anti-corruption laws that prohibit improper payments or benefits or offers of payments or benefits to foreign governments and their officials and, in some cases, to employees of a business for the purpose of directing, obtaining or retaining business. We conduct business in countries and regions that are less developed than the U.S. and in some cases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of 1977, as amended (the “FCPA”) and the UK Bribery Act 2010.</w:t>
      </w:r>
    </w:p>
    <w:p>
      <w:pPr>
        <w:spacing w:after="0" w:line="166" w:lineRule="exact"/>
        <w:rPr>
          <w:sz w:val="20"/>
          <w:szCs w:val="20"/>
          <w:color w:val="auto"/>
        </w:rPr>
      </w:pPr>
    </w:p>
    <w:p>
      <w:pPr>
        <w:ind w:right="220" w:firstLine="589"/>
        <w:spacing w:after="0" w:line="261" w:lineRule="auto"/>
        <w:rPr>
          <w:sz w:val="20"/>
          <w:szCs w:val="20"/>
          <w:color w:val="auto"/>
        </w:rPr>
      </w:pPr>
      <w:r>
        <w:rPr>
          <w:rFonts w:ascii="Arial" w:cs="Arial" w:eastAsia="Arial" w:hAnsi="Arial"/>
          <w:sz w:val="18"/>
          <w:szCs w:val="18"/>
          <w:color w:val="auto"/>
        </w:rPr>
        <w:t>We have implemented safeguards and policies to discourage these types of practices by our employees and agents. However, our existing safeguards and any future improvements may prove to be less than fully effective,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32" w:name="page33"/>
    <w:bookmarkEnd w:id="32"/>
    <w:p>
      <w:pPr>
        <w:ind w:right="100"/>
        <w:spacing w:after="0" w:line="248" w:lineRule="auto"/>
        <w:rPr>
          <w:sz w:val="20"/>
          <w:szCs w:val="20"/>
          <w:color w:val="auto"/>
        </w:rPr>
      </w:pPr>
      <w:r>
        <w:rPr>
          <w:rFonts w:ascii="Arial" w:cs="Arial" w:eastAsia="Arial" w:hAnsi="Arial"/>
          <w:sz w:val="18"/>
          <w:szCs w:val="18"/>
          <w:color w:val="auto"/>
        </w:rPr>
        <w:t>our employees or agents may engage in conduct for which we might be held responsible. If employees violate our policies or we fail to maintain adequate record-keeping and internal accounting practices to accurately record our transactions we may be subject to regulatory fines, sanctions, damages or other penalties or costs. Violations of any of these laws, including the FCPA or other anti-corruption laws, may result in severe criminal or civil sanctions and penalties, damage our brand and reputation and subject us to other liabilities which could have a material adverse effect on our business, financial condition or results of operations.</w:t>
      </w:r>
    </w:p>
    <w:p>
      <w:pPr>
        <w:spacing w:after="0" w:line="2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If we are unable to successfully identify, execute and realize expected returns and synergies from acquisitions or strategic partnerships or investments, or if we experience integration, financing, or other risks resulting from our acquisitions or strategic partnerships or investments, our financial results may be materially adversely affected.</w:t>
      </w:r>
    </w:p>
    <w:p>
      <w:pPr>
        <w:spacing w:after="0" w:line="189" w:lineRule="exact"/>
        <w:rPr>
          <w:sz w:val="20"/>
          <w:szCs w:val="20"/>
          <w:color w:val="auto"/>
        </w:rPr>
      </w:pPr>
    </w:p>
    <w:p>
      <w:pPr>
        <w:ind w:right="80" w:firstLine="589"/>
        <w:spacing w:after="0" w:line="249" w:lineRule="auto"/>
        <w:rPr>
          <w:sz w:val="20"/>
          <w:szCs w:val="20"/>
          <w:color w:val="auto"/>
        </w:rPr>
      </w:pPr>
      <w:r>
        <w:rPr>
          <w:rFonts w:ascii="Arial" w:cs="Arial" w:eastAsia="Arial" w:hAnsi="Arial"/>
          <w:sz w:val="18"/>
          <w:szCs w:val="18"/>
          <w:color w:val="auto"/>
        </w:rPr>
        <w:t>An element of our growth strategy is growth through acquisitions, strategic partnerships and investments. Despite our best efforts to continue pursuing such transactions, there can be no assurance that we will be able to identify suitable strategic partners, investment opportunities or attractive acquisition candidates at acceptable terms. In addition, we may require additional debt or equity financing for future acquisitions and doing so may be made more difficult by the terms of our existing indebtedness.</w:t>
      </w:r>
    </w:p>
    <w:p>
      <w:pPr>
        <w:spacing w:after="0" w:line="192" w:lineRule="exact"/>
        <w:rPr>
          <w:sz w:val="20"/>
          <w:szCs w:val="20"/>
          <w:color w:val="auto"/>
        </w:rPr>
      </w:pPr>
    </w:p>
    <w:p>
      <w:pPr>
        <w:ind w:right="60" w:firstLine="589"/>
        <w:spacing w:after="0" w:line="282" w:lineRule="auto"/>
        <w:rPr>
          <w:sz w:val="20"/>
          <w:szCs w:val="20"/>
          <w:color w:val="auto"/>
        </w:rPr>
      </w:pPr>
      <w:r>
        <w:rPr>
          <w:rFonts w:ascii="Arial" w:cs="Arial" w:eastAsia="Arial" w:hAnsi="Arial"/>
          <w:sz w:val="16"/>
          <w:szCs w:val="16"/>
          <w:color w:val="auto"/>
        </w:rPr>
        <w:t>Our ability to achieve the expected returns and synergies from our past and future acquisitions, including our recent acquisition of RCA, strategic partnerships and investments depends, in part, upon our ability to effectively leverage or integrate the offerings, technology, sales, administrative functions and personnel of these businesses. We cannot provide assurance that we will be successful in integrating acquired businesses, that our acquired businesses will perform at the levels we anticipate or that our strategic partnerships and investments will advance the long-term growth strategy of our company. Our past and future acquisitions, strategic partnerships and investments may subject us to unanticipated risks or liabilities, including the potential to disrupt our operations. Additionally, strategic partnerships may increase our reliance on third parties, which may result in future disruptions if those partnerships are unsuccessful or discontinued or the content or level of support provided by strategic partners is diminished.</w:t>
      </w:r>
    </w:p>
    <w:p>
      <w:pPr>
        <w:spacing w:after="0" w:line="169"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If we experience a high level of acquisition, strategic partnership or investment-related activity within a limited period of time, the probability that certain of these risks would occur would likely increase. In addition, if we are unsuccessful in completing acquisitions of other businesses or assets, executing strategic partnerships or investments, or if such opportunities for expansion do not arise, our brand or reputation could suffer, and our future growth, business, financial condition or results of operations could be materially adversely affected.</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goodwill and other intangible assets resulting from our acquisitions could be impaired as a result of future business conditions, requiring us to record substantial write-downs that would reduce our operating income.</w:t>
      </w:r>
    </w:p>
    <w:p>
      <w:pPr>
        <w:spacing w:after="0" w:line="181"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evaluate the recoverability of recorded goodwill amounts annually or when evidence of potential impairment exists. Intangible assets are reviewed for impairment whenever events or changes in circumstances indicate that the carrying value of the asset may not be recoverable. These impairment tests are based on several factors requiring management’s judgment. Changes in fair market valuations and our operating performance or business conditions, in general, could result in future impairments of goodwill or intangible assets which could materially adversely affect our results of operations. In addition, if we are not successful in achieving anticipated operating efficiencies associated with acquisitions, our goodwill and intangible assets may become impaired.</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we fail to attract or retain the necessary qualified personnel, including through our compensation programs, our business, financial condition or results of operations could be materially adversely affected.</w:t>
      </w:r>
    </w:p>
    <w:p>
      <w:pPr>
        <w:spacing w:after="0" w:line="181" w:lineRule="exact"/>
        <w:rPr>
          <w:sz w:val="20"/>
          <w:szCs w:val="20"/>
          <w:color w:val="auto"/>
        </w:rPr>
      </w:pPr>
    </w:p>
    <w:p>
      <w:pPr>
        <w:ind w:firstLine="540"/>
        <w:spacing w:after="0" w:line="280" w:lineRule="auto"/>
        <w:rPr>
          <w:sz w:val="20"/>
          <w:szCs w:val="20"/>
          <w:color w:val="auto"/>
        </w:rPr>
      </w:pPr>
      <w:r>
        <w:rPr>
          <w:rFonts w:ascii="Arial" w:cs="Arial" w:eastAsia="Arial" w:hAnsi="Arial"/>
          <w:sz w:val="16"/>
          <w:szCs w:val="16"/>
          <w:color w:val="auto"/>
        </w:rPr>
        <w:t>The development, maintenance and support of our products and services are dependent upon the knowledge, skills, experience and abilities of our employees. Accordingly, we believe the success of our business depends to a significant extent upon the continued service of our executives and other key employees. Although we do not believe that we are overly dependent upon any individual employee, our management and other employees may terminate employment at any time, and the loss of any of our key employees and our inability to replace them with suitable candidates quickly or at all, as well as any negative market perception resulting from such loss, could have a material adverse effect on our business, financial condition or results of operations. We compete for key employees not only with other companies in our industry but also with companies in other industries, such as software services, engineering services and financial services companies, and there is a limited pool of employees who have the skills and training needed to do our work. If our compensation programs do not adequately engage our key employees or are not competitive, or if we fail to attract, engage and retain the necessary qualified personnel, the quality of our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products and services as well as our ability to support and retain our clients and achieve business objectives may suffer.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guaranty that we will continue to repurchase shares of our common stock pursuant to our share repurchase program.</w:t>
      </w:r>
    </w:p>
    <w:p>
      <w:pPr>
        <w:spacing w:after="0" w:line="237" w:lineRule="exact"/>
        <w:rPr>
          <w:sz w:val="20"/>
          <w:szCs w:val="20"/>
          <w:color w:val="auto"/>
        </w:rPr>
      </w:pPr>
    </w:p>
    <w:p>
      <w:pPr>
        <w:ind w:right="260" w:firstLine="589"/>
        <w:spacing w:after="0" w:line="299" w:lineRule="auto"/>
        <w:rPr>
          <w:sz w:val="20"/>
          <w:szCs w:val="20"/>
          <w:color w:val="auto"/>
        </w:rPr>
      </w:pPr>
      <w:r>
        <w:rPr>
          <w:rFonts w:ascii="Arial" w:cs="Arial" w:eastAsia="Arial" w:hAnsi="Arial"/>
          <w:sz w:val="16"/>
          <w:szCs w:val="16"/>
          <w:color w:val="auto"/>
        </w:rPr>
        <w:t>The timing, price and volume of repurchases of shares of our common stock will be based on market conditions, relevant securities laws and other factors. The stock repurchases may be made from time to time, through one or more open market repurchases or privately negotiated transactions, including, without limitation, accelerated share repurchase transactions, trading plans or derivative transactions, or otherwise.</w:t>
      </w:r>
    </w:p>
    <w:p>
      <w:pPr>
        <w:spacing w:after="0" w:line="48"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Share repurchases under our share repurchase program constitute components of our capital return strategy, which we fund with free operating cash flow and borrowings. However, we are not required to make any share repurchases under our share repurchase program. The share repurchase program does not obligate us to repurchase any set dollar amount or number of shares and may be modified, suspended, or terminated at any time without prior notice. The reduction or elimination of our share repurchase program could adversely affect the market price of our common stock. Additionally, the existence of a share repurchase program could cause the market price of our common stock to be higher than it would be in the absence of such a program and could potentially reduce the market liquidity for our shares. As a result, any repurchase program may not ultimately result in enhanced value to our shareholders and may not prove to be the best use of our cash resources.</w:t>
      </w:r>
    </w:p>
    <w:p>
      <w:pPr>
        <w:spacing w:after="0" w:line="34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Nothing required to be disclosed.</w:t>
      </w:r>
    </w:p>
    <w:p>
      <w:pPr>
        <w:spacing w:after="0" w:line="39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2021, our principal offices consisted of the following leased properties:</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440" w:type="dxa"/>
            <w:vAlign w:val="bottom"/>
          </w:tcPr>
          <w:p>
            <w:pPr>
              <w:jc w:val="right"/>
              <w:ind w:right="274"/>
              <w:spacing w:after="0"/>
              <w:rPr>
                <w:sz w:val="20"/>
                <w:szCs w:val="20"/>
                <w:color w:val="auto"/>
              </w:rPr>
            </w:pPr>
            <w:r>
              <w:rPr>
                <w:rFonts w:ascii="Arial" w:cs="Arial" w:eastAsia="Arial" w:hAnsi="Arial"/>
                <w:sz w:val="14"/>
                <w:szCs w:val="14"/>
                <w:b w:val="1"/>
                <w:bCs w:val="1"/>
                <w:color w:val="auto"/>
              </w:rPr>
              <w:t>Square Feet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17"/>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Mumbai, India</w:t>
            </w:r>
          </w:p>
        </w:tc>
        <w:tc>
          <w:tcPr>
            <w:tcW w:w="18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126,286</w:t>
            </w:r>
          </w:p>
        </w:tc>
        <w:tc>
          <w:tcPr>
            <w:tcW w:w="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August 31, 2023</w:t>
            </w: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New York, New York</w:t>
            </w:r>
          </w:p>
        </w:tc>
        <w:tc>
          <w:tcPr>
            <w:tcW w:w="1440" w:type="dxa"/>
            <w:vAlign w:val="bottom"/>
          </w:tcPr>
          <w:p>
            <w:pPr>
              <w:jc w:val="right"/>
              <w:spacing w:after="0"/>
              <w:rPr>
                <w:sz w:val="20"/>
                <w:szCs w:val="20"/>
                <w:color w:val="auto"/>
              </w:rPr>
            </w:pPr>
            <w:r>
              <w:rPr>
                <w:rFonts w:ascii="Arial" w:cs="Arial" w:eastAsia="Arial" w:hAnsi="Arial"/>
                <w:sz w:val="18"/>
                <w:szCs w:val="18"/>
                <w:color w:val="auto"/>
              </w:rPr>
              <w:t>125,811</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81"/>
              </w:rPr>
              <w:t>(1)</w:t>
            </w:r>
          </w:p>
        </w:tc>
        <w:tc>
          <w:tcPr>
            <w:tcW w:w="2360" w:type="dxa"/>
            <w:vAlign w:val="bottom"/>
          </w:tcPr>
          <w:p>
            <w:pPr>
              <w:jc w:val="center"/>
              <w:spacing w:after="0"/>
              <w:rPr>
                <w:sz w:val="20"/>
                <w:szCs w:val="20"/>
                <w:color w:val="auto"/>
              </w:rPr>
            </w:pPr>
            <w:r>
              <w:rPr>
                <w:rFonts w:ascii="Arial" w:cs="Arial" w:eastAsia="Arial" w:hAnsi="Arial"/>
                <w:sz w:val="18"/>
                <w:szCs w:val="18"/>
                <w:color w:val="auto"/>
                <w:w w:val="88"/>
              </w:rPr>
              <w:t>February 28, 2033</w:t>
            </w:r>
          </w:p>
        </w:tc>
      </w:tr>
      <w:tr>
        <w:trPr>
          <w:trHeight w:val="224"/>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Budapest, Hungary</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70,833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February 28, 2029</w:t>
            </w: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Monterrey, Mexico</w:t>
            </w:r>
          </w:p>
        </w:tc>
        <w:tc>
          <w:tcPr>
            <w:tcW w:w="1440" w:type="dxa"/>
            <w:vAlign w:val="bottom"/>
          </w:tcPr>
          <w:p>
            <w:pPr>
              <w:jc w:val="right"/>
              <w:spacing w:after="0"/>
              <w:rPr>
                <w:sz w:val="20"/>
                <w:szCs w:val="20"/>
                <w:color w:val="auto"/>
              </w:rPr>
            </w:pPr>
            <w:r>
              <w:rPr>
                <w:rFonts w:ascii="Arial" w:cs="Arial" w:eastAsia="Arial" w:hAnsi="Arial"/>
                <w:sz w:val="18"/>
                <w:szCs w:val="18"/>
                <w:color w:val="auto"/>
              </w:rPr>
              <w:t>56,213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October 31, 2028</w:t>
            </w:r>
          </w:p>
        </w:tc>
      </w:tr>
      <w:tr>
        <w:trPr>
          <w:trHeight w:val="224"/>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Manila, Philippines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31,544</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February 28, 2027</w:t>
            </w: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London, England</w:t>
            </w:r>
          </w:p>
        </w:tc>
        <w:tc>
          <w:tcPr>
            <w:tcW w:w="1440" w:type="dxa"/>
            <w:vAlign w:val="bottom"/>
          </w:tcPr>
          <w:p>
            <w:pPr>
              <w:jc w:val="right"/>
              <w:spacing w:after="0"/>
              <w:rPr>
                <w:sz w:val="20"/>
                <w:szCs w:val="20"/>
                <w:color w:val="auto"/>
              </w:rPr>
            </w:pPr>
            <w:r>
              <w:rPr>
                <w:rFonts w:ascii="Arial" w:cs="Arial" w:eastAsia="Arial" w:hAnsi="Arial"/>
                <w:sz w:val="18"/>
                <w:szCs w:val="18"/>
                <w:color w:val="auto"/>
              </w:rPr>
              <w:t>30,519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December 25, 2026</w:t>
            </w:r>
          </w:p>
        </w:tc>
      </w:tr>
      <w:tr>
        <w:trPr>
          <w:trHeight w:val="224"/>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Pune, India</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24,434</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19, 2026</w:t>
            </w: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Berkeley, California</w:t>
            </w:r>
          </w:p>
        </w:tc>
        <w:tc>
          <w:tcPr>
            <w:tcW w:w="1440" w:type="dxa"/>
            <w:vAlign w:val="bottom"/>
          </w:tcPr>
          <w:p>
            <w:pPr>
              <w:jc w:val="right"/>
              <w:spacing w:after="0"/>
              <w:rPr>
                <w:sz w:val="20"/>
                <w:szCs w:val="20"/>
                <w:color w:val="auto"/>
              </w:rPr>
            </w:pPr>
            <w:r>
              <w:rPr>
                <w:rFonts w:ascii="Arial" w:cs="Arial" w:eastAsia="Arial" w:hAnsi="Arial"/>
                <w:sz w:val="18"/>
                <w:szCs w:val="18"/>
                <w:color w:val="auto"/>
              </w:rPr>
              <w:t>19,808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8"/>
              </w:rPr>
              <w:t>February 28,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993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67" w:lineRule="exact"/>
        <w:rPr>
          <w:sz w:val="20"/>
          <w:szCs w:val="20"/>
          <w:color w:val="auto"/>
        </w:rPr>
      </w:pPr>
    </w:p>
    <w:p>
      <w:pPr>
        <w:ind w:left="580" w:hanging="575"/>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December 31, 2021, 20,325 square feet of this location have been subleased, which will increase to 41,759 square feet in May 2022.</w:t>
      </w:r>
    </w:p>
    <w:p>
      <w:pPr>
        <w:spacing w:after="0" w:line="239" w:lineRule="exact"/>
        <w:rPr>
          <w:sz w:val="20"/>
          <w:szCs w:val="20"/>
          <w:color w:val="auto"/>
        </w:rPr>
      </w:pPr>
    </w:p>
    <w:p>
      <w:pPr>
        <w:ind w:right="100" w:firstLine="589"/>
        <w:spacing w:after="0" w:line="299" w:lineRule="auto"/>
        <w:rPr>
          <w:sz w:val="20"/>
          <w:szCs w:val="20"/>
          <w:color w:val="auto"/>
        </w:rPr>
      </w:pPr>
      <w:r>
        <w:rPr>
          <w:rFonts w:ascii="Arial" w:cs="Arial" w:eastAsia="Arial" w:hAnsi="Arial"/>
          <w:sz w:val="16"/>
          <w:szCs w:val="16"/>
          <w:color w:val="auto"/>
        </w:rPr>
        <w:t>As of December 31, 2021, we had more than 30 leased and occupied locations of which the principal offices are listed above. We believe that our properties are in good operating condition and adequately serve our current business operations. We also anticipate that suitable additional or alternative space, including those under lease options, will be available at commercially reasonable terms for future expansion.</w:t>
      </w:r>
    </w:p>
    <w:p>
      <w:pPr>
        <w:spacing w:after="0" w:line="25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14"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Various lawsuits, claims and proceedings have been or may be instituted or asserted against the Company in the ordinary course of business. While the amounts claimed could be substantial, the ultimate liability cannot now be determined because of the considerable uncertainties that exist. Therefore, it is possible that MSCI’s business, operating results, financial condition or cash flows in a particular period could be materially affected by certain contingencies. However, based on facts currently available, management believes that the disposition of matters that are currently pending or asserted will not, individually or in the aggregate, have a material effect on MSCI’s business, operating results, financial condition or cash flows.</w:t>
      </w:r>
    </w:p>
    <w:p>
      <w:pPr>
        <w:spacing w:after="0" w:line="34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87" w:lineRule="exact"/>
        <w:rPr>
          <w:sz w:val="20"/>
          <w:szCs w:val="20"/>
          <w:color w:val="auto"/>
        </w:rPr>
      </w:pPr>
    </w:p>
    <w:p>
      <w:pPr>
        <w:ind w:right="1900"/>
        <w:spacing w:after="0" w:line="369"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Stock Price and Dividends</w:t>
      </w:r>
    </w:p>
    <w:p>
      <w:pPr>
        <w:ind w:right="360" w:firstLine="589"/>
        <w:spacing w:after="0" w:line="261" w:lineRule="auto"/>
        <w:rPr>
          <w:sz w:val="20"/>
          <w:szCs w:val="20"/>
          <w:color w:val="auto"/>
        </w:rPr>
      </w:pPr>
      <w:r>
        <w:rPr>
          <w:rFonts w:ascii="Arial" w:cs="Arial" w:eastAsia="Arial" w:hAnsi="Arial"/>
          <w:sz w:val="18"/>
          <w:szCs w:val="18"/>
          <w:color w:val="auto"/>
        </w:rPr>
        <w:t>Our common stock is traded on the New York Stock Exchange under the symbol “MSCI.” As of February 4, 2022, there were 112 shareholders of record of our common stock.</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Dividend Policy</w:t>
      </w:r>
    </w:p>
    <w:p>
      <w:pPr>
        <w:spacing w:after="0" w:line="108" w:lineRule="exact"/>
        <w:rPr>
          <w:sz w:val="20"/>
          <w:szCs w:val="20"/>
          <w:color w:val="auto"/>
        </w:rPr>
      </w:pPr>
    </w:p>
    <w:p>
      <w:pPr>
        <w:ind w:right="60" w:firstLine="589"/>
        <w:spacing w:after="0" w:line="299" w:lineRule="auto"/>
        <w:rPr>
          <w:sz w:val="20"/>
          <w:szCs w:val="20"/>
          <w:color w:val="auto"/>
        </w:rPr>
      </w:pPr>
      <w:r>
        <w:rPr>
          <w:rFonts w:ascii="Arial" w:cs="Arial" w:eastAsia="Arial" w:hAnsi="Arial"/>
          <w:sz w:val="16"/>
          <w:szCs w:val="16"/>
          <w:color w:val="auto"/>
        </w:rPr>
        <w:t>The payment amounts of future dividends will be determined by the Board of Directors in light of conditions then existing, including our earnings, financial condition and capital requirements, business conditions, corporate law requirements and other factors. See Part II, Item 7. “Management’s Discussion and Analysis of Financial Condition and Results of Operations—Liquidity and Capital Resources” for additional information on our dividend policy.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114" w:lineRule="exact"/>
        <w:rPr>
          <w:sz w:val="20"/>
          <w:szCs w:val="20"/>
          <w:color w:val="auto"/>
        </w:rPr>
      </w:pPr>
    </w:p>
    <w:p>
      <w:pPr>
        <w:ind w:right="160" w:firstLine="589"/>
        <w:spacing w:after="0" w:line="252" w:lineRule="auto"/>
        <w:rPr>
          <w:sz w:val="20"/>
          <w:szCs w:val="20"/>
          <w:color w:val="auto"/>
        </w:rPr>
      </w:pPr>
      <w:r>
        <w:rPr>
          <w:rFonts w:ascii="Arial" w:cs="Arial" w:eastAsia="Arial" w:hAnsi="Arial"/>
          <w:sz w:val="18"/>
          <w:szCs w:val="18"/>
          <w:color w:val="auto"/>
        </w:rPr>
        <w:t>Our Board of Directors has approved a stock repurchase program for the purchase of the Company’s common stock in the open market. See Note 11, “Shareholders’ Equity (Deficit),” of the Notes to Consolidated Financial Statements included herein for additional information on our stock repurchase program.</w:t>
      </w:r>
    </w:p>
    <w:p>
      <w:pPr>
        <w:spacing w:after="0" w:line="189" w:lineRule="exact"/>
        <w:rPr>
          <w:sz w:val="20"/>
          <w:szCs w:val="20"/>
          <w:color w:val="auto"/>
        </w:rPr>
      </w:pPr>
    </w:p>
    <w:p>
      <w:pPr>
        <w:ind w:right="300" w:firstLine="589"/>
        <w:spacing w:after="0" w:line="261" w:lineRule="auto"/>
        <w:rPr>
          <w:sz w:val="20"/>
          <w:szCs w:val="20"/>
          <w:color w:val="auto"/>
        </w:rPr>
      </w:pPr>
      <w:r>
        <w:rPr>
          <w:rFonts w:ascii="Arial" w:cs="Arial" w:eastAsia="Arial" w:hAnsi="Arial"/>
          <w:sz w:val="18"/>
          <w:szCs w:val="18"/>
          <w:color w:val="auto"/>
        </w:rPr>
        <w:t>The following table provides information with respect to purchases made by or on behalf of the Company of its shares of common stock during the quarter ended December 31, 2021.</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4"/>
              </w:rPr>
              <w:t>of Shares</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Purchased</w:t>
            </w:r>
          </w:p>
        </w:tc>
        <w:tc>
          <w:tcPr>
            <w:tcW w:w="220" w:type="dxa"/>
            <w:vAlign w:val="bottom"/>
          </w:tcPr>
          <w:p>
            <w:pPr>
              <w:spacing w:after="0"/>
              <w:rPr>
                <w:sz w:val="12"/>
                <w:szCs w:val="12"/>
                <w:color w:val="auto"/>
              </w:rPr>
            </w:pPr>
          </w:p>
        </w:tc>
        <w:tc>
          <w:tcPr>
            <w:tcW w:w="12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Dollar</w:t>
            </w: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Average</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12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Value of Shares</w:t>
            </w: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12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12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Purchased Under</w:t>
            </w: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Paid Per</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12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50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Purchased </w:t>
            </w:r>
            <w:r>
              <w:rPr>
                <w:rFonts w:ascii="Arial" w:cs="Arial" w:eastAsia="Arial" w:hAnsi="Arial"/>
                <w:sz w:val="11"/>
                <w:szCs w:val="11"/>
                <w:color w:val="auto"/>
                <w:w w:val="89"/>
              </w:rPr>
              <w:t>(1)</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Programs </w:t>
            </w:r>
            <w:r>
              <w:rPr>
                <w:rFonts w:ascii="Arial" w:cs="Arial" w:eastAsia="Arial" w:hAnsi="Arial"/>
                <w:sz w:val="11"/>
                <w:szCs w:val="11"/>
                <w:b w:val="1"/>
                <w:bCs w:val="1"/>
                <w:color w:val="auto"/>
                <w:w w:val="91"/>
              </w:rPr>
              <w:t>(2)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October 1, 2021-October 31,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center"/>
              <w:ind w:left="132"/>
              <w:spacing w:after="0"/>
              <w:rPr>
                <w:sz w:val="20"/>
                <w:szCs w:val="20"/>
                <w:color w:val="auto"/>
              </w:rPr>
            </w:pPr>
            <w:r>
              <w:rPr>
                <w:rFonts w:ascii="Arial" w:cs="Arial" w:eastAsia="Arial" w:hAnsi="Arial"/>
                <w:sz w:val="18"/>
                <w:szCs w:val="18"/>
                <w:color w:val="auto"/>
                <w:w w:val="86"/>
              </w:rPr>
              <w:t>$ 1,594,416,000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November 1, 2021-November 30, 2021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$ 1,594,416,000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5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December 1, 2021-December 31, 2021</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578.77</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9,069</w:t>
            </w:r>
          </w:p>
        </w:tc>
        <w:tc>
          <w:tcPr>
            <w:tcW w:w="1340" w:type="dxa"/>
            <w:vAlign w:val="bottom"/>
            <w:gridSpan w:val="2"/>
            <w:shd w:val="clear" w:color="auto" w:fill="CFF0FC"/>
          </w:tcPr>
          <w:p>
            <w:pPr>
              <w:jc w:val="center"/>
              <w:ind w:left="132"/>
              <w:spacing w:after="0"/>
              <w:rPr>
                <w:sz w:val="20"/>
                <w:szCs w:val="20"/>
                <w:color w:val="auto"/>
              </w:rPr>
            </w:pPr>
            <w:r>
              <w:rPr>
                <w:rFonts w:ascii="Arial" w:cs="Arial" w:eastAsia="Arial" w:hAnsi="Arial"/>
                <w:sz w:val="18"/>
                <w:szCs w:val="18"/>
                <w:color w:val="auto"/>
                <w:w w:val="86"/>
              </w:rPr>
              <w:t>$ 1,589,177,000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578.77</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$ 1,589,177,000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5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80" w:hanging="575"/>
        <w:spacing w:after="0" w:line="224" w:lineRule="auto"/>
        <w:tabs>
          <w:tab w:leader="none" w:pos="580" w:val="left"/>
        </w:tabs>
        <w:numPr>
          <w:ilvl w:val="0"/>
          <w:numId w:val="28"/>
        </w:numPr>
        <w:rPr>
          <w:rFonts w:ascii="Arial" w:cs="Arial" w:eastAsia="Arial" w:hAnsi="Arial"/>
          <w:sz w:val="12"/>
          <w:szCs w:val="12"/>
          <w:color w:val="auto"/>
        </w:rPr>
      </w:pPr>
      <w:r>
        <w:rPr>
          <w:rFonts w:ascii="Arial" w:cs="Arial" w:eastAsia="Arial" w:hAnsi="Arial"/>
          <w:sz w:val="14"/>
          <w:szCs w:val="14"/>
          <w:color w:val="auto"/>
        </w:rPr>
        <w:t>Includes (i) shares purchased by the Company on the open market under the stock repurchase program; (ii) shares withheld to satisfy tax withholding obligations on behalf of employees that occur upon vesting and delivery of outstanding shares underlying restricted stock units; and (iii) shares held in treasury under the MSCI Inc. Non-Employee Directors Deferral Plan. The value of shares withheld to satisfy tax withholding obligations was determined using the fair market value of the Company’s common stock on the date of withholding, using a valuation methodology established by the Company.</w:t>
      </w:r>
    </w:p>
    <w:p>
      <w:pPr>
        <w:spacing w:after="0" w:line="2" w:lineRule="exact"/>
        <w:rPr>
          <w:rFonts w:ascii="Arial" w:cs="Arial" w:eastAsia="Arial" w:hAnsi="Arial"/>
          <w:sz w:val="12"/>
          <w:szCs w:val="12"/>
          <w:color w:val="auto"/>
        </w:rPr>
      </w:pPr>
    </w:p>
    <w:p>
      <w:pPr>
        <w:ind w:left="580" w:hanging="575"/>
        <w:spacing w:after="0"/>
        <w:tabs>
          <w:tab w:leader="none" w:pos="580" w:val="left"/>
        </w:tabs>
        <w:numPr>
          <w:ilvl w:val="0"/>
          <w:numId w:val="28"/>
        </w:numPr>
        <w:rPr>
          <w:rFonts w:ascii="Arial" w:cs="Arial" w:eastAsia="Arial" w:hAnsi="Arial"/>
          <w:sz w:val="11"/>
          <w:szCs w:val="11"/>
          <w:color w:val="auto"/>
        </w:rPr>
      </w:pPr>
      <w:r>
        <w:rPr>
          <w:rFonts w:ascii="Arial" w:cs="Arial" w:eastAsia="Arial" w:hAnsi="Arial"/>
          <w:sz w:val="13"/>
          <w:szCs w:val="13"/>
          <w:color w:val="auto"/>
        </w:rPr>
        <w:t>See Note 11, “Shareholders’ Equity (Deficit),” of the Notes to the Consolidated Financial Statements included herein for further information regarding our stock repurchase program.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unregistered sales of equity securities in the year ended December 31, 2021.</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FIVE-YEAR STOCK PERFORMANCE GRAPH</w:t>
      </w:r>
    </w:p>
    <w:p>
      <w:pPr>
        <w:spacing w:after="0" w:line="180" w:lineRule="exact"/>
        <w:rPr>
          <w:sz w:val="20"/>
          <w:szCs w:val="20"/>
          <w:color w:val="auto"/>
        </w:rPr>
      </w:pPr>
    </w:p>
    <w:p>
      <w:pPr>
        <w:ind w:right="60" w:firstLine="589"/>
        <w:spacing w:after="0" w:line="282" w:lineRule="auto"/>
        <w:rPr>
          <w:sz w:val="20"/>
          <w:szCs w:val="20"/>
          <w:color w:val="auto"/>
        </w:rPr>
      </w:pPr>
      <w:r>
        <w:rPr>
          <w:rFonts w:ascii="Arial" w:cs="Arial" w:eastAsia="Arial" w:hAnsi="Arial"/>
          <w:sz w:val="16"/>
          <w:szCs w:val="16"/>
          <w:color w:val="auto"/>
        </w:rPr>
        <w:t>The following graph compares the cumulative total shareholders’ return on our common stock, the Standard &amp; Poor’s 500 Stock Index and the NYSE Composite Index since December 31, 2016 assuming an investment of $100 at the closing price on December 31, 2016. In calculating total annual shareholders’ return, reinvestment of dividends, if any, is assumed. The indexes are included for comparative purposes only. They do not necessarily reflect management’s opinion that such indexes are an appropriate measure of the relative performance of the common stock. This graph is not “soliciting material,” is not to be deemed filed with the SEC and is not to be incorporated by reference in any of our filings under the Securities Act of 1933, as amended (the “Securities Act”)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114935</wp:posOffset>
            </wp:positionV>
            <wp:extent cx="5208270" cy="2829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08270" cy="282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Investment Value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440"/>
              <w:spacing w:after="0"/>
              <w:rPr>
                <w:sz w:val="20"/>
                <w:szCs w:val="20"/>
                <w:color w:val="auto"/>
              </w:rPr>
            </w:pPr>
            <w:r>
              <w:rPr>
                <w:rFonts w:ascii="Arial" w:cs="Arial" w:eastAsia="Arial" w:hAnsi="Arial"/>
                <w:sz w:val="14"/>
                <w:szCs w:val="14"/>
                <w:b w:val="1"/>
                <w:bCs w:val="1"/>
                <w:color w:val="auto"/>
                <w:w w:val="87"/>
              </w:rPr>
              <w:t>Years Ended</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0"/>
        </w:trPr>
        <w:tc>
          <w:tcPr>
            <w:tcW w:w="472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3"/>
          </w:tcPr>
          <w:p>
            <w:pPr>
              <w:spacing w:after="0"/>
              <w:rPr>
                <w:sz w:val="4"/>
                <w:szCs w:val="4"/>
                <w:color w:val="auto"/>
              </w:rPr>
            </w:pPr>
          </w:p>
        </w:tc>
        <w:tc>
          <w:tcPr>
            <w:tcW w:w="9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3"/>
          </w:tcPr>
          <w:p>
            <w:pPr>
              <w:spacing w:after="0"/>
              <w:rPr>
                <w:sz w:val="4"/>
                <w:szCs w:val="4"/>
                <w:color w:val="auto"/>
              </w:rPr>
            </w:pPr>
          </w:p>
        </w:tc>
      </w:tr>
      <w:tr>
        <w:trPr>
          <w:trHeight w:val="141"/>
        </w:trPr>
        <w:tc>
          <w:tcPr>
            <w:tcW w:w="4720" w:type="dxa"/>
            <w:vAlign w:val="bottom"/>
          </w:tcPr>
          <w:p>
            <w:pPr>
              <w:spacing w:after="0"/>
              <w:rPr>
                <w:sz w:val="12"/>
                <w:szCs w:val="12"/>
                <w:color w:val="auto"/>
              </w:rPr>
            </w:pPr>
          </w:p>
        </w:tc>
        <w:tc>
          <w:tcPr>
            <w:tcW w:w="88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40"/>
              <w:spacing w:after="0" w:line="141" w:lineRule="exact"/>
              <w:rPr>
                <w:sz w:val="20"/>
                <w:szCs w:val="20"/>
                <w:color w:val="auto"/>
              </w:rPr>
            </w:pPr>
            <w:r>
              <w:rPr>
                <w:rFonts w:ascii="Arial" w:cs="Arial" w:eastAsia="Arial" w:hAnsi="Arial"/>
                <w:sz w:val="14"/>
                <w:szCs w:val="14"/>
                <w:b w:val="1"/>
                <w:bCs w:val="1"/>
                <w:color w:val="auto"/>
              </w:rPr>
              <w:t>December 31,</w:t>
            </w:r>
          </w:p>
        </w:tc>
        <w:tc>
          <w:tcPr>
            <w:tcW w:w="90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r>
      <w:tr>
        <w:trPr>
          <w:trHeight w:val="167"/>
        </w:trPr>
        <w:tc>
          <w:tcPr>
            <w:tcW w:w="47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17"/>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MSCI Inc.</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6"/>
              </w:rPr>
              <w:t>192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18"/>
                <w:szCs w:val="18"/>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S&amp;P 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116</w:t>
            </w:r>
          </w:p>
        </w:tc>
        <w:tc>
          <w:tcPr>
            <w:tcW w:w="2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r>
      <w:tr>
        <w:trPr>
          <w:trHeight w:val="224"/>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NYSE Composite Index</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6"/>
              </w:rPr>
              <w:t>108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Source: S&amp;P Global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6" w:name="page37"/>
    <w:bookmarkEnd w:id="36"/>
    <w:p>
      <w:pPr>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14" w:lineRule="exact"/>
        <w:rPr>
          <w:sz w:val="20"/>
          <w:szCs w:val="20"/>
          <w:color w:val="auto"/>
        </w:rPr>
      </w:pPr>
    </w:p>
    <w:p>
      <w:pPr>
        <w:ind w:right="140" w:firstLine="589"/>
        <w:spacing w:after="0" w:line="252" w:lineRule="auto"/>
        <w:rPr>
          <w:sz w:val="20"/>
          <w:szCs w:val="20"/>
          <w:color w:val="auto"/>
        </w:rPr>
      </w:pPr>
      <w:r>
        <w:rPr>
          <w:rFonts w:ascii="Arial" w:cs="Arial" w:eastAsia="Arial" w:hAnsi="Arial"/>
          <w:sz w:val="18"/>
          <w:szCs w:val="18"/>
          <w:color w:val="auto"/>
        </w:rPr>
        <w:t>Our selected consolidated financial data for the periods presented should be read in conjunction with “Item 7. Management’s Discussion and Analysis of Financial Condition and Results of Operations” and the consolidated financial statements and notes thereto provided under Part II, Item 8. “Financial Statements and Supplementary Data” of this Annual Report on Form 10-K.</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1"/>
              </w:rPr>
              <w:t>For the Years Ended</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1240" w:type="dxa"/>
            <w:vAlign w:val="bottom"/>
            <w:gridSpan w:val="5"/>
          </w:tcPr>
          <w:p>
            <w:pPr>
              <w:jc w:val="right"/>
              <w:ind w:right="290"/>
              <w:spacing w:after="0"/>
              <w:rPr>
                <w:sz w:val="20"/>
                <w:szCs w:val="20"/>
                <w:color w:val="auto"/>
              </w:rPr>
            </w:pPr>
            <w:r>
              <w:rPr>
                <w:rFonts w:ascii="Arial" w:cs="Arial" w:eastAsia="Arial" w:hAnsi="Arial"/>
                <w:sz w:val="14"/>
                <w:szCs w:val="14"/>
                <w:b w:val="1"/>
                <w:bCs w:val="1"/>
                <w:color w:val="auto"/>
                <w:w w:val="94"/>
              </w:rPr>
              <w:t>December 31,</w:t>
            </w:r>
          </w:p>
        </w:tc>
        <w:tc>
          <w:tcPr>
            <w:tcW w:w="13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December 31,</w:t>
            </w: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 xml:space="preserve">2018 </w:t>
            </w:r>
            <w:r>
              <w:rPr>
                <w:rFonts w:ascii="Arial" w:cs="Arial" w:eastAsia="Arial" w:hAnsi="Arial"/>
                <w:sz w:val="11"/>
                <w:szCs w:val="11"/>
                <w:b w:val="1"/>
                <w:bCs w:val="1"/>
                <w:color w:val="auto"/>
                <w:w w:val="98"/>
              </w:rPr>
              <w:t>(1)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80" w:type="dxa"/>
            <w:vAlign w:val="bottom"/>
            <w:gridSpan w:val="13"/>
          </w:tcPr>
          <w:p>
            <w:pPr>
              <w:spacing w:after="0" w:line="151" w:lineRule="exact"/>
              <w:rPr>
                <w:sz w:val="20"/>
                <w:szCs w:val="20"/>
                <w:color w:val="auto"/>
              </w:rPr>
            </w:pPr>
            <w:r>
              <w:rPr>
                <w:rFonts w:ascii="Arial" w:cs="Arial" w:eastAsia="Arial" w:hAnsi="Arial"/>
                <w:sz w:val="14"/>
                <w:szCs w:val="14"/>
                <w:b w:val="1"/>
                <w:bCs w:val="1"/>
                <w:color w:val="auto"/>
                <w:w w:val="92"/>
              </w:rPr>
              <w:t>(in thousands, except operating margin and per share data)</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  2,043,544</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1,695,390</w:t>
            </w:r>
          </w:p>
        </w:tc>
        <w:tc>
          <w:tcPr>
            <w:tcW w:w="1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1,557,796</w:t>
            </w:r>
          </w:p>
        </w:tc>
        <w:tc>
          <w:tcPr>
            <w:tcW w:w="1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1,433,984</w:t>
            </w:r>
          </w:p>
        </w:tc>
        <w:tc>
          <w:tcPr>
            <w:tcW w:w="1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1,274,172</w:t>
            </w:r>
          </w:p>
        </w:tc>
        <w:tc>
          <w:tcPr>
            <w:tcW w:w="100" w:type="dxa"/>
            <w:vAlign w:val="bottom"/>
            <w:shd w:val="clear" w:color="auto" w:fill="CFF0FC"/>
          </w:tcPr>
          <w:p>
            <w:pPr>
              <w:spacing w:after="0"/>
              <w:rPr>
                <w:sz w:val="19"/>
                <w:szCs w:val="19"/>
                <w:color w:val="auto"/>
              </w:rPr>
            </w:pPr>
          </w:p>
        </w:tc>
        <w:tc>
          <w:tcPr>
            <w:tcW w:w="1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970,819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810,626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802,095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747,086</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694,402</w:t>
            </w:r>
          </w:p>
        </w:tc>
        <w:tc>
          <w:tcPr>
            <w:tcW w:w="100" w:type="dxa"/>
            <w:vAlign w:val="bottom"/>
            <w:tcBorders>
              <w:bottom w:val="single" w:sz="8" w:color="CFF0FC"/>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1,072,725</w:t>
            </w:r>
          </w:p>
        </w:tc>
        <w:tc>
          <w:tcPr>
            <w:tcW w:w="2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884,764</w:t>
            </w:r>
          </w:p>
        </w:tc>
        <w:tc>
          <w:tcPr>
            <w:tcW w:w="1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755,701</w:t>
            </w:r>
          </w:p>
        </w:tc>
        <w:tc>
          <w:tcPr>
            <w:tcW w:w="1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686,898</w:t>
            </w:r>
          </w:p>
        </w:tc>
        <w:tc>
          <w:tcPr>
            <w:tcW w:w="1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579,770</w:t>
            </w:r>
          </w:p>
        </w:tc>
        <w:tc>
          <w:tcPr>
            <w:tcW w:w="100" w:type="dxa"/>
            <w:vAlign w:val="bottom"/>
            <w:shd w:val="clear" w:color="auto" w:fill="CFF0FC"/>
          </w:tcPr>
          <w:p>
            <w:pPr>
              <w:spacing w:after="0"/>
              <w:rPr>
                <w:sz w:val="18"/>
                <w:szCs w:val="18"/>
                <w:color w:val="auto"/>
              </w:rPr>
            </w:pPr>
          </w:p>
        </w:tc>
        <w:tc>
          <w:tcPr>
            <w:tcW w:w="18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214,589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198,539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152,383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132,153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84,403</w:t>
            </w:r>
          </w:p>
        </w:tc>
        <w:tc>
          <w:tcPr>
            <w:tcW w:w="1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39,670</w:t>
            </w:r>
          </w:p>
        </w:tc>
        <w:tc>
          <w:tcPr>
            <w:tcW w:w="1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left w:val="single" w:sz="8" w:color="CFF0FC"/>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122,011</w:t>
            </w:r>
          </w:p>
        </w:tc>
        <w:tc>
          <w:tcPr>
            <w:tcW w:w="1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162,927</w:t>
            </w:r>
          </w:p>
        </w:tc>
        <w:tc>
          <w:tcPr>
            <w:tcW w:w="100" w:type="dxa"/>
            <w:vAlign w:val="bottom"/>
            <w:shd w:val="clear" w:color="auto" w:fill="CFF0FC"/>
          </w:tcPr>
          <w:p>
            <w:pPr>
              <w:spacing w:after="0"/>
              <w:rPr>
                <w:sz w:val="19"/>
                <w:szCs w:val="19"/>
                <w:color w:val="auto"/>
              </w:rPr>
            </w:pPr>
          </w:p>
        </w:tc>
        <w:tc>
          <w:tcPr>
            <w:tcW w:w="1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20"/>
                <w:szCs w:val="20"/>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725,983</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601,822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563,648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507,885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303,972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vMerge w:val="continue"/>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52.5%</w:t>
            </w: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52.2%</w:t>
            </w: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3"/>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48.5%</w:t>
            </w:r>
          </w:p>
        </w:tc>
        <w:tc>
          <w:tcPr>
            <w:tcW w:w="200" w:type="dxa"/>
            <w:vAlign w:val="bottom"/>
            <w:tcBorders>
              <w:left w:val="single" w:sz="8" w:color="CFF0FC"/>
            </w:tcBorders>
            <w:shd w:val="clear" w:color="auto" w:fill="CFF0FC"/>
          </w:tcPr>
          <w:p>
            <w:pPr>
              <w:spacing w:after="0"/>
              <w:rPr>
                <w:sz w:val="17"/>
                <w:szCs w:val="17"/>
                <w:color w:val="auto"/>
              </w:rPr>
            </w:pPr>
          </w:p>
        </w:tc>
        <w:tc>
          <w:tcPr>
            <w:tcW w:w="1120" w:type="dxa"/>
            <w:vAlign w:val="bottom"/>
            <w:tcBorders>
              <w:right w:val="single" w:sz="8" w:color="CFF0FC"/>
            </w:tcBorders>
            <w:gridSpan w:val="3"/>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47.9%</w:t>
            </w: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45.5%</w:t>
            </w: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spacing w:after="0"/>
              <w:rPr>
                <w:sz w:val="20"/>
                <w:szCs w:val="20"/>
                <w:color w:val="auto"/>
              </w:rPr>
            </w:pPr>
            <w:r>
              <w:rPr>
                <w:rFonts w:ascii="Arial" w:cs="Arial" w:eastAsia="Arial" w:hAnsi="Arial"/>
                <w:sz w:val="18"/>
                <w:szCs w:val="18"/>
                <w:color w:val="auto"/>
              </w:rPr>
              <w:t>Earnings per basic common share</w:t>
            </w:r>
          </w:p>
        </w:tc>
        <w:tc>
          <w:tcPr>
            <w:tcW w:w="98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8.80</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Earnings per diluted common share</w:t>
            </w: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vMerge w:val="continue"/>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7"/>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8.70</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7.12</w:t>
            </w:r>
          </w:p>
        </w:tc>
        <w:tc>
          <w:tcPr>
            <w:tcW w:w="1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6.59</w:t>
            </w:r>
          </w:p>
        </w:tc>
        <w:tc>
          <w:tcPr>
            <w:tcW w:w="1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7"/>
                <w:szCs w:val="17"/>
                <w:color w:val="auto"/>
              </w:rPr>
            </w:pP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82,508</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83,716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84,644</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200" w:type="dxa"/>
            <w:vAlign w:val="bottom"/>
            <w:tcBorders>
              <w:left w:val="single" w:sz="8" w:color="CFF0FC"/>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87,179</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90,336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4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83,479</w:t>
            </w:r>
          </w:p>
        </w:tc>
        <w:tc>
          <w:tcPr>
            <w:tcW w:w="2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84,517</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85,536</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89,701</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91,914</w:t>
            </w:r>
          </w:p>
        </w:tc>
        <w:tc>
          <w:tcPr>
            <w:tcW w:w="100" w:type="dxa"/>
            <w:vAlign w:val="bottom"/>
            <w:tcBorders>
              <w:bottom w:val="single" w:sz="8" w:color="CFF0FC"/>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1220" w:type="dxa"/>
            <w:vAlign w:val="bottom"/>
            <w:gridSpan w:val="2"/>
            <w:shd w:val="clear" w:color="auto" w:fill="CFF0FC"/>
          </w:tcPr>
          <w:p>
            <w:pPr>
              <w:jc w:val="right"/>
              <w:ind w:right="57"/>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3.64</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2.92</w:t>
            </w:r>
          </w:p>
        </w:tc>
        <w:tc>
          <w:tcPr>
            <w:tcW w:w="1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w:t>
            </w:r>
          </w:p>
        </w:tc>
        <w:tc>
          <w:tcPr>
            <w:tcW w:w="1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7"/>
                <w:szCs w:val="17"/>
                <w:color w:val="auto"/>
              </w:rPr>
            </w:pP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56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9"/>
                <w:szCs w:val="19"/>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132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1"/>
                <w:szCs w:val="11"/>
                <w:b w:val="1"/>
                <w:bCs w:val="1"/>
                <w:color w:val="auto"/>
              </w:rPr>
              <w:t>(3)</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1"/>
                <w:szCs w:val="11"/>
                <w:b w:val="1"/>
                <w:bCs w:val="1"/>
                <w:color w:val="auto"/>
              </w:rPr>
              <w:t>(2)</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1"/>
                <w:szCs w:val="11"/>
                <w:b w:val="1"/>
                <w:bCs w:val="1"/>
                <w:color w:val="auto"/>
              </w:rPr>
              <w:t>(1)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60"/>
              <w:spacing w:after="0" w:line="15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1,421,449</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1,300,521</w:t>
            </w:r>
          </w:p>
        </w:tc>
        <w:tc>
          <w:tcPr>
            <w:tcW w:w="100" w:type="dxa"/>
            <w:vAlign w:val="bottom"/>
            <w:tcBorders>
              <w:right w:val="single" w:sz="8" w:color="CFF0FC"/>
            </w:tcBorders>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1,506,567</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904,176</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889,502</w:t>
            </w:r>
          </w:p>
        </w:tc>
        <w:tc>
          <w:tcPr>
            <w:tcW w:w="10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Accounts receivable, net of allowances</w:t>
            </w:r>
          </w:p>
        </w:tc>
        <w:tc>
          <w:tcPr>
            <w:tcW w:w="1220" w:type="dxa"/>
            <w:vAlign w:val="bottom"/>
            <w:tcBorders>
              <w:top w:val="single" w:sz="8" w:color="CFF0F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gridSpan w:val="2"/>
            <w:vMerge w:val="continue"/>
          </w:tcPr>
          <w:p>
            <w:pPr>
              <w:spacing w:after="0"/>
              <w:rPr>
                <w:sz w:val="21"/>
                <w:szCs w:val="21"/>
                <w:color w:val="auto"/>
              </w:rPr>
            </w:pPr>
          </w:p>
        </w:tc>
        <w:tc>
          <w:tcPr>
            <w:tcW w:w="13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664,511</w:t>
            </w:r>
          </w:p>
        </w:tc>
        <w:tc>
          <w:tcPr>
            <w:tcW w:w="180" w:type="dxa"/>
            <w:vAlign w:val="bottom"/>
          </w:tcPr>
          <w:p>
            <w:pPr>
              <w:spacing w:after="0"/>
              <w:rPr>
                <w:sz w:val="21"/>
                <w:szCs w:val="21"/>
                <w:color w:val="auto"/>
              </w:rPr>
            </w:pP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558,569</w:t>
            </w:r>
          </w:p>
        </w:tc>
        <w:tc>
          <w:tcPr>
            <w:tcW w:w="100" w:type="dxa"/>
            <w:vAlign w:val="bottom"/>
          </w:tcPr>
          <w:p>
            <w:pPr>
              <w:spacing w:after="0"/>
              <w:rPr>
                <w:sz w:val="21"/>
                <w:szCs w:val="21"/>
                <w:color w:val="auto"/>
              </w:rPr>
            </w:pP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499,268</w:t>
            </w:r>
          </w:p>
        </w:tc>
        <w:tc>
          <w:tcPr>
            <w:tcW w:w="200" w:type="dxa"/>
            <w:vAlign w:val="bottom"/>
          </w:tcPr>
          <w:p>
            <w:pPr>
              <w:spacing w:after="0"/>
              <w:rPr>
                <w:sz w:val="21"/>
                <w:szCs w:val="21"/>
                <w:color w:val="auto"/>
              </w:rPr>
            </w:pPr>
          </w:p>
        </w:tc>
        <w:tc>
          <w:tcPr>
            <w:tcW w:w="20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473,433</w:t>
            </w:r>
          </w:p>
        </w:tc>
        <w:tc>
          <w:tcPr>
            <w:tcW w:w="260" w:type="dxa"/>
            <w:vAlign w:val="bottom"/>
          </w:tcPr>
          <w:p>
            <w:pPr>
              <w:spacing w:after="0"/>
              <w:rPr>
                <w:sz w:val="21"/>
                <w:szCs w:val="21"/>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327,597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880" w:type="dxa"/>
            <w:vAlign w:val="bottom"/>
            <w:tcBorders>
              <w:top w:val="single" w:sz="8" w:color="CFF0FC"/>
            </w:tcBorders>
            <w:gridSpan w:val="2"/>
            <w:shd w:val="clear" w:color="auto" w:fill="CFF0FC"/>
          </w:tcPr>
          <w:p>
            <w:pPr>
              <w:spacing w:after="0" w:line="191" w:lineRule="exact"/>
              <w:rPr>
                <w:sz w:val="20"/>
                <w:szCs w:val="20"/>
                <w:color w:val="auto"/>
              </w:rPr>
            </w:pPr>
            <w:r>
              <w:rPr>
                <w:rFonts w:ascii="Arial" w:cs="Arial" w:eastAsia="Arial" w:hAnsi="Arial"/>
                <w:sz w:val="18"/>
                <w:szCs w:val="18"/>
                <w:color w:val="auto"/>
              </w:rPr>
              <w:t>Goodwill and intangibles, net of</w:t>
            </w:r>
          </w:p>
        </w:tc>
        <w:tc>
          <w:tcPr>
            <w:tcW w:w="9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right w:val="single" w:sz="8" w:color="CFF0FC"/>
            </w:tcBorders>
            <w:shd w:val="clear" w:color="auto" w:fill="CFF0FC"/>
          </w:tcPr>
          <w:p>
            <w:pPr>
              <w:spacing w:after="0"/>
              <w:rPr>
                <w:sz w:val="16"/>
                <w:szCs w:val="16"/>
                <w:color w:val="auto"/>
              </w:rPr>
            </w:pPr>
          </w:p>
        </w:tc>
        <w:tc>
          <w:tcPr>
            <w:tcW w:w="180" w:type="dxa"/>
            <w:vAlign w:val="bottom"/>
            <w:tcBorders>
              <w:top w:val="single" w:sz="8" w:color="CFF0FC"/>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right w:val="single" w:sz="8" w:color="CFF0FC"/>
            </w:tcBorders>
            <w:shd w:val="clear" w:color="auto" w:fill="CFF0FC"/>
          </w:tcPr>
          <w:p>
            <w:pPr>
              <w:spacing w:after="0"/>
              <w:rPr>
                <w:sz w:val="16"/>
                <w:szCs w:val="16"/>
                <w:color w:val="auto"/>
              </w:rPr>
            </w:pPr>
          </w:p>
        </w:tc>
        <w:tc>
          <w:tcPr>
            <w:tcW w:w="200" w:type="dxa"/>
            <w:vAlign w:val="bottom"/>
            <w:tcBorders>
              <w:top w:val="single" w:sz="8" w:color="auto"/>
              <w:left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right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amortization</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2,829,727</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1,800,770</w:t>
            </w:r>
          </w:p>
        </w:tc>
        <w:tc>
          <w:tcPr>
            <w:tcW w:w="100" w:type="dxa"/>
            <w:vAlign w:val="bottom"/>
            <w:tcBorders>
              <w:right w:val="single" w:sz="8" w:color="CFF0FC"/>
            </w:tcBorders>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1,824,355</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1,826,564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1,882,457</w:t>
            </w:r>
          </w:p>
        </w:tc>
        <w:tc>
          <w:tcPr>
            <w:tcW w:w="10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Total assets</w:t>
            </w:r>
          </w:p>
        </w:tc>
        <w:tc>
          <w:tcPr>
            <w:tcW w:w="1220" w:type="dxa"/>
            <w:vAlign w:val="bottom"/>
            <w:tcBorders>
              <w:top w:val="single" w:sz="8" w:color="CFF0F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gridSpan w:val="2"/>
            <w:vMerge w:val="continue"/>
          </w:tcPr>
          <w:p>
            <w:pPr>
              <w:spacing w:after="0"/>
              <w:rPr>
                <w:sz w:val="19"/>
                <w:szCs w:val="19"/>
                <w:color w:val="auto"/>
              </w:rPr>
            </w:pPr>
          </w:p>
        </w:tc>
        <w:tc>
          <w:tcPr>
            <w:tcW w:w="13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5,506,703</w:t>
            </w:r>
          </w:p>
        </w:tc>
        <w:tc>
          <w:tcPr>
            <w:tcW w:w="180" w:type="dxa"/>
            <w:vAlign w:val="bottom"/>
          </w:tcPr>
          <w:p>
            <w:pPr>
              <w:spacing w:after="0"/>
              <w:rPr>
                <w:sz w:val="19"/>
                <w:szCs w:val="19"/>
                <w:color w:val="auto"/>
              </w:rPr>
            </w:pP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9"/>
              </w:rPr>
              <w:t>4,198,647</w:t>
            </w:r>
          </w:p>
        </w:tc>
        <w:tc>
          <w:tcPr>
            <w:tcW w:w="100" w:type="dxa"/>
            <w:vAlign w:val="bottom"/>
          </w:tcPr>
          <w:p>
            <w:pPr>
              <w:spacing w:after="0"/>
              <w:rPr>
                <w:sz w:val="19"/>
                <w:szCs w:val="19"/>
                <w:color w:val="auto"/>
              </w:rPr>
            </w:pP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4,204,439</w:t>
            </w:r>
          </w:p>
        </w:tc>
        <w:tc>
          <w:tcPr>
            <w:tcW w:w="200" w:type="dxa"/>
            <w:vAlign w:val="bottom"/>
          </w:tcPr>
          <w:p>
            <w:pPr>
              <w:spacing w:after="0"/>
              <w:rPr>
                <w:sz w:val="19"/>
                <w:szCs w:val="19"/>
                <w:color w:val="auto"/>
              </w:rPr>
            </w:pPr>
          </w:p>
        </w:tc>
        <w:tc>
          <w:tcPr>
            <w:tcW w:w="20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3,387,952</w:t>
            </w:r>
          </w:p>
        </w:tc>
        <w:tc>
          <w:tcPr>
            <w:tcW w:w="26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9"/>
              </w:rPr>
              <w:t>3,275,668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220" w:type="dxa"/>
            <w:vAlign w:val="bottom"/>
            <w:tcBorders>
              <w:top w:val="single" w:sz="8" w:color="CFF0FC"/>
            </w:tcBorders>
            <w:gridSpan w:val="2"/>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gridSpan w:val="2"/>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auto"/>
            </w:tcBorders>
            <w:gridSpan w:val="2"/>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vMerge w:val="continue"/>
            <w:shd w:val="clear" w:color="auto" w:fill="CFF0FC"/>
          </w:tcPr>
          <w:p>
            <w:pPr>
              <w:spacing w:after="0"/>
              <w:rPr>
                <w:sz w:val="17"/>
                <w:szCs w:val="17"/>
                <w:color w:val="auto"/>
              </w:rPr>
            </w:pPr>
          </w:p>
        </w:tc>
        <w:tc>
          <w:tcPr>
            <w:tcW w:w="134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824,912</w:t>
            </w: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675,870</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574,656</w:t>
            </w: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ind w:lef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537,977</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374,365</w:t>
            </w:r>
          </w:p>
        </w:tc>
        <w:tc>
          <w:tcPr>
            <w:tcW w:w="10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Long-term debt, net of current maturities</w:t>
            </w:r>
          </w:p>
        </w:tc>
        <w:tc>
          <w:tcPr>
            <w:tcW w:w="1220" w:type="dxa"/>
            <w:vAlign w:val="bottom"/>
            <w:tcBorders>
              <w:top w:val="single" w:sz="8" w:color="CFF0F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gridSpan w:val="2"/>
            <w:vMerge w:val="continue"/>
          </w:tcPr>
          <w:p>
            <w:pPr>
              <w:spacing w:after="0"/>
              <w:rPr>
                <w:sz w:val="19"/>
                <w:szCs w:val="19"/>
                <w:color w:val="auto"/>
              </w:rPr>
            </w:pPr>
          </w:p>
        </w:tc>
        <w:tc>
          <w:tcPr>
            <w:tcW w:w="13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4,161,422</w:t>
            </w:r>
          </w:p>
        </w:tc>
        <w:tc>
          <w:tcPr>
            <w:tcW w:w="180" w:type="dxa"/>
            <w:vAlign w:val="bottom"/>
          </w:tcPr>
          <w:p>
            <w:pPr>
              <w:spacing w:after="0"/>
              <w:rPr>
                <w:sz w:val="19"/>
                <w:szCs w:val="19"/>
                <w:color w:val="auto"/>
              </w:rPr>
            </w:pP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9"/>
              </w:rPr>
              <w:t>3,366,777</w:t>
            </w:r>
          </w:p>
        </w:tc>
        <w:tc>
          <w:tcPr>
            <w:tcW w:w="100" w:type="dxa"/>
            <w:vAlign w:val="bottom"/>
          </w:tcPr>
          <w:p>
            <w:pPr>
              <w:spacing w:after="0"/>
              <w:rPr>
                <w:sz w:val="19"/>
                <w:szCs w:val="19"/>
                <w:color w:val="auto"/>
              </w:rPr>
            </w:pP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3,071,926</w:t>
            </w:r>
          </w:p>
        </w:tc>
        <w:tc>
          <w:tcPr>
            <w:tcW w:w="200" w:type="dxa"/>
            <w:vAlign w:val="bottom"/>
          </w:tcPr>
          <w:p>
            <w:pPr>
              <w:spacing w:after="0"/>
              <w:rPr>
                <w:sz w:val="19"/>
                <w:szCs w:val="19"/>
                <w:color w:val="auto"/>
              </w:rPr>
            </w:pPr>
          </w:p>
        </w:tc>
        <w:tc>
          <w:tcPr>
            <w:tcW w:w="20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2,575,502</w:t>
            </w:r>
          </w:p>
        </w:tc>
        <w:tc>
          <w:tcPr>
            <w:tcW w:w="26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9"/>
              </w:rPr>
              <w:t>2,078,093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Total shareholders' equity (deficit)</w:t>
            </w:r>
          </w:p>
        </w:tc>
        <w:tc>
          <w:tcPr>
            <w:tcW w:w="1220" w:type="dxa"/>
            <w:vAlign w:val="bottom"/>
            <w:tcBorders>
              <w:top w:val="single" w:sz="8" w:color="CFF0FC"/>
            </w:tcBorders>
            <w:gridSpan w:val="2"/>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gridSpan w:val="2"/>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auto"/>
            </w:tcBorders>
            <w:gridSpan w:val="2"/>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vMerge w:val="continue"/>
            <w:shd w:val="clear" w:color="auto" w:fill="CFF0FC"/>
          </w:tcPr>
          <w:p>
            <w:pPr>
              <w:spacing w:after="0"/>
              <w:rPr>
                <w:sz w:val="17"/>
                <w:szCs w:val="17"/>
                <w:color w:val="auto"/>
              </w:rPr>
            </w:pPr>
          </w:p>
        </w:tc>
        <w:tc>
          <w:tcPr>
            <w:tcW w:w="134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gridSpan w:val="3"/>
            <w:shd w:val="clear" w:color="auto" w:fill="CFF0FC"/>
          </w:tcPr>
          <w:p>
            <w:pPr>
              <w:jc w:val="right"/>
              <w:ind w:right="75"/>
              <w:spacing w:after="0" w:line="203" w:lineRule="exact"/>
              <w:rPr>
                <w:sz w:val="20"/>
                <w:szCs w:val="20"/>
                <w:color w:val="auto"/>
              </w:rPr>
            </w:pPr>
            <w:r>
              <w:rPr>
                <w:rFonts w:ascii="Arial" w:cs="Arial" w:eastAsia="Arial" w:hAnsi="Arial"/>
                <w:sz w:val="18"/>
                <w:szCs w:val="18"/>
                <w:color w:val="auto"/>
              </w:rPr>
              <w:t>(163,467)</w:t>
            </w:r>
          </w:p>
        </w:tc>
        <w:tc>
          <w:tcPr>
            <w:tcW w:w="1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(443,234)</w:t>
            </w:r>
          </w:p>
        </w:tc>
        <w:tc>
          <w:tcPr>
            <w:tcW w:w="2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3"/>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(76,714)</w:t>
            </w:r>
          </w:p>
        </w:tc>
        <w:tc>
          <w:tcPr>
            <w:tcW w:w="200" w:type="dxa"/>
            <w:vAlign w:val="bottom"/>
            <w:tcBorders>
              <w:left w:val="single" w:sz="8" w:color="CFF0FC"/>
            </w:tcBorders>
            <w:shd w:val="clear" w:color="auto" w:fill="CFF0FC"/>
          </w:tcPr>
          <w:p>
            <w:pPr>
              <w:ind w:left="6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gridSpan w:val="3"/>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(166,494)</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401,012</w:t>
            </w:r>
          </w:p>
        </w:tc>
        <w:tc>
          <w:tcPr>
            <w:tcW w:w="10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9931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45" w:lineRule="exact"/>
        <w:rPr>
          <w:sz w:val="20"/>
          <w:szCs w:val="20"/>
          <w:color w:val="auto"/>
        </w:rPr>
      </w:pPr>
    </w:p>
    <w:p>
      <w:pPr>
        <w:ind w:left="580" w:hanging="575"/>
        <w:spacing w:after="0"/>
        <w:tabs>
          <w:tab w:leader="none" w:pos="580" w:val="left"/>
        </w:tabs>
        <w:numPr>
          <w:ilvl w:val="0"/>
          <w:numId w:val="29"/>
        </w:numPr>
        <w:rPr>
          <w:rFonts w:ascii="Arial" w:cs="Arial" w:eastAsia="Arial" w:hAnsi="Arial"/>
          <w:sz w:val="12"/>
          <w:szCs w:val="12"/>
          <w:color w:val="auto"/>
        </w:rPr>
      </w:pPr>
      <w:r>
        <w:rPr>
          <w:rFonts w:ascii="Arial" w:cs="Arial" w:eastAsia="Arial" w:hAnsi="Arial"/>
          <w:sz w:val="14"/>
          <w:szCs w:val="14"/>
          <w:color w:val="auto"/>
        </w:rPr>
        <w:t>Includes the impact of the Financial Engineering Associates, Inc. and Investor Force Holdings, Inc. divestitures.</w:t>
      </w:r>
    </w:p>
    <w:p>
      <w:pPr>
        <w:spacing w:after="0" w:line="8" w:lineRule="exact"/>
        <w:rPr>
          <w:rFonts w:ascii="Arial" w:cs="Arial" w:eastAsia="Arial" w:hAnsi="Arial"/>
          <w:sz w:val="12"/>
          <w:szCs w:val="12"/>
          <w:color w:val="auto"/>
        </w:rPr>
      </w:pPr>
    </w:p>
    <w:p>
      <w:pPr>
        <w:ind w:left="580" w:right="220" w:hanging="575"/>
        <w:spacing w:after="0" w:line="232" w:lineRule="auto"/>
        <w:tabs>
          <w:tab w:leader="none" w:pos="580" w:val="left"/>
        </w:tabs>
        <w:numPr>
          <w:ilvl w:val="0"/>
          <w:numId w:val="29"/>
        </w:numPr>
        <w:rPr>
          <w:rFonts w:ascii="Arial" w:cs="Arial" w:eastAsia="Arial" w:hAnsi="Arial"/>
          <w:sz w:val="12"/>
          <w:szCs w:val="12"/>
          <w:color w:val="auto"/>
        </w:rPr>
      </w:pPr>
      <w:r>
        <w:rPr>
          <w:rFonts w:ascii="Arial" w:cs="Arial" w:eastAsia="Arial" w:hAnsi="Arial"/>
          <w:sz w:val="14"/>
          <w:szCs w:val="14"/>
          <w:color w:val="auto"/>
        </w:rPr>
        <w:t>Reflects the impact of the adoption on January 1, 2019 of Accounting Standards Update 2016-02, "Lease (Topic 842)," the impact of which was the inclusion of $166.4 million of right of use assets on the Company's Consolidated Statement of Financial Condition as of December 31, 2019.</w:t>
      </w:r>
    </w:p>
    <w:p>
      <w:pPr>
        <w:ind w:left="580" w:hanging="575"/>
        <w:spacing w:after="0"/>
        <w:tabs>
          <w:tab w:leader="none" w:pos="580" w:val="left"/>
        </w:tabs>
        <w:numPr>
          <w:ilvl w:val="0"/>
          <w:numId w:val="29"/>
        </w:numPr>
        <w:rPr>
          <w:rFonts w:ascii="Arial" w:cs="Arial" w:eastAsia="Arial" w:hAnsi="Arial"/>
          <w:sz w:val="12"/>
          <w:szCs w:val="12"/>
          <w:color w:val="auto"/>
        </w:rPr>
      </w:pPr>
      <w:r>
        <w:rPr>
          <w:rFonts w:ascii="Arial" w:cs="Arial" w:eastAsia="Arial" w:hAnsi="Arial"/>
          <w:sz w:val="14"/>
          <w:szCs w:val="14"/>
          <w:color w:val="auto"/>
        </w:rPr>
        <w:t>Includes the impact from the acquisition of RCA commencing as of September 13, 2021 (the date we completed the acquisition).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7" w:name="page38"/>
    <w:bookmarkEnd w:id="37"/>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4"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is a discussion and analysis of the financial condition and results of the operations of MSCI Inc. and its consolidated subsidiaries for the year ended December 31, 2021. This discussion should be read in conjunction with the consolidated financial statements and related notes included elsewhere in this Annual Report on Form 10-K. As a result of changes to the presentation of our reportable segments effective January 1, 2021, we have included herein certain discussions summarizing the significant factors affecting the results of operations and financial condition of MSCI for the year ended December 31, 2020. The remaining discussions may be found in Part II, “Item 7. Management’s Discussion and Analysis of Financial Condition and Results of Operations” of our Annual Report on Form 10-K for the year ended December 31, 2020 (the “2020 Annual Report”), which was filed with the Securities and Exchange Commission on February 12, 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8" w:lineRule="exact"/>
        <w:rPr>
          <w:sz w:val="20"/>
          <w:szCs w:val="20"/>
          <w:color w:val="auto"/>
        </w:rPr>
      </w:pPr>
    </w:p>
    <w:p>
      <w:pPr>
        <w:ind w:right="400" w:firstLine="589"/>
        <w:spacing w:after="0" w:line="248" w:lineRule="auto"/>
        <w:rPr>
          <w:sz w:val="20"/>
          <w:szCs w:val="20"/>
          <w:color w:val="auto"/>
        </w:rPr>
      </w:pPr>
      <w:r>
        <w:rPr>
          <w:rFonts w:ascii="Arial" w:cs="Arial" w:eastAsia="Arial" w:hAnsi="Arial"/>
          <w:sz w:val="18"/>
          <w:szCs w:val="18"/>
          <w:color w:val="auto"/>
        </w:rPr>
        <w:t>We are a leading provider of critical decision support tools and solutions for the global investment community. Our mission-critical offerings help investors address the challenges of a transforming investment landscape and power better investment decisions. Leveraging our knowledge of the global investment process and our expertise in research, data and technology, we enable our clients to understand and analyze key drivers of risk and return and confidently and efficiently build more effective portfolios. We operate in four reportable segments as follows: Index, Analytics, ESG and Climate, and All Other – Private Assets.</w:t>
      </w:r>
    </w:p>
    <w:p>
      <w:pPr>
        <w:spacing w:after="0" w:line="192" w:lineRule="exact"/>
        <w:rPr>
          <w:sz w:val="20"/>
          <w:szCs w:val="20"/>
          <w:color w:val="auto"/>
        </w:rPr>
      </w:pPr>
    </w:p>
    <w:p>
      <w:pPr>
        <w:ind w:right="80" w:firstLine="589"/>
        <w:spacing w:after="0" w:line="299" w:lineRule="auto"/>
        <w:rPr>
          <w:sz w:val="20"/>
          <w:szCs w:val="20"/>
          <w:color w:val="auto"/>
        </w:rPr>
      </w:pPr>
      <w:r>
        <w:rPr>
          <w:rFonts w:ascii="Arial" w:cs="Arial" w:eastAsia="Arial" w:hAnsi="Arial"/>
          <w:sz w:val="16"/>
          <w:szCs w:val="16"/>
          <w:color w:val="auto"/>
        </w:rPr>
        <w:t>Certain prior period amounts have been reclassified to conform to the current period presentation. Effective January 1, 2021, the ESG and Climate operating segment is being presented as a separate reportable segment. The operating segments of Real Estate and The Burgiss Group, LLC (“Burgiss”) do not individually meet the segment reporting thresholds and have been combined and presented as part of the All Other – Private Assets reportable segment.</w:t>
      </w:r>
    </w:p>
    <w:p>
      <w:pPr>
        <w:spacing w:after="0" w:line="154" w:lineRule="exact"/>
        <w:rPr>
          <w:sz w:val="20"/>
          <w:szCs w:val="20"/>
          <w:color w:val="auto"/>
        </w:rPr>
      </w:pPr>
    </w:p>
    <w:p>
      <w:pPr>
        <w:ind w:right="380" w:firstLine="589"/>
        <w:spacing w:after="0" w:line="290" w:lineRule="auto"/>
        <w:rPr>
          <w:sz w:val="20"/>
          <w:szCs w:val="20"/>
          <w:color w:val="auto"/>
        </w:rPr>
      </w:pPr>
      <w:r>
        <w:rPr>
          <w:rFonts w:ascii="Arial" w:cs="Arial" w:eastAsia="Arial" w:hAnsi="Arial"/>
          <w:sz w:val="16"/>
          <w:szCs w:val="16"/>
          <w:color w:val="auto"/>
        </w:rPr>
        <w:t>Our growth strategy includes: (a) extending leadership in research-enhanced content across asset classes, (b) leading the enablement of ESG and climate investment integration, (c) enhancing distribution and content-enabling technology, (d) expanding solutions that empower client customization, (e) strengthening client relationships and growing into strategic partnerships with clients and (f) executing strategic relationships and acquisitions with complementary content and technology companies. For more information about our Company’s operations, see “</w:t>
      </w:r>
      <w:r>
        <w:rPr>
          <w:rFonts w:ascii="Arial" w:cs="Arial" w:eastAsia="Arial" w:hAnsi="Arial"/>
          <w:sz w:val="16"/>
          <w:szCs w:val="16"/>
          <w:i w:val="1"/>
          <w:iCs w:val="1"/>
          <w:color w:val="auto"/>
        </w:rPr>
        <w:t>Item 1: Business</w:t>
      </w:r>
      <w:r>
        <w:rPr>
          <w:rFonts w:ascii="Arial" w:cs="Arial" w:eastAsia="Arial" w:hAnsi="Arial"/>
          <w:sz w:val="16"/>
          <w:szCs w:val="16"/>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 and Drivers</w:t>
      </w:r>
    </w:p>
    <w:p>
      <w:pPr>
        <w:spacing w:after="0" w:line="220" w:lineRule="exact"/>
        <w:rPr>
          <w:sz w:val="20"/>
          <w:szCs w:val="20"/>
          <w:color w:val="auto"/>
        </w:rPr>
      </w:pPr>
    </w:p>
    <w:p>
      <w:pPr>
        <w:ind w:right="180" w:firstLine="589"/>
        <w:spacing w:after="0" w:line="324" w:lineRule="auto"/>
        <w:rPr>
          <w:sz w:val="20"/>
          <w:szCs w:val="20"/>
          <w:color w:val="auto"/>
        </w:rPr>
      </w:pPr>
      <w:r>
        <w:rPr>
          <w:rFonts w:ascii="Arial" w:cs="Arial" w:eastAsia="Arial" w:hAnsi="Arial"/>
          <w:sz w:val="16"/>
          <w:szCs w:val="16"/>
          <w:color w:val="auto"/>
        </w:rPr>
        <w:t>In evaluating our financial performance, we focus on revenue and profit growth, including results accounted for under generally accepted accounting principles in the United States (“GAAP”) as well as non-GAAP measures, for the Company as a whole and by operating segment.</w:t>
      </w:r>
    </w:p>
    <w:p>
      <w:pPr>
        <w:spacing w:after="0" w:line="134" w:lineRule="exact"/>
        <w:rPr>
          <w:sz w:val="20"/>
          <w:szCs w:val="20"/>
          <w:color w:val="auto"/>
        </w:rPr>
      </w:pPr>
    </w:p>
    <w:p>
      <w:pPr>
        <w:ind w:right="300" w:firstLine="589"/>
        <w:spacing w:after="0" w:line="299" w:lineRule="auto"/>
        <w:rPr>
          <w:sz w:val="20"/>
          <w:szCs w:val="20"/>
          <w:color w:val="auto"/>
        </w:rPr>
      </w:pPr>
      <w:r>
        <w:rPr>
          <w:rFonts w:ascii="Arial" w:cs="Arial" w:eastAsia="Arial" w:hAnsi="Arial"/>
          <w:sz w:val="16"/>
          <w:szCs w:val="16"/>
          <w:color w:val="auto"/>
        </w:rPr>
        <w:t>We present revenues disaggregated by types and by segments, which represent our major product lines. We also review expenses by activity, which provides more transparency into how resources are being deployed. In addition, we utilize operating metrics including Run Rate, subscription sales and Retention Rate to manage and assess performance and to provide deeper insights into the recurring portion of our business.</w:t>
      </w:r>
    </w:p>
    <w:p>
      <w:pPr>
        <w:spacing w:after="0" w:line="154" w:lineRule="exact"/>
        <w:rPr>
          <w:sz w:val="20"/>
          <w:szCs w:val="20"/>
          <w:color w:val="auto"/>
        </w:rPr>
      </w:pPr>
    </w:p>
    <w:p>
      <w:pPr>
        <w:ind w:right="260" w:firstLine="589"/>
        <w:spacing w:after="0" w:line="306" w:lineRule="auto"/>
        <w:rPr>
          <w:sz w:val="20"/>
          <w:szCs w:val="20"/>
          <w:color w:val="auto"/>
        </w:rPr>
      </w:pPr>
      <w:r>
        <w:rPr>
          <w:rFonts w:ascii="Arial" w:cs="Arial" w:eastAsia="Arial" w:hAnsi="Arial"/>
          <w:sz w:val="15"/>
          <w:szCs w:val="15"/>
          <w:color w:val="auto"/>
        </w:rPr>
        <w:t>In the discussion that follows, we provide certain variances excluding the impact of foreign currency exchange rate fluctuations and acquisitions. Foreign currency exchange rate fluctuations reflect the difference between the current period results as reported compared to the current period results recalculated using the foreign currency exchange rates in effect for the comparable prior period. While operating revenues adjusted for the impact of foreign currency fluctuations includes asset-based fees that have been adjusted for the impact of foreign currency fluctuations, the underlying AUM, which is the primary component of asset-based fees, is not adjusted for foreign currency fluctuations. Approximately three-fifths of the AUM is invested in securities denominated in currencies other than the U.S. dollar, and accordingly, any such impact is excluded from the disclosed foreign currency-adjusted variances.</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Revenues</w:t>
      </w:r>
    </w:p>
    <w:p>
      <w:pPr>
        <w:spacing w:after="0" w:line="108" w:lineRule="exact"/>
        <w:rPr>
          <w:sz w:val="20"/>
          <w:szCs w:val="20"/>
          <w:color w:val="auto"/>
        </w:rPr>
      </w:pPr>
    </w:p>
    <w:p>
      <w:pPr>
        <w:ind w:right="240" w:firstLine="589"/>
        <w:spacing w:after="0" w:line="261" w:lineRule="auto"/>
        <w:rPr>
          <w:sz w:val="20"/>
          <w:szCs w:val="20"/>
          <w:color w:val="auto"/>
        </w:rPr>
      </w:pPr>
      <w:r>
        <w:rPr>
          <w:rFonts w:ascii="Arial" w:cs="Arial" w:eastAsia="Arial" w:hAnsi="Arial"/>
          <w:sz w:val="18"/>
          <w:szCs w:val="18"/>
          <w:color w:val="auto"/>
        </w:rPr>
        <w:t>Our revenues are presented by type and by reportable segment. For each reportable segment, we present revenues disaggregated by the nature of the revenues, which are recurring subscriptions, asset-based fees and non-recurring revenues.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2" w:right="359" w:bottom="1440" w:gutter="0" w:footer="0" w:header="0"/>
        </w:sectPr>
      </w:pPr>
    </w:p>
    <w:bookmarkStart w:id="38" w:name="page39"/>
    <w:bookmarkEnd w:id="38"/>
    <w:p>
      <w:pPr>
        <w:jc w:val="both"/>
        <w:ind w:right="120" w:firstLine="589"/>
        <w:spacing w:after="0" w:line="252" w:lineRule="auto"/>
        <w:rPr>
          <w:sz w:val="20"/>
          <w:szCs w:val="20"/>
          <w:color w:val="auto"/>
        </w:rPr>
      </w:pPr>
      <w:r>
        <w:rPr>
          <w:rFonts w:ascii="Arial" w:cs="Arial" w:eastAsia="Arial" w:hAnsi="Arial"/>
          <w:sz w:val="18"/>
          <w:szCs w:val="18"/>
          <w:color w:val="auto"/>
        </w:rPr>
        <w:t>Recurring subscription revenues represent fees earned from clients primarily under renewable contracts and are generally recognized ratably over the term of the license or service pursuant to the contract terms. The fees are recognized as we provide the product and service to the client over the license period and are generally billed in advance, prior to the license start date.</w:t>
      </w:r>
    </w:p>
    <w:p>
      <w:pPr>
        <w:spacing w:after="0" w:line="189" w:lineRule="exact"/>
        <w:rPr>
          <w:sz w:val="20"/>
          <w:szCs w:val="20"/>
          <w:color w:val="auto"/>
        </w:rPr>
      </w:pPr>
    </w:p>
    <w:p>
      <w:pPr>
        <w:ind w:right="40" w:firstLine="589"/>
        <w:spacing w:after="0" w:line="324" w:lineRule="auto"/>
        <w:rPr>
          <w:sz w:val="20"/>
          <w:szCs w:val="20"/>
          <w:color w:val="auto"/>
        </w:rPr>
      </w:pPr>
      <w:r>
        <w:rPr>
          <w:rFonts w:ascii="Arial" w:cs="Arial" w:eastAsia="Arial" w:hAnsi="Arial"/>
          <w:sz w:val="16"/>
          <w:szCs w:val="16"/>
          <w:color w:val="auto"/>
        </w:rPr>
        <w:t>Asset-based fees represent fees earned that are variable in nature, as they are calculated based on the AUM linked to our indexes. Asset-based fees also include revenues related to futures and options contracts linked to our indexes, which are primarily based on trading volumes.</w:t>
      </w:r>
    </w:p>
    <w:p>
      <w:pPr>
        <w:spacing w:after="0" w:line="134" w:lineRule="exact"/>
        <w:rPr>
          <w:sz w:val="20"/>
          <w:szCs w:val="20"/>
          <w:color w:val="auto"/>
        </w:rPr>
      </w:pPr>
    </w:p>
    <w:p>
      <w:pPr>
        <w:ind w:right="360" w:firstLine="589"/>
        <w:spacing w:after="0" w:line="299" w:lineRule="auto"/>
        <w:rPr>
          <w:sz w:val="20"/>
          <w:szCs w:val="20"/>
          <w:color w:val="auto"/>
        </w:rPr>
      </w:pPr>
      <w:r>
        <w:rPr>
          <w:rFonts w:ascii="Arial" w:cs="Arial" w:eastAsia="Arial" w:hAnsi="Arial"/>
          <w:sz w:val="16"/>
          <w:szCs w:val="16"/>
          <w:color w:val="auto"/>
        </w:rPr>
        <w:t>Non-recurring revenues primarily represent fees earned on products and services where we do not have renewal contracts. Non-recurring revenues primarily include revenues from licenses of historical data, indexed derivative financial products, certain implementation services and other special client requests, which are generally recognized at a point in time, but may also be recognized over the license period.</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group our operating expenses into the following activity categories:</w:t>
      </w:r>
    </w:p>
    <w:p>
      <w:pPr>
        <w:spacing w:after="0" w:line="108" w:lineRule="exact"/>
        <w:rPr>
          <w:sz w:val="20"/>
          <w:szCs w:val="20"/>
          <w:color w:val="auto"/>
        </w:rPr>
      </w:pPr>
    </w:p>
    <w:p>
      <w:pPr>
        <w:ind w:left="1000" w:hanging="4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Selling and marketing;</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Research and development (“R&amp;D”);</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and administrative (“G&amp;A”);</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Amortization of intangible assets; and</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Depreciation and amortization of property, equipment and leasehold improvements.</w:t>
      </w:r>
    </w:p>
    <w:p>
      <w:pPr>
        <w:spacing w:after="0" w:line="214" w:lineRule="exact"/>
        <w:rPr>
          <w:sz w:val="20"/>
          <w:szCs w:val="20"/>
          <w:color w:val="auto"/>
        </w:rPr>
      </w:pPr>
    </w:p>
    <w:p>
      <w:pPr>
        <w:ind w:firstLine="589"/>
        <w:spacing w:after="0" w:line="361" w:lineRule="auto"/>
        <w:rPr>
          <w:sz w:val="20"/>
          <w:szCs w:val="20"/>
          <w:color w:val="auto"/>
        </w:rPr>
      </w:pPr>
      <w:r>
        <w:rPr>
          <w:rFonts w:ascii="Arial" w:cs="Arial" w:eastAsia="Arial" w:hAnsi="Arial"/>
          <w:sz w:val="15"/>
          <w:szCs w:val="15"/>
          <w:color w:val="auto"/>
        </w:rPr>
        <w:t>Costs are assigned to these activity categories based on the nature of the expense or, when not directly attributable, an estimated allocation based on the type of effort involved. Cost of revenues, selling and marketing, R&amp;D and G&amp;A all include both compensation as well as non-compensation related expenses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8" w:lineRule="exact"/>
        <w:rPr>
          <w:sz w:val="20"/>
          <w:szCs w:val="20"/>
          <w:color w:val="auto"/>
        </w:rPr>
      </w:pPr>
    </w:p>
    <w:p>
      <w:pPr>
        <w:ind w:right="200" w:firstLine="589"/>
        <w:spacing w:after="0" w:line="315" w:lineRule="auto"/>
        <w:rPr>
          <w:sz w:val="20"/>
          <w:szCs w:val="20"/>
          <w:color w:val="auto"/>
        </w:rPr>
      </w:pPr>
      <w:r>
        <w:rPr>
          <w:rFonts w:ascii="Arial" w:cs="Arial" w:eastAsia="Arial" w:hAnsi="Arial"/>
          <w:sz w:val="15"/>
          <w:szCs w:val="15"/>
          <w:color w:val="auto"/>
        </w:rPr>
        <w:t>Cost of revenues expenses consist of costs related to the production and servicing of our products and services and primarily includes related information technology costs, including data center, cloud service, platform and infrastructure costs; costs to acquire, produce and maintain market data information; costs of research to support and maintain existing products; costs of product management teams; costs of client service and consultant teams to support customer needs; as well as other support costs directly attributable to the cost of revenues including certain human resources, finance and legal costs.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08" w:lineRule="exact"/>
        <w:rPr>
          <w:sz w:val="20"/>
          <w:szCs w:val="20"/>
          <w:color w:val="auto"/>
        </w:rPr>
      </w:pPr>
    </w:p>
    <w:p>
      <w:pPr>
        <w:ind w:right="220" w:firstLine="589"/>
        <w:spacing w:after="0" w:line="252" w:lineRule="auto"/>
        <w:rPr>
          <w:sz w:val="20"/>
          <w:szCs w:val="20"/>
          <w:color w:val="auto"/>
        </w:rPr>
      </w:pPr>
      <w:r>
        <w:rPr>
          <w:rFonts w:ascii="Arial" w:cs="Arial" w:eastAsia="Arial" w:hAnsi="Arial"/>
          <w:sz w:val="18"/>
          <w:szCs w:val="18"/>
          <w:color w:val="auto"/>
        </w:rPr>
        <w:t>Selling and marketing expenses consist of costs associated with acquiring new clients or selling new products or product renewals to existing clients and primarily includes the costs of our sales and marketing teams, as well as costs incurred in other departments associated with acquiring new business, including product management, research, technology and sales operations.</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8" w:lineRule="exact"/>
        <w:rPr>
          <w:sz w:val="20"/>
          <w:szCs w:val="20"/>
          <w:color w:val="auto"/>
        </w:rPr>
      </w:pPr>
    </w:p>
    <w:p>
      <w:pPr>
        <w:ind w:right="20" w:firstLine="589"/>
        <w:spacing w:after="0" w:line="252" w:lineRule="auto"/>
        <w:rPr>
          <w:sz w:val="20"/>
          <w:szCs w:val="20"/>
          <w:color w:val="auto"/>
        </w:rPr>
      </w:pPr>
      <w:r>
        <w:rPr>
          <w:rFonts w:ascii="Arial" w:cs="Arial" w:eastAsia="Arial" w:hAnsi="Arial"/>
          <w:sz w:val="18"/>
          <w:szCs w:val="18"/>
          <w:color w:val="auto"/>
        </w:rPr>
        <w:t>R&amp;D expenses consist of costs to develop new or enhance existing products and the costs to develop new or enhanced technologies and service platforms for the delivery of our products and services and primarily include the costs of development, research, product management, project management and the technology support directly associated with these activities.</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8" w:lineRule="exact"/>
        <w:rPr>
          <w:sz w:val="20"/>
          <w:szCs w:val="20"/>
          <w:color w:val="auto"/>
        </w:rPr>
      </w:pPr>
    </w:p>
    <w:p>
      <w:pPr>
        <w:ind w:right="380" w:firstLine="589"/>
        <w:spacing w:after="0" w:line="252" w:lineRule="auto"/>
        <w:rPr>
          <w:sz w:val="20"/>
          <w:szCs w:val="20"/>
          <w:color w:val="auto"/>
        </w:rPr>
      </w:pPr>
      <w:r>
        <w:rPr>
          <w:rFonts w:ascii="Arial" w:cs="Arial" w:eastAsia="Arial" w:hAnsi="Arial"/>
          <w:sz w:val="18"/>
          <w:szCs w:val="18"/>
          <w:color w:val="auto"/>
        </w:rPr>
        <w:t>G&amp;A expenses consist of costs primarily related to finance operations, human resources, office of the CEO, legal, corporate technology, corporate development, impairment charges associated with right of use assets and certain other administrative costs that are not directly attributed, but are instead allocated, to a product or service.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39" w:name="page40"/>
    <w:bookmarkEnd w:id="39"/>
    <w:p>
      <w:pPr>
        <w:ind w:left="3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08" w:lineRule="exact"/>
        <w:rPr>
          <w:sz w:val="20"/>
          <w:szCs w:val="20"/>
          <w:color w:val="auto"/>
        </w:rPr>
      </w:pPr>
    </w:p>
    <w:p>
      <w:pPr>
        <w:ind w:right="400" w:firstLine="589"/>
        <w:spacing w:after="0" w:line="299" w:lineRule="auto"/>
        <w:rPr>
          <w:sz w:val="20"/>
          <w:szCs w:val="20"/>
          <w:color w:val="auto"/>
        </w:rPr>
      </w:pPr>
      <w:r>
        <w:rPr>
          <w:rFonts w:ascii="Arial" w:cs="Arial" w:eastAsia="Arial" w:hAnsi="Arial"/>
          <w:sz w:val="16"/>
          <w:szCs w:val="16"/>
          <w:color w:val="auto"/>
        </w:rPr>
        <w:t>Amortization of intangible assets expense relates to definite-lived intangible assets arising from past acquisitions and capitalization of internally developed software projects. Intangibles arising from past acquisitions consist of customer relationships, proprietary data, trademarks and trade names and technology and software. We amortize definite-lived intangible assets over their estimated useful lives. We have no indefinite-lived intangible assets.</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of Property, Equipment and Leasehold Improvements</w:t>
      </w:r>
    </w:p>
    <w:p>
      <w:pPr>
        <w:spacing w:after="0" w:line="108" w:lineRule="exact"/>
        <w:rPr>
          <w:sz w:val="20"/>
          <w:szCs w:val="20"/>
          <w:color w:val="auto"/>
        </w:rPr>
      </w:pPr>
    </w:p>
    <w:p>
      <w:pPr>
        <w:ind w:right="180" w:firstLine="589"/>
        <w:spacing w:after="0" w:line="324" w:lineRule="auto"/>
        <w:rPr>
          <w:sz w:val="20"/>
          <w:szCs w:val="20"/>
          <w:color w:val="auto"/>
        </w:rPr>
      </w:pPr>
      <w:r>
        <w:rPr>
          <w:rFonts w:ascii="Arial" w:cs="Arial" w:eastAsia="Arial" w:hAnsi="Arial"/>
          <w:sz w:val="16"/>
          <w:szCs w:val="16"/>
          <w:color w:val="auto"/>
        </w:rPr>
        <w:t>Depreciation and amortization of property, equipment and leasehold improvements consists of expenses related to depreciating or amortizing the cost of computer and related equipment, leasehold improvements, software and furniture and fixtures over the estimated useful life of the assets.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8" w:lineRule="exact"/>
        <w:rPr>
          <w:sz w:val="20"/>
          <w:szCs w:val="20"/>
          <w:color w:val="auto"/>
        </w:rPr>
      </w:pPr>
    </w:p>
    <w:p>
      <w:pPr>
        <w:jc w:val="both"/>
        <w:ind w:right="240" w:firstLine="589"/>
        <w:spacing w:after="0" w:line="299" w:lineRule="auto"/>
        <w:rPr>
          <w:sz w:val="20"/>
          <w:szCs w:val="20"/>
          <w:color w:val="auto"/>
        </w:rPr>
      </w:pPr>
      <w:r>
        <w:rPr>
          <w:rFonts w:ascii="Arial" w:cs="Arial" w:eastAsia="Arial" w:hAnsi="Arial"/>
          <w:sz w:val="16"/>
          <w:szCs w:val="16"/>
          <w:color w:val="auto"/>
        </w:rPr>
        <w:t>Other expense (income), net consists primarily of interest we pay on our outstanding indebtedness, including losses on early extinguishment of debt, income and losses associated with our equity method investment, foreign currency exchange rate gains and losses, interest we collect on cash and short-term investments, as well as other non-operating income and expense items that may arise from time to time.</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Financial Measures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8" w:lineRule="exact"/>
        <w:rPr>
          <w:sz w:val="20"/>
          <w:szCs w:val="20"/>
          <w:color w:val="auto"/>
        </w:rPr>
      </w:pPr>
    </w:p>
    <w:p>
      <w:pPr>
        <w:ind w:right="160" w:firstLine="589"/>
        <w:spacing w:after="0" w:line="247" w:lineRule="auto"/>
        <w:rPr>
          <w:sz w:val="20"/>
          <w:szCs w:val="20"/>
          <w:color w:val="auto"/>
        </w:rPr>
      </w:pPr>
      <w:r>
        <w:rPr>
          <w:rFonts w:ascii="Arial" w:cs="Arial" w:eastAsia="Arial" w:hAnsi="Arial"/>
          <w:sz w:val="18"/>
          <w:szCs w:val="18"/>
          <w:color w:val="auto"/>
        </w:rPr>
        <w:t>“Adjusted EBITDA,” a non-GAAP measure used by management to assess operating performance, is defined as net income before (1) provision for income taxes, (2) other expense (income), net, (3) depreciation and amortization of property, equipment and leasehold improvements, (4) amortization of intangible assets and, at times, (5) certain other transactions or adjustments, including impairment related to sublease of leased property, certain non-recurring acquisition-related integration and transaction costs and the impact related to the vesting of multi-year restricted stock units granted in 2016 to certain senior executives that are subject to the achievement of multi-year total shareholder return targets, which are performance targets with a market condition (the “2016 Multi-Year PSUs”).</w:t>
      </w:r>
    </w:p>
    <w:p>
      <w:pPr>
        <w:spacing w:after="0" w:line="194" w:lineRule="exact"/>
        <w:rPr>
          <w:sz w:val="20"/>
          <w:szCs w:val="20"/>
          <w:color w:val="auto"/>
        </w:rPr>
      </w:pPr>
    </w:p>
    <w:p>
      <w:pPr>
        <w:ind w:right="60" w:firstLine="589"/>
        <w:spacing w:after="0" w:line="249" w:lineRule="auto"/>
        <w:rPr>
          <w:sz w:val="20"/>
          <w:szCs w:val="20"/>
          <w:color w:val="auto"/>
        </w:rPr>
      </w:pPr>
      <w:r>
        <w:rPr>
          <w:rFonts w:ascii="Arial" w:cs="Arial" w:eastAsia="Arial" w:hAnsi="Arial"/>
          <w:sz w:val="18"/>
          <w:szCs w:val="18"/>
          <w:color w:val="auto"/>
        </w:rPr>
        <w:t>“Adjusted EBITDA expenses,” a non-GAAP measure used by management to assess operating performance, is defined as operating expenses less depreciation and amortization of property, equipment and leasehold improvements and amortization of intangible assets and, at times, certain other transactions or adjustments, including impairment related to sublease of leased property, certain non-recurring acquisition-related integration and transaction costs and the impact related to the vesting of the 2016 Multi-Year PSUs.</w:t>
      </w:r>
    </w:p>
    <w:p>
      <w:pPr>
        <w:spacing w:after="0" w:line="192"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Adjusted EBITDA and Adjusted EBITDA expenses are believed to be meaningful measures for management to assess the operating performance of the Company because they adjust for significant one-time, unusual or non-recurring items as well as eliminate the accounting effects of certain capital spending and acquisitions that do not directly affect what management considers to be the Company’s ongoing operating performance in the period. All companies do not calculate adjusted EBITDA and adjusted EBITDA expenses in the same way. These measures can differ significantly from company to company depending on, among other things, long-term strategic decisions regarding capital structure, the tax jurisdictions in which companies operate and capital investments. Accordingly, the Company’s computation of the Adjusted EBITDA and Adjusted EBITDA expenses measures may not be comparable to similarly titled measures computed by other companies.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Run Rate</w:t>
      </w:r>
    </w:p>
    <w:p>
      <w:pPr>
        <w:spacing w:after="0" w:line="108" w:lineRule="exact"/>
        <w:rPr>
          <w:sz w:val="20"/>
          <w:szCs w:val="20"/>
          <w:color w:val="auto"/>
        </w:rPr>
      </w:pPr>
    </w:p>
    <w:p>
      <w:pPr>
        <w:ind w:right="80" w:firstLine="589"/>
        <w:spacing w:after="0" w:line="249" w:lineRule="auto"/>
        <w:rPr>
          <w:sz w:val="20"/>
          <w:szCs w:val="20"/>
          <w:color w:val="auto"/>
        </w:rPr>
      </w:pPr>
      <w:r>
        <w:rPr>
          <w:rFonts w:ascii="Arial" w:cs="Arial" w:eastAsia="Arial" w:hAnsi="Arial"/>
          <w:sz w:val="18"/>
          <w:szCs w:val="18"/>
          <w:color w:val="auto"/>
        </w:rPr>
        <w:t>Run Rate is a key operating metric and is important because an increase or decrease in our Run Rate ultimately impacts our future operating revenues over time. At the end of any period, we generally have subscription and investment product license agreements in place for a large portion of total revenues for the following 12 months. We measure the fees related to these agreements and refer to this as “Run Rate.” See “—</w:t>
      </w:r>
      <w:r>
        <w:rPr>
          <w:rFonts w:ascii="Arial" w:cs="Arial" w:eastAsia="Arial" w:hAnsi="Arial"/>
          <w:sz w:val="18"/>
          <w:szCs w:val="18"/>
          <w:i w:val="1"/>
          <w:iCs w:val="1"/>
          <w:color w:val="auto"/>
        </w:rPr>
        <w:t>Operating Metrics</w:t>
      </w:r>
      <w:r>
        <w:rPr>
          <w:rFonts w:ascii="Arial" w:cs="Arial" w:eastAsia="Arial" w:hAnsi="Arial"/>
          <w:sz w:val="18"/>
          <w:szCs w:val="18"/>
          <w:color w:val="auto"/>
        </w:rPr>
        <w:t>—</w:t>
      </w:r>
      <w:r>
        <w:rPr>
          <w:rFonts w:ascii="Arial" w:cs="Arial" w:eastAsia="Arial" w:hAnsi="Arial"/>
          <w:sz w:val="18"/>
          <w:szCs w:val="18"/>
          <w:i w:val="1"/>
          <w:iCs w:val="1"/>
          <w:color w:val="auto"/>
        </w:rPr>
        <w:t>Run Rate</w:t>
      </w:r>
      <w:r>
        <w:rPr>
          <w:rFonts w:ascii="Arial" w:cs="Arial" w:eastAsia="Arial" w:hAnsi="Arial"/>
          <w:sz w:val="18"/>
          <w:szCs w:val="18"/>
          <w:color w:val="auto"/>
        </w:rPr>
        <w:t>” below for additional information on the calculation of this metric.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ind w:left="300"/>
        <w:spacing w:after="0"/>
        <w:rPr>
          <w:sz w:val="20"/>
          <w:szCs w:val="20"/>
          <w:color w:val="auto"/>
        </w:rPr>
      </w:pPr>
      <w:r>
        <w:rPr>
          <w:rFonts w:ascii="Arial" w:cs="Arial" w:eastAsia="Arial" w:hAnsi="Arial"/>
          <w:sz w:val="18"/>
          <w:szCs w:val="18"/>
          <w:b w:val="1"/>
          <w:bCs w:val="1"/>
          <w:i w:val="1"/>
          <w:iCs w:val="1"/>
          <w:color w:val="auto"/>
        </w:rPr>
        <w:t>Subscription Sales</w:t>
      </w:r>
    </w:p>
    <w:p>
      <w:pPr>
        <w:spacing w:after="0" w:line="108" w:lineRule="exact"/>
        <w:rPr>
          <w:sz w:val="20"/>
          <w:szCs w:val="20"/>
          <w:color w:val="auto"/>
        </w:rPr>
      </w:pPr>
    </w:p>
    <w:p>
      <w:pPr>
        <w:ind w:right="20" w:firstLine="589"/>
        <w:spacing w:after="0" w:line="324" w:lineRule="auto"/>
        <w:rPr>
          <w:sz w:val="20"/>
          <w:szCs w:val="20"/>
          <w:color w:val="auto"/>
        </w:rPr>
      </w:pPr>
      <w:r>
        <w:rPr>
          <w:rFonts w:ascii="Arial" w:cs="Arial" w:eastAsia="Arial" w:hAnsi="Arial"/>
          <w:sz w:val="16"/>
          <w:szCs w:val="16"/>
          <w:color w:val="auto"/>
        </w:rPr>
        <w:t>Subscription sales is a key operating metric and is important to management because new subscription sales increase our Run Rate and represent future operating revenues that will be recognized over time. See “—</w:t>
      </w:r>
      <w:r>
        <w:rPr>
          <w:rFonts w:ascii="Arial" w:cs="Arial" w:eastAsia="Arial" w:hAnsi="Arial"/>
          <w:sz w:val="16"/>
          <w:szCs w:val="16"/>
          <w:i w:val="1"/>
          <w:iCs w:val="1"/>
          <w:color w:val="auto"/>
        </w:rPr>
        <w:t>Operating Metrics</w:t>
      </w:r>
      <w:r>
        <w:rPr>
          <w:rFonts w:ascii="Arial" w:cs="Arial" w:eastAsia="Arial" w:hAnsi="Arial"/>
          <w:sz w:val="16"/>
          <w:szCs w:val="16"/>
          <w:color w:val="auto"/>
        </w:rPr>
        <w:t xml:space="preserve">— </w:t>
      </w:r>
      <w:r>
        <w:rPr>
          <w:rFonts w:ascii="Arial" w:cs="Arial" w:eastAsia="Arial" w:hAnsi="Arial"/>
          <w:sz w:val="16"/>
          <w:szCs w:val="16"/>
          <w:i w:val="1"/>
          <w:iCs w:val="1"/>
          <w:color w:val="auto"/>
        </w:rPr>
        <w:t>Sales</w:t>
      </w:r>
      <w:r>
        <w:rPr>
          <w:rFonts w:ascii="Arial" w:cs="Arial" w:eastAsia="Arial" w:hAnsi="Arial"/>
          <w:sz w:val="16"/>
          <w:szCs w:val="16"/>
          <w:color w:val="auto"/>
        </w:rPr>
        <w:t>” below for additional information.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Retention Rate</w:t>
      </w:r>
    </w:p>
    <w:p>
      <w:pPr>
        <w:spacing w:after="0" w:line="108" w:lineRule="exact"/>
        <w:rPr>
          <w:sz w:val="20"/>
          <w:szCs w:val="20"/>
          <w:color w:val="auto"/>
        </w:rPr>
      </w:pPr>
    </w:p>
    <w:p>
      <w:pPr>
        <w:ind w:right="100" w:firstLine="589"/>
        <w:spacing w:after="0" w:line="324" w:lineRule="auto"/>
        <w:rPr>
          <w:sz w:val="20"/>
          <w:szCs w:val="20"/>
          <w:color w:val="auto"/>
        </w:rPr>
      </w:pPr>
      <w:r>
        <w:rPr>
          <w:rFonts w:ascii="Arial" w:cs="Arial" w:eastAsia="Arial" w:hAnsi="Arial"/>
          <w:sz w:val="16"/>
          <w:szCs w:val="16"/>
          <w:color w:val="auto"/>
        </w:rPr>
        <w:t>Retention Rate is a key operating metric and is important to management because subscription cancellations decrease our Run Rate and ultimately our future operating revenues over time. See “—</w:t>
      </w:r>
      <w:r>
        <w:rPr>
          <w:rFonts w:ascii="Arial" w:cs="Arial" w:eastAsia="Arial" w:hAnsi="Arial"/>
          <w:sz w:val="16"/>
          <w:szCs w:val="16"/>
          <w:i w:val="1"/>
          <w:iCs w:val="1"/>
          <w:color w:val="auto"/>
        </w:rPr>
        <w:t>Operating Metrics</w:t>
      </w:r>
      <w:r>
        <w:rPr>
          <w:rFonts w:ascii="Arial" w:cs="Arial" w:eastAsia="Arial" w:hAnsi="Arial"/>
          <w:sz w:val="16"/>
          <w:szCs w:val="16"/>
          <w:color w:val="auto"/>
        </w:rPr>
        <w:t>—</w:t>
      </w:r>
      <w:r>
        <w:rPr>
          <w:rFonts w:ascii="Arial" w:cs="Arial" w:eastAsia="Arial" w:hAnsi="Arial"/>
          <w:sz w:val="16"/>
          <w:szCs w:val="16"/>
          <w:i w:val="1"/>
          <w:iCs w:val="1"/>
          <w:color w:val="auto"/>
        </w:rPr>
        <w:t>Retention Rate</w:t>
      </w:r>
      <w:r>
        <w:rPr>
          <w:rFonts w:ascii="Arial" w:cs="Arial" w:eastAsia="Arial" w:hAnsi="Arial"/>
          <w:sz w:val="16"/>
          <w:szCs w:val="16"/>
          <w:color w:val="auto"/>
        </w:rPr>
        <w:t>” below for additional information on the calculation of this metric.</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4"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Our consolidated financial statements are prepared in accordance with GAAP. These accounting principles require us to make certain estimates and judgments that can affect the reported amounts of assets and liabilities as of the date of the consolidated financial statements, as well as the reported amounts of revenues and expenses during the periods presented. Significant estimates and judgments made by management include such examples as assessment of impairment of goodwill and intangible assets and income taxes. We believe the estimates and judgments upon which we rely are reasonable based upon information available to us at the time these estimates and judgments are made. To the extent there are material differences between these estimates and actual results, our consolidated financial statements will be affected.</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08" w:lineRule="exact"/>
        <w:rPr>
          <w:sz w:val="20"/>
          <w:szCs w:val="20"/>
          <w:color w:val="auto"/>
        </w:rPr>
      </w:pPr>
    </w:p>
    <w:p>
      <w:pPr>
        <w:ind w:right="80" w:firstLine="589"/>
        <w:spacing w:after="0" w:line="298" w:lineRule="auto"/>
        <w:rPr>
          <w:sz w:val="20"/>
          <w:szCs w:val="20"/>
          <w:color w:val="auto"/>
        </w:rPr>
      </w:pPr>
      <w:r>
        <w:rPr>
          <w:rFonts w:ascii="Arial" w:cs="Arial" w:eastAsia="Arial" w:hAnsi="Arial"/>
          <w:sz w:val="15"/>
          <w:szCs w:val="15"/>
          <w:color w:val="auto"/>
        </w:rPr>
        <w:t>Goodwill is recorded as a result of business combinations undertaken by the Company when the purchase price exceeds the fair value of the net tangible assets and separately identifiable intangible assets acquired. The Company tests goodwill for impairment on an annual basis on July 1</w:t>
      </w:r>
      <w:r>
        <w:rPr>
          <w:rFonts w:ascii="Arial" w:cs="Arial" w:eastAsia="Arial" w:hAnsi="Arial"/>
          <w:sz w:val="12"/>
          <w:szCs w:val="12"/>
          <w:color w:val="auto"/>
        </w:rPr>
        <w:t>st</w:t>
      </w:r>
      <w:r>
        <w:rPr>
          <w:rFonts w:ascii="Arial" w:cs="Arial" w:eastAsia="Arial" w:hAnsi="Arial"/>
          <w:sz w:val="15"/>
          <w:szCs w:val="15"/>
          <w:color w:val="auto"/>
        </w:rPr>
        <w:t xml:space="preserve"> and on an interim basis when certain events and circumstances exist. The test for impairment is performed at the reporting unit level. In testing goodwill for impairment, the company used the income approach to estimate the fair value of each reporting unit. Under the income approach, we estimate the fair value of each reporting unit based on the present value of estimated future cash flows. Estimating discounted future cash flows requires significant management judgment including in estimating forecasted future cash flows and determining both discount rates and terminal growth rates. Forecasted future cash flows are estimated based on a combination of historical experience and assumptions regarding future growth and profitability of each reporting unit. Discount rates are selected based on discount rates of similar public companies to the reporting unit being valued and terminal growth rates are selected based on consideration of growth rates used during the reporting unit’s forecast period in combination with economic conditions. These assumptions require management’s judgment and changes to these estimates or assumptions could materially affect the determination of the reporting unit’s fair value. Any impairment is measured as the difference between the carrying amount and its fair value. Based on our quantitative assessment as of July 1, 2021, we determined that the estimated fair value of the Company’s reporting units substantially exceeded their respective carrying values, so no impairment of goodwill was recorded.</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Definite Lived Intangible Assets</w:t>
      </w:r>
    </w:p>
    <w:p>
      <w:pPr>
        <w:spacing w:after="0" w:line="108"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Definite-lived intangible assets are reviewed for impairment whenever events or changes in circumstances indicate that the carrying value of the asset may not be recoverable. These events or circumstances include adverse changes in the manner in which the asset will be used, adverse changes in legal factors related to the asset or negative changes in expected financial performance of the asset, including accumulation of costs and operating losses. Determining whether an event or changes in circumstances warrant an impairment review involves management judgment.</w:t>
      </w:r>
    </w:p>
    <w:p>
      <w:pPr>
        <w:spacing w:after="0" w:line="57"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Once it is determined that an impairment review is necessary, determination of recoverability is determined based on comparing the carrying amount of the asset group to the estimated future undiscounted cash flows. If the carrying amount exceeds the estimated future undiscounted cash flows, the asset grouping is considered to be impaired. Measurement of impairment for intangible assets is based on the amount the carrying value exceeds the fair value of the asset, which is based on estimated discounted future cash flows. Estimated undiscounted and discounted cash flows used in the determination and calculation of impairments represent management forecasts and require significant management judgment. While management believes that its forecasts are reasonable, differences between forecasts and actual experience could materially affect the valuations. There were no events or changes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653"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circumstances that would indicate that the carrying value of the definite-lived intangible assets may not be recoverable during the years presented.</w:t>
      </w:r>
    </w:p>
    <w:p>
      <w:pPr>
        <w:spacing w:after="0" w:line="131" w:lineRule="exact"/>
        <w:rPr>
          <w:sz w:val="20"/>
          <w:szCs w:val="20"/>
          <w:color w:val="auto"/>
        </w:rPr>
      </w:pPr>
    </w:p>
    <w:p>
      <w:pPr>
        <w:ind w:right="20" w:firstLine="589"/>
        <w:spacing w:after="0" w:line="247" w:lineRule="auto"/>
        <w:rPr>
          <w:sz w:val="20"/>
          <w:szCs w:val="20"/>
          <w:color w:val="auto"/>
        </w:rPr>
      </w:pPr>
      <w:r>
        <w:rPr>
          <w:rFonts w:ascii="Arial" w:cs="Arial" w:eastAsia="Arial" w:hAnsi="Arial"/>
          <w:sz w:val="18"/>
          <w:szCs w:val="18"/>
          <w:color w:val="auto"/>
        </w:rPr>
        <w:t>With respect to our acquisition of RCA on September 13, 2021, the initial valuation of intangible assets, as part of the acquisition method of accounting, is subjective and based, in part, on inputs that are unobservable. The significant assumptions used to estimate the fair value of the acquired intangible assets included, forecasted cash flows which were determined based on certain assumptions which included, among others, projected future revenues, and expected market royalty rate, technology obsolescence rates and discount rates. These estimates are inherently uncertain and unpredictable, and if different estimates were used, the purchase price for the acquisition could be allocated to the acquired assets and assumed liabilities differently from the allocation that we have made.</w:t>
      </w:r>
    </w:p>
    <w:p>
      <w:pPr>
        <w:spacing w:after="0" w:line="194" w:lineRule="exact"/>
        <w:rPr>
          <w:sz w:val="20"/>
          <w:szCs w:val="20"/>
          <w:color w:val="auto"/>
        </w:rPr>
      </w:pPr>
    </w:p>
    <w:p>
      <w:pPr>
        <w:ind w:firstLine="589"/>
        <w:spacing w:after="0" w:line="261" w:lineRule="auto"/>
        <w:rPr>
          <w:sz w:val="20"/>
          <w:szCs w:val="20"/>
          <w:color w:val="auto"/>
        </w:rPr>
      </w:pPr>
      <w:r>
        <w:rPr>
          <w:rFonts w:ascii="Arial" w:cs="Arial" w:eastAsia="Arial" w:hAnsi="Arial"/>
          <w:sz w:val="18"/>
          <w:szCs w:val="18"/>
          <w:color w:val="auto"/>
        </w:rPr>
        <w:t>The Company amortizes its intangible assets over the estimated period of economic benefit. If the estimated period of economic benefit is changed, the prospective amortization of the intangible asset could materially change.</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08" w:lineRule="exact"/>
        <w:rPr>
          <w:sz w:val="20"/>
          <w:szCs w:val="20"/>
          <w:color w:val="auto"/>
        </w:rPr>
      </w:pPr>
    </w:p>
    <w:p>
      <w:pPr>
        <w:jc w:val="both"/>
        <w:ind w:right="320" w:firstLine="589"/>
        <w:spacing w:after="0" w:line="299" w:lineRule="auto"/>
        <w:rPr>
          <w:sz w:val="20"/>
          <w:szCs w:val="20"/>
          <w:color w:val="auto"/>
        </w:rPr>
      </w:pPr>
      <w:r>
        <w:rPr>
          <w:rFonts w:ascii="Arial" w:cs="Arial" w:eastAsia="Arial" w:hAnsi="Arial"/>
          <w:sz w:val="16"/>
          <w:szCs w:val="16"/>
          <w:color w:val="auto"/>
        </w:rPr>
        <w:t>The Company is subject to income taxes in the U.S. and other foreign jurisdictions. Our tax provision is an estimate based on our understanding of laws in federal, state and foreign tax jurisdictions. These laws can be complicated and are difficult to apply to any business. The tax laws also require us to allocate our taxable income to many jurisdictions based on subjective allocation methodologies and information collection processes.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Provision for income taxes is provided for using the asset and liability method, under which deferred tax assets and deferred tax liabilities 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determined based on the temporary differences between the financial statement and income tax bases of assets and liabilities using currently enacted tax</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rates. Deferred tax assets are reduced by a valuation allowance when, in our opinion, it is more likely than not that all or some portion of the deferred tax assets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will not be realized. In assessing the need for a valuation allowance, management is required to estimate future taxable income which requires judgment.</w:t>
      </w:r>
    </w:p>
    <w:p>
      <w:pPr>
        <w:spacing w:after="0" w:line="225" w:lineRule="exact"/>
        <w:rPr>
          <w:sz w:val="20"/>
          <w:szCs w:val="20"/>
          <w:color w:val="auto"/>
        </w:rPr>
      </w:pPr>
    </w:p>
    <w:p>
      <w:pPr>
        <w:ind w:right="120" w:firstLine="589"/>
        <w:spacing w:after="0" w:line="299" w:lineRule="auto"/>
        <w:rPr>
          <w:sz w:val="20"/>
          <w:szCs w:val="20"/>
          <w:color w:val="auto"/>
        </w:rPr>
      </w:pPr>
      <w:r>
        <w:rPr>
          <w:rFonts w:ascii="Arial" w:cs="Arial" w:eastAsia="Arial" w:hAnsi="Arial"/>
          <w:sz w:val="16"/>
          <w:szCs w:val="16"/>
          <w:color w:val="auto"/>
        </w:rPr>
        <w:t>The Company must regularly assess the likelihood of additional assessments in each of the taxing jurisdictions in which it files income tax returns and adjust unrecognized tax benefits when additional information is available or when an event occurs. This assessment requires significant judgment in assessment of tax laws, frequency of tax examinations, and the nature of intercompany transactions and tax positions.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RCA</w:t>
      </w:r>
    </w:p>
    <w:p>
      <w:pPr>
        <w:spacing w:after="0" w:line="108" w:lineRule="exact"/>
        <w:rPr>
          <w:sz w:val="20"/>
          <w:szCs w:val="20"/>
          <w:color w:val="auto"/>
        </w:rPr>
      </w:pPr>
    </w:p>
    <w:p>
      <w:pPr>
        <w:ind w:right="80" w:firstLine="589"/>
        <w:spacing w:after="0" w:line="252" w:lineRule="auto"/>
        <w:rPr>
          <w:sz w:val="20"/>
          <w:szCs w:val="20"/>
          <w:color w:val="auto"/>
        </w:rPr>
      </w:pPr>
      <w:r>
        <w:rPr>
          <w:rFonts w:ascii="Arial" w:cs="Arial" w:eastAsia="Arial" w:hAnsi="Arial"/>
          <w:sz w:val="18"/>
          <w:szCs w:val="18"/>
          <w:color w:val="auto"/>
        </w:rPr>
        <w:t>On September 13, 2021, MSCI completed the acquisition of RCA for an aggregate cash purchase price of $949.0 million, subject to working capital adjustments. See Note 5, “Acquisitions,” of the Notes to the Consolidated Financial Statements included herein for additional information on the acquisition of RCA.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08" w:lineRule="exact"/>
        <w:rPr>
          <w:sz w:val="20"/>
          <w:szCs w:val="20"/>
          <w:color w:val="auto"/>
        </w:rPr>
      </w:pPr>
    </w:p>
    <w:p>
      <w:pPr>
        <w:ind w:right="60" w:firstLine="589"/>
        <w:spacing w:after="0" w:line="252" w:lineRule="auto"/>
        <w:rPr>
          <w:sz w:val="20"/>
          <w:szCs w:val="20"/>
          <w:color w:val="auto"/>
        </w:rPr>
      </w:pPr>
      <w:r>
        <w:rPr>
          <w:rFonts w:ascii="Arial" w:cs="Arial" w:eastAsia="Arial" w:hAnsi="Arial"/>
          <w:sz w:val="18"/>
          <w:szCs w:val="18"/>
          <w:color w:val="auto"/>
        </w:rPr>
        <w:t>Our operating revenues are grouped by the following types: recurring subscriptions, asset-based fees and non-recurring. We also group operating revenues by major product or reportable segment as follows: Index, Analytics, ESG and Climate and All Other – Private Assets, which includes the Real Estate product line and our equity method investment in Burgiss.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operating revenues by type for the years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Years Ended</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94"/>
              </w:rPr>
              <w:t>% Change</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1"/>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58"/>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960" w:type="dxa"/>
            <w:vAlign w:val="bottom"/>
          </w:tcPr>
          <w:p>
            <w:pPr>
              <w:jc w:val="right"/>
              <w:ind w:right="58"/>
              <w:spacing w:after="0" w:line="141" w:lineRule="exact"/>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2"/>
                <w:szCs w:val="12"/>
                <w:color w:val="auto"/>
              </w:rPr>
            </w:pPr>
          </w:p>
        </w:tc>
        <w:tc>
          <w:tcPr>
            <w:tcW w:w="170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40" w:type="dxa"/>
            <w:vAlign w:val="bottom"/>
          </w:tcPr>
          <w:p>
            <w:pPr>
              <w:jc w:val="right"/>
              <w:ind w:right="118"/>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r>
      <w:tr>
        <w:trPr>
          <w:trHeight w:val="167"/>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7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2021 to 2020</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2020 to 2019</w:t>
            </w:r>
          </w:p>
        </w:tc>
      </w:tr>
      <w:tr>
        <w:trPr>
          <w:trHeight w:val="151"/>
        </w:trPr>
        <w:tc>
          <w:tcPr>
            <w:tcW w:w="4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8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Recurring subscriptions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1,426,040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1,248,175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1,154,040</w:t>
            </w:r>
          </w:p>
        </w:tc>
        <w:tc>
          <w:tcPr>
            <w:tcW w:w="18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Asset-based fees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553,991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399,771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361,927</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Non-recurring</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63,513</w:t>
            </w:r>
          </w:p>
        </w:tc>
        <w:tc>
          <w:tcPr>
            <w:tcW w:w="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47,444</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41,829</w:t>
            </w:r>
          </w:p>
        </w:tc>
        <w:tc>
          <w:tcPr>
            <w:tcW w:w="18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2,043,544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1,695,390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1,557,796</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10"/>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2"/>
        </w:trPr>
        <w:tc>
          <w:tcPr>
            <w:tcW w:w="4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2" w:name="page43"/>
    <w:bookmarkEnd w:id="42"/>
    <w:p>
      <w:pPr>
        <w:ind w:right="300" w:firstLine="589"/>
        <w:spacing w:after="0" w:line="324" w:lineRule="auto"/>
        <w:rPr>
          <w:sz w:val="20"/>
          <w:szCs w:val="20"/>
          <w:color w:val="auto"/>
        </w:rPr>
      </w:pPr>
      <w:r>
        <w:rPr>
          <w:rFonts w:ascii="Arial" w:cs="Arial" w:eastAsia="Arial" w:hAnsi="Arial"/>
          <w:sz w:val="16"/>
          <w:szCs w:val="16"/>
          <w:color w:val="auto"/>
        </w:rPr>
        <w:t>Total operating revenues increased 20.5% for the year ended December 31, 2021 compared to the year ended December 31, 2020. Adjusting for the impact of acquisitions and foreign currency exchange rate fluctuations, total operating revenues would have increased 18.7%.</w:t>
      </w:r>
    </w:p>
    <w:p>
      <w:pPr>
        <w:spacing w:after="0" w:line="134" w:lineRule="exact"/>
        <w:rPr>
          <w:sz w:val="20"/>
          <w:szCs w:val="20"/>
          <w:color w:val="auto"/>
        </w:rPr>
      </w:pPr>
    </w:p>
    <w:p>
      <w:pPr>
        <w:ind w:right="100" w:firstLine="589"/>
        <w:spacing w:after="0" w:line="248" w:lineRule="auto"/>
        <w:rPr>
          <w:sz w:val="20"/>
          <w:szCs w:val="20"/>
          <w:color w:val="auto"/>
        </w:rPr>
      </w:pPr>
      <w:r>
        <w:rPr>
          <w:rFonts w:ascii="Arial" w:cs="Arial" w:eastAsia="Arial" w:hAnsi="Arial"/>
          <w:sz w:val="18"/>
          <w:szCs w:val="18"/>
          <w:color w:val="auto"/>
        </w:rPr>
        <w:t>Operating revenues from recurring subscriptions increased 14.3% for the year ended December 31, 2021 compared to the year ended December 31, 2020, primarily driven by strong growth in Index products, which increased $70.2 million, or 12.1%, strong growth in ESG and Climate products, which increased $52.7 million, or 47.9%, strong growth in All Other - Private Assets products, which increased $28.1 million, or 54.5%, and growth in Analytics products, which increased $26.9 million, or 5.3%. Adjusting for the impact of acquisitions and foreign currency exchange rate fluctuations, operating revenues from recurring subscriptions would have increased 11.8%.</w:t>
      </w:r>
    </w:p>
    <w:p>
      <w:pPr>
        <w:spacing w:after="0" w:line="192" w:lineRule="exact"/>
        <w:rPr>
          <w:sz w:val="20"/>
          <w:szCs w:val="20"/>
          <w:color w:val="auto"/>
        </w:rPr>
      </w:pPr>
    </w:p>
    <w:p>
      <w:pPr>
        <w:ind w:right="40" w:firstLine="589"/>
        <w:spacing w:after="0" w:line="248" w:lineRule="auto"/>
        <w:rPr>
          <w:sz w:val="20"/>
          <w:szCs w:val="20"/>
          <w:color w:val="auto"/>
        </w:rPr>
      </w:pPr>
      <w:r>
        <w:rPr>
          <w:rFonts w:ascii="Arial" w:cs="Arial" w:eastAsia="Arial" w:hAnsi="Arial"/>
          <w:sz w:val="18"/>
          <w:szCs w:val="18"/>
          <w:color w:val="auto"/>
        </w:rPr>
        <w:t>Operating revenues from asset-based fees increased 38.6% for the year ended December 31, 2021 compared to the year ended December 31, 2020, driven by growth in operating revenues from all index-linked investment product categories. Operating revenues from ETFs linked to MSCI equity indexes increased by 41.9%, primarily driven by an increase in average AUM, partially offset by a decrease in average basis point fees. The increase in asset-based fees operating revenues was also driven by revenues from non-ETF indexed funds linked to MSCI indexes which increased by 39.4%, primarily driven by an increase in average AUM.</w:t>
      </w:r>
    </w:p>
    <w:p>
      <w:pPr>
        <w:spacing w:after="0" w:line="192" w:lineRule="exact"/>
        <w:rPr>
          <w:sz w:val="20"/>
          <w:szCs w:val="20"/>
          <w:color w:val="auto"/>
        </w:rPr>
      </w:pPr>
    </w:p>
    <w:p>
      <w:pPr>
        <w:ind w:right="180" w:firstLine="589"/>
        <w:spacing w:after="0" w:line="261" w:lineRule="auto"/>
        <w:rPr>
          <w:sz w:val="20"/>
          <w:szCs w:val="20"/>
          <w:color w:val="auto"/>
        </w:rPr>
      </w:pPr>
      <w:r>
        <w:rPr>
          <w:rFonts w:ascii="Arial" w:cs="Arial" w:eastAsia="Arial" w:hAnsi="Arial"/>
          <w:sz w:val="18"/>
          <w:szCs w:val="18"/>
          <w:color w:val="auto"/>
        </w:rPr>
        <w:t>Total operating revenues grew 8.8% for the year ended December 31, 2020 compared to the year ended December 31, 2019. Adjusting for the impact of foreign currency exchange rate fluctuations, total operating revenues would have increased 8.7%.</w:t>
      </w:r>
    </w:p>
    <w:p>
      <w:pPr>
        <w:spacing w:after="0" w:line="181" w:lineRule="exact"/>
        <w:rPr>
          <w:sz w:val="20"/>
          <w:szCs w:val="20"/>
          <w:color w:val="auto"/>
        </w:rPr>
      </w:pPr>
    </w:p>
    <w:p>
      <w:pPr>
        <w:ind w:right="380" w:firstLine="589"/>
        <w:spacing w:after="0" w:line="290" w:lineRule="auto"/>
        <w:rPr>
          <w:sz w:val="20"/>
          <w:szCs w:val="20"/>
          <w:color w:val="auto"/>
        </w:rPr>
      </w:pPr>
      <w:r>
        <w:rPr>
          <w:rFonts w:ascii="Arial" w:cs="Arial" w:eastAsia="Arial" w:hAnsi="Arial"/>
          <w:sz w:val="16"/>
          <w:szCs w:val="16"/>
          <w:color w:val="auto"/>
        </w:rPr>
        <w:t>Operating revenues from recurring subscriptions increased 8.2% for the year ended December 31, 2020 compared to the year ended December 31, 2019, primarily driven by growth in Index products, which increased $49.4 million, or 9.3%, growth in ESG and Climate products, which increased $20.4 million, or 22.8%, and growth in Analytics products, which increased $20.0 million, or 4.1%. Adjusting for the impact of foreign currency exchange rate fluctuations, operating revenues from recurring subscriptions would have increased 8.1%.</w:t>
      </w:r>
    </w:p>
    <w:p>
      <w:pPr>
        <w:spacing w:after="0" w:line="162" w:lineRule="exact"/>
        <w:rPr>
          <w:sz w:val="20"/>
          <w:szCs w:val="20"/>
          <w:color w:val="auto"/>
        </w:rPr>
      </w:pPr>
    </w:p>
    <w:p>
      <w:pPr>
        <w:ind w:right="40" w:firstLine="589"/>
        <w:spacing w:after="0" w:line="282" w:lineRule="auto"/>
        <w:rPr>
          <w:sz w:val="20"/>
          <w:szCs w:val="20"/>
          <w:color w:val="auto"/>
        </w:rPr>
      </w:pPr>
      <w:r>
        <w:rPr>
          <w:rFonts w:ascii="Arial" w:cs="Arial" w:eastAsia="Arial" w:hAnsi="Arial"/>
          <w:sz w:val="16"/>
          <w:szCs w:val="16"/>
          <w:color w:val="auto"/>
        </w:rPr>
        <w:t>Operating revenues from asset-based fees increased 10.5% for the year ended December 31, 2020 compared to the year ended December 31, 2019. The increase in asset-based fees was driven by growth in revenues from all of our indexed investment product categories, including an increase in revenues from exchange traded futures and options contracts linked to MSCI indexes that were primarily driven by price increases. The increase in operating revenues from asset-based fees was also driven by higher revenues from non-ETF indexed funds linked to MSCI indexes, which was driven by price increases and an increase in average AUM. Revenues from ETFs linked to MSCI indexes also increased, driven by an 8.9% increase in average AUM in equity ETFs linked to MSCI indexes, partially offset by lower fees resulting from the impact of a change in product mix. The impact of foreign currency exchange rate fluctuations on operating revenues from asset-based fees was negligible.</w:t>
      </w:r>
    </w:p>
    <w:p>
      <w:pPr>
        <w:spacing w:after="0" w:line="169" w:lineRule="exact"/>
        <w:rPr>
          <w:sz w:val="20"/>
          <w:szCs w:val="20"/>
          <w:color w:val="auto"/>
        </w:rPr>
      </w:pPr>
    </w:p>
    <w:p>
      <w:pPr>
        <w:ind w:right="180" w:firstLine="589"/>
        <w:spacing w:after="0" w:line="261" w:lineRule="auto"/>
        <w:rPr>
          <w:sz w:val="20"/>
          <w:szCs w:val="20"/>
          <w:color w:val="auto"/>
        </w:rPr>
      </w:pPr>
      <w:r>
        <w:rPr>
          <w:rFonts w:ascii="Arial" w:cs="Arial" w:eastAsia="Arial" w:hAnsi="Arial"/>
          <w:sz w:val="18"/>
          <w:szCs w:val="18"/>
          <w:color w:val="auto"/>
        </w:rPr>
        <w:t>The following table presents the value of AUM in ETFs linked to MSCI equity indexes and the sequential change of such assets as of the end of each of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3"/>
                <w:szCs w:val="13"/>
                <w:b w:val="1"/>
                <w:bCs w:val="1"/>
                <w:color w:val="auto"/>
              </w:rPr>
              <w:t>Period Ended</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8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(in billions)</w:t>
            </w:r>
          </w:p>
        </w:tc>
        <w:tc>
          <w:tcPr>
            <w:tcW w:w="100" w:type="dxa"/>
            <w:vAlign w:val="bottom"/>
          </w:tcPr>
          <w:p>
            <w:pPr>
              <w:spacing w:after="0"/>
              <w:rPr>
                <w:sz w:val="11"/>
                <w:szCs w:val="11"/>
                <w:color w:val="auto"/>
              </w:rPr>
            </w:pPr>
          </w:p>
        </w:tc>
        <w:tc>
          <w:tcPr>
            <w:tcW w:w="900" w:type="dxa"/>
            <w:vAlign w:val="bottom"/>
            <w:gridSpan w:val="2"/>
          </w:tcPr>
          <w:p>
            <w:pPr>
              <w:jc w:val="right"/>
              <w:ind w:right="320"/>
              <w:spacing w:after="0" w:line="138" w:lineRule="exact"/>
              <w:rPr>
                <w:sz w:val="20"/>
                <w:szCs w:val="20"/>
                <w:color w:val="auto"/>
              </w:rPr>
            </w:pPr>
            <w:r>
              <w:rPr>
                <w:rFonts w:ascii="Arial" w:cs="Arial" w:eastAsia="Arial" w:hAnsi="Arial"/>
                <w:sz w:val="13"/>
                <w:szCs w:val="13"/>
                <w:b w:val="1"/>
                <w:bCs w:val="1"/>
                <w:color w:val="auto"/>
                <w:w w:val="93"/>
              </w:rPr>
              <w:t>March 31,</w:t>
            </w:r>
          </w:p>
        </w:tc>
        <w:tc>
          <w:tcPr>
            <w:tcW w:w="140" w:type="dxa"/>
            <w:vAlign w:val="bottom"/>
          </w:tcPr>
          <w:p>
            <w:pPr>
              <w:spacing w:after="0"/>
              <w:rPr>
                <w:sz w:val="11"/>
                <w:szCs w:val="11"/>
                <w:color w:val="auto"/>
              </w:rPr>
            </w:pPr>
          </w:p>
        </w:tc>
        <w:tc>
          <w:tcPr>
            <w:tcW w:w="80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Pr>
          <w:p>
            <w:pPr>
              <w:spacing w:after="0"/>
              <w:rPr>
                <w:sz w:val="11"/>
                <w:szCs w:val="11"/>
                <w:color w:val="auto"/>
              </w:rPr>
            </w:pPr>
          </w:p>
        </w:tc>
        <w:tc>
          <w:tcPr>
            <w:tcW w:w="8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9"/>
              </w:rPr>
              <w:t>September 30,</w:t>
            </w:r>
          </w:p>
        </w:tc>
        <w:tc>
          <w:tcPr>
            <w:tcW w:w="2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w w:val="93"/>
              </w:rPr>
              <w:t>March 31,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00"/>
              <w:spacing w:after="0" w:line="138"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Pr>
          <w:p>
            <w:pPr>
              <w:spacing w:after="0"/>
              <w:rPr>
                <w:sz w:val="11"/>
                <w:szCs w:val="11"/>
                <w:color w:val="auto"/>
              </w:rPr>
            </w:pPr>
          </w:p>
        </w:tc>
        <w:tc>
          <w:tcPr>
            <w:tcW w:w="104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September 30,</w:t>
            </w:r>
          </w:p>
        </w:tc>
        <w:tc>
          <w:tcPr>
            <w:tcW w:w="9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color w:val="auto"/>
              </w:rPr>
              <w:t>AUM in ETFs linked to MSCI equity</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indexes</w:t>
            </w:r>
            <w:r>
              <w:rPr>
                <w:rFonts w:ascii="Arial" w:cs="Arial" w:eastAsia="Arial" w:hAnsi="Arial"/>
                <w:sz w:val="14"/>
                <w:szCs w:val="14"/>
                <w:color w:val="auto"/>
              </w:rPr>
              <w:t>(1), (2)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908.9</w:t>
            </w:r>
          </w:p>
        </w:tc>
        <w:tc>
          <w:tcPr>
            <w:tcW w:w="400" w:type="dxa"/>
            <w:vAlign w:val="bottom"/>
            <w:gridSpan w:val="2"/>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1,103.6</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1,336.2</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1,336.6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1,451.6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180" w:type="dxa"/>
            <w:vAlign w:val="bottom"/>
            <w:gridSpan w:val="3"/>
          </w:tcPr>
          <w:p>
            <w:pPr>
              <w:spacing w:after="0" w:line="184" w:lineRule="exact"/>
              <w:rPr>
                <w:sz w:val="20"/>
                <w:szCs w:val="20"/>
                <w:color w:val="auto"/>
              </w:rPr>
            </w:pPr>
            <w:r>
              <w:rPr>
                <w:rFonts w:ascii="Arial" w:cs="Arial" w:eastAsia="Arial" w:hAnsi="Arial"/>
                <w:sz w:val="18"/>
                <w:szCs w:val="18"/>
                <w:color w:val="auto"/>
              </w:rPr>
              <w:t>Sequential Change in Value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Market Appreciation/(Depreciation)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(216.5)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400" w:type="dxa"/>
            <w:vAlign w:val="bottom"/>
            <w:gridSpan w:val="2"/>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gridSpan w:val="3"/>
          </w:tcPr>
          <w:p>
            <w:pPr>
              <w:spacing w:after="0"/>
              <w:rPr>
                <w:sz w:val="20"/>
                <w:szCs w:val="20"/>
                <w:color w:val="auto"/>
              </w:rPr>
            </w:pPr>
            <w:r>
              <w:rPr>
                <w:rFonts w:ascii="Arial" w:cs="Arial" w:eastAsia="Arial" w:hAnsi="Arial"/>
                <w:sz w:val="18"/>
                <w:szCs w:val="18"/>
                <w:color w:val="auto"/>
              </w:rPr>
              <w:t>Cash Inflows</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Total Change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80" w:type="dxa"/>
            <w:vAlign w:val="bottom"/>
            <w:gridSpan w:val="3"/>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(224.9)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400" w:type="dxa"/>
            <w:vAlign w:val="bottom"/>
            <w:gridSpan w:val="2"/>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3" w:name="page44"/>
    <w:bookmarkEnd w:id="43"/>
    <w:p>
      <w:pPr>
        <w:ind w:left="600"/>
        <w:spacing w:after="0"/>
        <w:rPr>
          <w:sz w:val="20"/>
          <w:szCs w:val="20"/>
          <w:color w:val="auto"/>
        </w:rPr>
      </w:pPr>
      <w:r>
        <w:rPr>
          <w:rFonts w:ascii="Arial" w:cs="Arial" w:eastAsia="Arial" w:hAnsi="Arial"/>
          <w:sz w:val="18"/>
          <w:szCs w:val="18"/>
          <w:color w:val="auto"/>
        </w:rPr>
        <w:t>The following table presents the average value of AUM in ETFs linked to MSCI equity indexes for the periods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Year-to-Date Average</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204"/>
              <w:spacing w:after="0"/>
              <w:rPr>
                <w:sz w:val="20"/>
                <w:szCs w:val="20"/>
                <w:color w:val="auto"/>
              </w:rPr>
            </w:pPr>
            <w:r>
              <w:rPr>
                <w:rFonts w:ascii="Arial" w:cs="Arial" w:eastAsia="Arial" w:hAnsi="Arial"/>
                <w:sz w:val="14"/>
                <w:szCs w:val="14"/>
                <w:b w:val="1"/>
                <w:bCs w:val="1"/>
                <w:color w:val="auto"/>
              </w:rPr>
              <w:t>June</w:t>
            </w:r>
          </w:p>
        </w:tc>
        <w:tc>
          <w:tcPr>
            <w:tcW w:w="20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September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b w:val="1"/>
                <w:bCs w:val="1"/>
                <w:color w:val="auto"/>
                <w:w w:val="88"/>
              </w:rPr>
              <w:t>December</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March</w:t>
            </w:r>
          </w:p>
        </w:tc>
        <w:tc>
          <w:tcPr>
            <w:tcW w:w="2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June</w:t>
            </w:r>
          </w:p>
        </w:tc>
        <w:tc>
          <w:tcPr>
            <w:tcW w:w="8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September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December</w:t>
            </w:r>
          </w:p>
        </w:tc>
      </w:tr>
      <w:tr>
        <w:trPr>
          <w:trHeight w:val="203"/>
        </w:trPr>
        <w:tc>
          <w:tcPr>
            <w:tcW w:w="29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AUM in ETFs linked to MSCI equity</w:t>
            </w: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4"/>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indexes</w:t>
            </w:r>
            <w:r>
              <w:rPr>
                <w:rFonts w:ascii="Arial" w:cs="Arial" w:eastAsia="Arial" w:hAnsi="Arial"/>
                <w:sz w:val="14"/>
                <w:szCs w:val="14"/>
                <w:color w:val="auto"/>
              </w:rPr>
              <w:t>(1), (2)</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1,169.2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1,230.8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1,274.5</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1,309.6</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993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45" w:lineRule="exact"/>
        <w:rPr>
          <w:sz w:val="20"/>
          <w:szCs w:val="20"/>
          <w:color w:val="auto"/>
        </w:rPr>
      </w:pPr>
    </w:p>
    <w:p>
      <w:pPr>
        <w:ind w:left="580" w:right="20" w:hanging="575"/>
        <w:spacing w:after="0" w:line="220" w:lineRule="auto"/>
        <w:tabs>
          <w:tab w:leader="none" w:pos="580" w:val="left"/>
        </w:tabs>
        <w:numPr>
          <w:ilvl w:val="0"/>
          <w:numId w:val="31"/>
        </w:numPr>
        <w:rPr>
          <w:rFonts w:ascii="Arial" w:cs="Arial" w:eastAsia="Arial" w:hAnsi="Arial"/>
          <w:sz w:val="12"/>
          <w:szCs w:val="12"/>
          <w:color w:val="auto"/>
        </w:rPr>
      </w:pPr>
      <w:r>
        <w:rPr>
          <w:rFonts w:ascii="Arial" w:cs="Arial" w:eastAsia="Arial" w:hAnsi="Arial"/>
          <w:sz w:val="14"/>
          <w:szCs w:val="14"/>
          <w:color w:val="auto"/>
        </w:rPr>
        <w:t xml:space="preserve">The historical values of the AUM in ETFs linked to our equity indexes as of the last day of the month and the monthly average balance can be found under the link “AUM in ETFs Linked to MSCI Equity Indexes” on our Investor Relations homepage at </w:t>
      </w:r>
      <w:r>
        <w:rPr>
          <w:rFonts w:ascii="Arial" w:cs="Arial" w:eastAsia="Arial" w:hAnsi="Arial"/>
          <w:sz w:val="14"/>
          <w:szCs w:val="14"/>
          <w:i w:val="1"/>
          <w:iCs w:val="1"/>
          <w:color w:val="auto"/>
        </w:rPr>
        <w:t>http://ir.msci.com</w:t>
      </w:r>
      <w:r>
        <w:rPr>
          <w:rFonts w:ascii="Arial" w:cs="Arial" w:eastAsia="Arial" w:hAnsi="Arial"/>
          <w:sz w:val="14"/>
          <w:szCs w:val="14"/>
          <w:color w:val="auto"/>
        </w:rPr>
        <w:t>. This information is updated mid-month each month. Information contained on our website is not incorporated by reference into this Annual Report on Form 10-K or any other report filed with the SEC. The AUM in ETFs also includes AUM in Exchange Traded Notes, the value of which is less than 1.0% of the AUM amounts presented.</w:t>
      </w:r>
    </w:p>
    <w:p>
      <w:pPr>
        <w:ind w:left="580" w:hanging="575"/>
        <w:spacing w:after="0"/>
        <w:tabs>
          <w:tab w:leader="none" w:pos="58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value of AUM in ETFs linked to MSCI equity indexes is calculated by multiplying the equity ETF net asset value by the number of shares outstanding.</w:t>
      </w:r>
    </w:p>
    <w:p>
      <w:pPr>
        <w:spacing w:after="0" w:line="188"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For the year ended December 31, 2021, the average value of AUM in ETFs linked to MSCI equity indexes was up $422.9 billion, or 47.7%, compared to the year ended December 31, 2020.</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operating revenues by reportable segment and revenue type for the years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Years Ended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7"/>
              </w:rPr>
              <w:t>% Change</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1"/>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00" w:type="dxa"/>
            <w:vAlign w:val="bottom"/>
          </w:tcPr>
          <w:p>
            <w:pPr>
              <w:jc w:val="center"/>
              <w:ind w:right="36"/>
              <w:spacing w:after="0" w:line="141" w:lineRule="exact"/>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2"/>
                <w:szCs w:val="12"/>
                <w:color w:val="auto"/>
              </w:rPr>
            </w:pPr>
          </w:p>
        </w:tc>
        <w:tc>
          <w:tcPr>
            <w:tcW w:w="1780" w:type="dxa"/>
            <w:vAlign w:val="bottom"/>
            <w:gridSpan w:val="3"/>
          </w:tcPr>
          <w:p>
            <w:pPr>
              <w:jc w:val="center"/>
              <w:ind w:right="56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tcPr>
          <w:p>
            <w:pPr>
              <w:jc w:val="right"/>
              <w:ind w:right="135"/>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r>
      <w:tr>
        <w:trPr>
          <w:trHeight w:val="167"/>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2021 to 2020</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2020 to 2019</w:t>
            </w:r>
          </w:p>
        </w:tc>
      </w:tr>
      <w:tr>
        <w:trPr>
          <w:trHeight w:val="203"/>
        </w:trPr>
        <w:tc>
          <w:tcPr>
            <w:tcW w:w="4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(in thousands)</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4"/>
        </w:trPr>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Recurring subscriptions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650,629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580,393</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530,968</w:t>
            </w:r>
          </w:p>
        </w:tc>
        <w:tc>
          <w:tcPr>
            <w:tcW w:w="19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w:t>
            </w:r>
          </w:p>
        </w:tc>
      </w:tr>
      <w:tr>
        <w:trPr>
          <w:trHeight w:val="223"/>
        </w:trPr>
        <w:tc>
          <w:tcPr>
            <w:tcW w:w="4020" w:type="dxa"/>
            <w:vAlign w:val="bottom"/>
          </w:tcPr>
          <w:p>
            <w:pPr>
              <w:ind w:left="480"/>
              <w:spacing w:after="0"/>
              <w:rPr>
                <w:sz w:val="20"/>
                <w:szCs w:val="20"/>
                <w:color w:val="auto"/>
              </w:rPr>
            </w:pPr>
            <w:r>
              <w:rPr>
                <w:rFonts w:ascii="Arial" w:cs="Arial" w:eastAsia="Arial" w:hAnsi="Arial"/>
                <w:sz w:val="18"/>
                <w:szCs w:val="18"/>
                <w:color w:val="auto"/>
              </w:rPr>
              <w:t>Asset-based fees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553,991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399,771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361,927</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r>
      <w:tr>
        <w:trPr>
          <w:trHeight w:val="224"/>
        </w:trPr>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Non-recurring</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36,331</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28,042</w:t>
            </w:r>
          </w:p>
        </w:tc>
        <w:tc>
          <w:tcPr>
            <w:tcW w:w="19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29.6%</w:t>
            </w:r>
          </w:p>
        </w:tc>
      </w:tr>
      <w:tr>
        <w:trPr>
          <w:trHeight w:val="216"/>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Index total</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1,251,764</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1,016,495</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920,937</w:t>
            </w:r>
          </w:p>
        </w:tc>
        <w:tc>
          <w:tcPr>
            <w:tcW w:w="1900" w:type="dxa"/>
            <w:vAlign w:val="bottom"/>
            <w:tcBorders>
              <w:bottom w:val="single" w:sz="8" w:color="CFF0FC"/>
            </w:tcBorders>
            <w:gridSpan w:val="3"/>
          </w:tcPr>
          <w:p>
            <w:pPr>
              <w:jc w:val="right"/>
              <w:ind w:right="240"/>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10.4%</w:t>
            </w:r>
          </w:p>
        </w:tc>
      </w:tr>
      <w:tr>
        <w:trPr>
          <w:trHeight w:val="217"/>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Analytics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3"/>
        </w:trPr>
        <w:tc>
          <w:tcPr>
            <w:tcW w:w="4020" w:type="dxa"/>
            <w:vAlign w:val="bottom"/>
          </w:tcPr>
          <w:p>
            <w:pPr>
              <w:ind w:left="480"/>
              <w:spacing w:after="0"/>
              <w:rPr>
                <w:sz w:val="20"/>
                <w:szCs w:val="20"/>
                <w:color w:val="auto"/>
              </w:rPr>
            </w:pPr>
            <w:r>
              <w:rPr>
                <w:rFonts w:ascii="Arial" w:cs="Arial" w:eastAsia="Arial" w:hAnsi="Arial"/>
                <w:sz w:val="18"/>
                <w:szCs w:val="18"/>
                <w:color w:val="auto"/>
              </w:rPr>
              <w:t>Recurring subscriptions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533,178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506,301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486,282</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r>
      <w:tr>
        <w:trPr>
          <w:trHeight w:val="224"/>
        </w:trPr>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Non-recurring</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7,507</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10,643</w:t>
            </w:r>
          </w:p>
        </w:tc>
        <w:tc>
          <w:tcPr>
            <w:tcW w:w="19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Analytics total</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544,299</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513,808</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496,925</w:t>
            </w:r>
          </w:p>
        </w:tc>
        <w:tc>
          <w:tcPr>
            <w:tcW w:w="1900" w:type="dxa"/>
            <w:vAlign w:val="bottom"/>
            <w:tcBorders>
              <w:bottom w:val="single" w:sz="8" w:color="CFF0FC"/>
            </w:tcBorders>
            <w:gridSpan w:val="3"/>
          </w:tcPr>
          <w:p>
            <w:pPr>
              <w:jc w:val="right"/>
              <w:ind w:right="24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17"/>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ESG and Climate</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3"/>
        </w:trPr>
        <w:tc>
          <w:tcPr>
            <w:tcW w:w="4020" w:type="dxa"/>
            <w:vAlign w:val="bottom"/>
          </w:tcPr>
          <w:p>
            <w:pPr>
              <w:ind w:left="480"/>
              <w:spacing w:after="0"/>
              <w:rPr>
                <w:sz w:val="20"/>
                <w:szCs w:val="20"/>
                <w:color w:val="auto"/>
              </w:rPr>
            </w:pPr>
            <w:r>
              <w:rPr>
                <w:rFonts w:ascii="Arial" w:cs="Arial" w:eastAsia="Arial" w:hAnsi="Arial"/>
                <w:sz w:val="18"/>
                <w:szCs w:val="18"/>
                <w:color w:val="auto"/>
              </w:rPr>
              <w:t>Recurring subscriptions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162,609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89,563</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r>
      <w:tr>
        <w:trPr>
          <w:trHeight w:val="224"/>
        </w:trPr>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Non-recurring</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9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152.5%</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29.5%</w:t>
            </w:r>
          </w:p>
        </w:tc>
      </w:tr>
      <w:tr>
        <w:trPr>
          <w:trHeight w:val="216"/>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ESG and Climate total</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166,192</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111,364</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90,659</w:t>
            </w:r>
          </w:p>
        </w:tc>
        <w:tc>
          <w:tcPr>
            <w:tcW w:w="1900" w:type="dxa"/>
            <w:vAlign w:val="bottom"/>
            <w:tcBorders>
              <w:bottom w:val="single" w:sz="8" w:color="CFF0FC"/>
            </w:tcBorders>
            <w:gridSpan w:val="3"/>
          </w:tcPr>
          <w:p>
            <w:pPr>
              <w:jc w:val="right"/>
              <w:ind w:right="240"/>
              <w:spacing w:after="0"/>
              <w:rPr>
                <w:sz w:val="20"/>
                <w:szCs w:val="20"/>
                <w:color w:val="auto"/>
              </w:rPr>
            </w:pPr>
            <w:r>
              <w:rPr>
                <w:rFonts w:ascii="Arial" w:cs="Arial" w:eastAsia="Arial" w:hAnsi="Arial"/>
                <w:sz w:val="18"/>
                <w:szCs w:val="18"/>
                <w:color w:val="auto"/>
              </w:rPr>
              <w:t>49.2%</w:t>
            </w:r>
          </w:p>
        </w:tc>
        <w:tc>
          <w:tcPr>
            <w:tcW w:w="1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22.8%</w:t>
            </w:r>
          </w:p>
        </w:tc>
      </w:tr>
      <w:tr>
        <w:trPr>
          <w:trHeight w:val="217"/>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 Private Assets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3"/>
        </w:trPr>
        <w:tc>
          <w:tcPr>
            <w:tcW w:w="4020" w:type="dxa"/>
            <w:vAlign w:val="bottom"/>
          </w:tcPr>
          <w:p>
            <w:pPr>
              <w:ind w:left="480"/>
              <w:spacing w:after="0"/>
              <w:rPr>
                <w:sz w:val="20"/>
                <w:szCs w:val="20"/>
                <w:color w:val="auto"/>
              </w:rPr>
            </w:pPr>
            <w:r>
              <w:rPr>
                <w:rFonts w:ascii="Arial" w:cs="Arial" w:eastAsia="Arial" w:hAnsi="Arial"/>
                <w:sz w:val="18"/>
                <w:szCs w:val="18"/>
                <w:color w:val="auto"/>
              </w:rPr>
              <w:t>Recurring subscriptions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47,227</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r>
      <w:tr>
        <w:trPr>
          <w:trHeight w:val="224"/>
        </w:trPr>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Non-recurring</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w:t>
            </w:r>
          </w:p>
        </w:tc>
      </w:tr>
      <w:tr>
        <w:trPr>
          <w:trHeight w:val="216"/>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 Other - Private Assets total</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81,289</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53,723</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49,275</w:t>
            </w:r>
          </w:p>
        </w:tc>
        <w:tc>
          <w:tcPr>
            <w:tcW w:w="1900" w:type="dxa"/>
            <w:vAlign w:val="bottom"/>
            <w:tcBorders>
              <w:bottom w:val="single" w:sz="8" w:color="CFF0FC"/>
            </w:tcBorders>
            <w:gridSpan w:val="3"/>
          </w:tcPr>
          <w:p>
            <w:pPr>
              <w:jc w:val="right"/>
              <w:ind w:right="240"/>
              <w:spacing w:after="0"/>
              <w:rPr>
                <w:sz w:val="20"/>
                <w:szCs w:val="20"/>
                <w:color w:val="auto"/>
              </w:rPr>
            </w:pPr>
            <w:r>
              <w:rPr>
                <w:rFonts w:ascii="Arial" w:cs="Arial" w:eastAsia="Arial" w:hAnsi="Arial"/>
                <w:sz w:val="18"/>
                <w:szCs w:val="18"/>
                <w:color w:val="auto"/>
              </w:rPr>
              <w:t>51.3%</w:t>
            </w:r>
          </w:p>
        </w:tc>
        <w:tc>
          <w:tcPr>
            <w:tcW w:w="1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9.0%</w:t>
            </w:r>
          </w:p>
        </w:tc>
      </w:tr>
      <w:tr>
        <w:trPr>
          <w:trHeight w:val="217"/>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2,043,544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1,695,390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1,557,796</w:t>
            </w:r>
          </w:p>
        </w:tc>
        <w:tc>
          <w:tcPr>
            <w:tcW w:w="19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Refer to the section titled “Segment Results” that follows for further discussion of segment revenues.</w:t>
      </w:r>
    </w:p>
    <w:p>
      <w:pPr>
        <w:spacing w:after="0" w:line="3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ind w:right="280" w:firstLine="589"/>
        <w:spacing w:after="0" w:line="261" w:lineRule="auto"/>
        <w:rPr>
          <w:sz w:val="20"/>
          <w:szCs w:val="20"/>
          <w:color w:val="auto"/>
        </w:rPr>
      </w:pPr>
      <w:r>
        <w:rPr>
          <w:rFonts w:ascii="Arial" w:cs="Arial" w:eastAsia="Arial" w:hAnsi="Arial"/>
          <w:sz w:val="18"/>
          <w:szCs w:val="18"/>
          <w:color w:val="auto"/>
        </w:rPr>
        <w:t>Total operating expenses increased 19.8% for the year ended December 31, 2021 compared to the year ended December 31, 2020. Adjusting for the impact of foreign currency exchange rate fluctuations, the increase would have been 18.2%.</w:t>
      </w:r>
    </w:p>
    <w:p>
      <w:pPr>
        <w:spacing w:after="0" w:line="76" w:lineRule="exact"/>
        <w:rPr>
          <w:sz w:val="20"/>
          <w:szCs w:val="20"/>
          <w:color w:val="auto"/>
        </w:rPr>
      </w:pPr>
    </w:p>
    <w:p>
      <w:pPr>
        <w:ind w:right="380" w:firstLine="589"/>
        <w:spacing w:after="0" w:line="261" w:lineRule="auto"/>
        <w:rPr>
          <w:sz w:val="20"/>
          <w:szCs w:val="20"/>
          <w:color w:val="auto"/>
        </w:rPr>
      </w:pPr>
      <w:r>
        <w:rPr>
          <w:rFonts w:ascii="Arial" w:cs="Arial" w:eastAsia="Arial" w:hAnsi="Arial"/>
          <w:sz w:val="18"/>
          <w:szCs w:val="18"/>
          <w:color w:val="auto"/>
        </w:rPr>
        <w:t>Total operating expenses increased 1.1% for the year ended December 31, 2020 compared to the year ended December 31, 2019. Adjusting for the impact of foreign currency exchange rate fluctuations, the increase would have been 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4" w:name="page45"/>
    <w:bookmarkEnd w:id="44"/>
    <w:p>
      <w:pPr>
        <w:ind w:left="600"/>
        <w:spacing w:after="0"/>
        <w:rPr>
          <w:sz w:val="20"/>
          <w:szCs w:val="20"/>
          <w:color w:val="auto"/>
        </w:rPr>
      </w:pPr>
      <w:r>
        <w:rPr>
          <w:rFonts w:ascii="Arial" w:cs="Arial" w:eastAsia="Arial" w:hAnsi="Arial"/>
          <w:sz w:val="18"/>
          <w:szCs w:val="18"/>
          <w:color w:val="auto"/>
        </w:rPr>
        <w:t>The following table presents operating expenses by activity category for the years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7"/>
              </w:rPr>
              <w:t>% Change</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1"/>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28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000" w:type="dxa"/>
            <w:vAlign w:val="bottom"/>
          </w:tcPr>
          <w:p>
            <w:pPr>
              <w:jc w:val="right"/>
              <w:ind w:right="76"/>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2"/>
                <w:szCs w:val="12"/>
                <w:color w:val="auto"/>
              </w:rPr>
            </w:pPr>
          </w:p>
        </w:tc>
        <w:tc>
          <w:tcPr>
            <w:tcW w:w="1780" w:type="dxa"/>
            <w:vAlign w:val="bottom"/>
            <w:gridSpan w:val="3"/>
          </w:tcPr>
          <w:p>
            <w:pPr>
              <w:jc w:val="center"/>
              <w:ind w:right="56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tcPr>
          <w:p>
            <w:pPr>
              <w:jc w:val="right"/>
              <w:ind w:right="136"/>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r>
      <w:tr>
        <w:trPr>
          <w:trHeight w:val="167"/>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2021 to 2020</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2020 to 2019</w:t>
            </w:r>
          </w:p>
        </w:tc>
      </w:tr>
      <w:tr>
        <w:trPr>
          <w:trHeight w:val="151"/>
        </w:trPr>
        <w:tc>
          <w:tcPr>
            <w:tcW w:w="40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40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Cost of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358,684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291,704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294,961</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243,185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216,496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219,298</w:t>
            </w:r>
          </w:p>
        </w:tc>
        <w:tc>
          <w:tcPr>
            <w:tcW w:w="19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101,053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98,334</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147,893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114,627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110,093</w:t>
            </w:r>
          </w:p>
        </w:tc>
        <w:tc>
          <w:tcPr>
            <w:tcW w:w="19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80,592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56,941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49,410</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r>
      <w:tr>
        <w:trPr>
          <w:trHeight w:val="211"/>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equipment and leasehold</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3"/>
        </w:trPr>
        <w:tc>
          <w:tcPr>
            <w:tcW w:w="4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improvements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28,901</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29,805</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29,999</w:t>
            </w:r>
          </w:p>
        </w:tc>
        <w:tc>
          <w:tcPr>
            <w:tcW w:w="1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970,819</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810,626</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802,095</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8" w:lineRule="exact"/>
        <w:rPr>
          <w:sz w:val="20"/>
          <w:szCs w:val="20"/>
          <w:color w:val="auto"/>
        </w:rPr>
      </w:pPr>
    </w:p>
    <w:p>
      <w:pPr>
        <w:ind w:right="200" w:firstLine="589"/>
        <w:spacing w:after="0" w:line="249" w:lineRule="auto"/>
        <w:rPr>
          <w:sz w:val="20"/>
          <w:szCs w:val="20"/>
          <w:color w:val="auto"/>
        </w:rPr>
      </w:pPr>
      <w:r>
        <w:rPr>
          <w:rFonts w:ascii="Arial" w:cs="Arial" w:eastAsia="Arial" w:hAnsi="Arial"/>
          <w:sz w:val="18"/>
          <w:szCs w:val="18"/>
          <w:color w:val="auto"/>
        </w:rPr>
        <w:t>Cost of revenues increased 23.0% for the year ended December 31, 2021 compared to the year ended December 31, 2020, reflecting increases across all segments. The change was driven by increases in compensation and benefits costs, primarily relating to higher wages and salaries and incentive compensation and benefits costs, as well as higher non-compensation costs, primarily reflecting higher professional fees, information technology costs and market data costs.</w:t>
      </w:r>
    </w:p>
    <w:p>
      <w:pPr>
        <w:spacing w:after="0" w:line="8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Cost of revenues decreased 1.1% for the year ended December 31, 2020 compared to the year ended December 31, 2019. The change was driven by the absence of $7.0 million of payroll tax expense associated with the vesting of the 2016 Multi-Year PSUs recognized during the year ended December 31, 2019, partially offset by increases in other compensation and benefits costs, primarily relating to higher wages and salaries, as well as higher non-compensation costs, reflecting higher information technology costs, partially offset by lower travel and entertainment costs. Cost of revenues reflects increases across the ESG and Climate and Index reportable segments, partially offset by decreases in the Analytics and All Other – Private Assets reportable segments.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14" w:lineRule="exact"/>
        <w:rPr>
          <w:sz w:val="20"/>
          <w:szCs w:val="20"/>
          <w:color w:val="auto"/>
        </w:rPr>
      </w:pPr>
    </w:p>
    <w:p>
      <w:pPr>
        <w:jc w:val="both"/>
        <w:ind w:right="320" w:firstLine="589"/>
        <w:spacing w:after="0" w:line="252" w:lineRule="auto"/>
        <w:rPr>
          <w:sz w:val="20"/>
          <w:szCs w:val="20"/>
          <w:color w:val="auto"/>
        </w:rPr>
      </w:pPr>
      <w:r>
        <w:rPr>
          <w:rFonts w:ascii="Arial" w:cs="Arial" w:eastAsia="Arial" w:hAnsi="Arial"/>
          <w:sz w:val="18"/>
          <w:szCs w:val="18"/>
          <w:color w:val="auto"/>
        </w:rPr>
        <w:t>Selling and marketing expenses increased 12.3% for the year ended December 31, 2021 compared to the year ended December 31, 2020, reflecting increases across all segments. The change was primarily driven by increases in compensation and benefits costs, including higher incentive compensation, wages and salaries and benefits costs, partially offset by a decline in severance costs.</w:t>
      </w:r>
    </w:p>
    <w:p>
      <w:pPr>
        <w:spacing w:after="0" w:line="84"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Selling and marketing expenses decreased 1.3% for the year ended December 31, 2020 compared to the year ended December 31, 2019. The change was driven by lower non-compensation costs, including travel and entertainment costs, and the absence of $4.5 million of payroll tax expense associated with the vesting of the 2016 Multi-Year PSUs recognized during the year ended December 31, 2019, partially offset by increases in compensation and benefits costs, primarily relating to higher wages and salaries. Selling and marketing expenses reflect increases across the ESG and Climate, Analytics and All Other – Private Assets reportable segments, partially offset by a decrease in the Index reportable segment.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4" w:lineRule="exact"/>
        <w:rPr>
          <w:sz w:val="20"/>
          <w:szCs w:val="20"/>
          <w:color w:val="auto"/>
        </w:rPr>
      </w:pPr>
    </w:p>
    <w:p>
      <w:pPr>
        <w:ind w:right="240" w:firstLine="589"/>
        <w:spacing w:after="0" w:line="249" w:lineRule="auto"/>
        <w:rPr>
          <w:sz w:val="20"/>
          <w:szCs w:val="20"/>
          <w:color w:val="auto"/>
        </w:rPr>
      </w:pPr>
      <w:r>
        <w:rPr>
          <w:rFonts w:ascii="Arial" w:cs="Arial" w:eastAsia="Arial" w:hAnsi="Arial"/>
          <w:sz w:val="18"/>
          <w:szCs w:val="18"/>
          <w:color w:val="auto"/>
        </w:rPr>
        <w:t>R&amp;D expenses increased 10.4% for the year ended December 31, 2021 compared to the year ended December 31, 2020, primarily reflecting higher investment in the Index and ESG and Climate reportable segments, partially offset by lower investment in the Analytics reportable segment. The change was driven by increases in compensation and benefits costs, primarily relating to higher incentive compensation, as well as higher non-compensation costs, reflecting higher information technology costs.</w:t>
      </w:r>
    </w:p>
    <w:p>
      <w:pPr>
        <w:spacing w:after="0" w:line="87" w:lineRule="exact"/>
        <w:rPr>
          <w:sz w:val="20"/>
          <w:szCs w:val="20"/>
          <w:color w:val="auto"/>
        </w:rPr>
      </w:pPr>
    </w:p>
    <w:p>
      <w:pPr>
        <w:jc w:val="both"/>
        <w:ind w:right="420" w:firstLine="589"/>
        <w:spacing w:after="0" w:line="299" w:lineRule="auto"/>
        <w:rPr>
          <w:sz w:val="20"/>
          <w:szCs w:val="20"/>
          <w:color w:val="auto"/>
        </w:rPr>
      </w:pPr>
      <w:r>
        <w:rPr>
          <w:rFonts w:ascii="Arial" w:cs="Arial" w:eastAsia="Arial" w:hAnsi="Arial"/>
          <w:sz w:val="16"/>
          <w:szCs w:val="16"/>
          <w:color w:val="auto"/>
        </w:rPr>
        <w:t>R&amp;D expenses increased 2.8% for the year ended December 31, 2020 compared to the year ended December 31, 2019. The change was driven by increases in compensation and benefits costs, including wages and salaries and benefits costs. R&amp;D expenses reflect higher investments in the All Other – Private Assets, Index and ESG and Climate reportable segments, partially offset by lower investment in the Analytics reportable segment.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5" w:name="page46"/>
    <w:bookmarkEnd w:id="45"/>
    <w:p>
      <w:pPr>
        <w:ind w:left="3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G&amp;A expenses increased 29.0% for the year ended December 31, 2021 compared to the year ended December 31, 2020, reflecting increases across all segments. The change was driven by increases in non-compensation costs, primarily relating to impairment charges associated with right of use assets, non-recurring transaction and integration costs related to the acquisition of RCA and higher information technology costs and professional fees. The change was also driven by higher compensation and benefits costs, primarily relating to higher wages and salaries and incentive compensation.</w:t>
      </w:r>
    </w:p>
    <w:p>
      <w:pPr>
        <w:spacing w:after="0" w:line="57" w:lineRule="exact"/>
        <w:rPr>
          <w:sz w:val="20"/>
          <w:szCs w:val="20"/>
          <w:color w:val="auto"/>
        </w:rPr>
      </w:pPr>
    </w:p>
    <w:p>
      <w:pPr>
        <w:ind w:right="40" w:firstLine="589"/>
        <w:spacing w:after="0" w:line="248" w:lineRule="auto"/>
        <w:rPr>
          <w:sz w:val="20"/>
          <w:szCs w:val="20"/>
          <w:color w:val="auto"/>
        </w:rPr>
      </w:pPr>
      <w:r>
        <w:rPr>
          <w:rFonts w:ascii="Arial" w:cs="Arial" w:eastAsia="Arial" w:hAnsi="Arial"/>
          <w:sz w:val="18"/>
          <w:szCs w:val="18"/>
          <w:color w:val="auto"/>
        </w:rPr>
        <w:t>G&amp;A expenses increased 4.1% for the year ended December 31, 2020 compared to the year ended December 31, 2019. The change was driven by increases in compensation and benefits costs, primarily relating to higher incentive compensation and wages and salaries, partially offset by the absence of $3.5 million of payroll tax expense associated with the vesting of the 2016 Multi-Year PSUs recognized during the year ended December 31, 2019 and lower non-compensation costs. G&amp;A expenses reflect increases across the ESG and Climate, Analytics and Index reportable segments, partially offset by a decrease in the All Other – Private Assets reportable segment.</w:t>
      </w:r>
    </w:p>
    <w:p>
      <w:pPr>
        <w:spacing w:after="0" w:line="192" w:lineRule="exact"/>
        <w:rPr>
          <w:sz w:val="20"/>
          <w:szCs w:val="20"/>
          <w:color w:val="auto"/>
        </w:rPr>
      </w:pPr>
    </w:p>
    <w:p>
      <w:pPr>
        <w:ind w:right="300" w:firstLine="589"/>
        <w:spacing w:after="0" w:line="261" w:lineRule="auto"/>
        <w:rPr>
          <w:sz w:val="20"/>
          <w:szCs w:val="20"/>
          <w:color w:val="auto"/>
        </w:rPr>
      </w:pPr>
      <w:r>
        <w:rPr>
          <w:rFonts w:ascii="Arial" w:cs="Arial" w:eastAsia="Arial" w:hAnsi="Arial"/>
          <w:sz w:val="18"/>
          <w:szCs w:val="18"/>
          <w:color w:val="auto"/>
        </w:rPr>
        <w:t>The following table presents operating expenses using compensation and non-compensation categories, rather than using activity categories, for the years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Years Ended</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4"/>
              </w:rPr>
              <w:t>% Change</w:t>
            </w: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1"/>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7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000" w:type="dxa"/>
            <w:vAlign w:val="bottom"/>
          </w:tcPr>
          <w:p>
            <w:pPr>
              <w:jc w:val="right"/>
              <w:ind w:right="7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182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120" w:type="dxa"/>
            <w:vAlign w:val="bottom"/>
          </w:tcPr>
          <w:p>
            <w:pPr>
              <w:jc w:val="right"/>
              <w:ind w:right="157"/>
              <w:spacing w:after="0" w:line="141"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2"/>
                <w:szCs w:val="12"/>
                <w:color w:val="auto"/>
              </w:rPr>
            </w:pPr>
          </w:p>
        </w:tc>
      </w:tr>
      <w:tr>
        <w:trPr>
          <w:trHeight w:val="167"/>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2021 to 2020</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2020 to 2019</w:t>
            </w:r>
          </w:p>
        </w:tc>
      </w:tr>
      <w:tr>
        <w:trPr>
          <w:trHeight w:val="151"/>
        </w:trPr>
        <w:tc>
          <w:tcPr>
            <w:tcW w:w="4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614,950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527,641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518,730</w:t>
            </w:r>
          </w:p>
        </w:tc>
        <w:tc>
          <w:tcPr>
            <w:tcW w:w="18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Non-compensation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246,376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196,239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203,956</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24"/>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49,410</w:t>
            </w:r>
          </w:p>
        </w:tc>
        <w:tc>
          <w:tcPr>
            <w:tcW w:w="18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r>
      <w:tr>
        <w:trPr>
          <w:trHeight w:val="211"/>
        </w:trPr>
        <w:tc>
          <w:tcPr>
            <w:tcW w:w="4100" w:type="dxa"/>
            <w:vAlign w:val="bottom"/>
          </w:tcPr>
          <w:p>
            <w:pPr>
              <w:spacing w:after="0"/>
              <w:rPr>
                <w:sz w:val="20"/>
                <w:szCs w:val="20"/>
                <w:color w:val="auto"/>
              </w:rPr>
            </w:pPr>
            <w:r>
              <w:rPr>
                <w:rFonts w:ascii="Arial" w:cs="Arial" w:eastAsia="Arial" w:hAnsi="Arial"/>
                <w:sz w:val="18"/>
                <w:szCs w:val="18"/>
                <w:color w:val="auto"/>
                <w:w w:val="96"/>
              </w:rPr>
              <w:t>Depreciation and amortization of property, equipment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and leasehold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41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improvements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w:t>
            </w:r>
          </w:p>
        </w:tc>
        <w:tc>
          <w:tcPr>
            <w:tcW w:w="184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970,819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810,626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802,095</w:t>
            </w:r>
          </w:p>
        </w:tc>
        <w:tc>
          <w:tcPr>
            <w:tcW w:w="18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significant portion of the incentive compensation component of operating expenses is based on the achievement of a number of financial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operating metrics. In a scenario where operating revenue growth and profitability moderate, incentive compensation would be expected to decrease accordingly.</w:t>
      </w:r>
    </w:p>
    <w:p>
      <w:pPr>
        <w:spacing w:after="0" w:line="236" w:lineRule="exact"/>
        <w:rPr>
          <w:sz w:val="20"/>
          <w:szCs w:val="20"/>
          <w:color w:val="auto"/>
        </w:rPr>
      </w:pPr>
    </w:p>
    <w:p>
      <w:pPr>
        <w:jc w:val="both"/>
        <w:ind w:right="20" w:firstLine="589"/>
        <w:spacing w:after="0" w:line="324" w:lineRule="auto"/>
        <w:rPr>
          <w:sz w:val="20"/>
          <w:szCs w:val="20"/>
          <w:color w:val="auto"/>
        </w:rPr>
      </w:pPr>
      <w:r>
        <w:rPr>
          <w:rFonts w:ascii="Arial" w:cs="Arial" w:eastAsia="Arial" w:hAnsi="Arial"/>
          <w:sz w:val="16"/>
          <w:szCs w:val="16"/>
          <w:color w:val="auto"/>
        </w:rPr>
        <w:t>Fixed costs constitute a significant portion of the non-compensation component of operating expenses. The discretionary non-compensation component of operating expenses could, however, be reduced in the near-term in a scenario where operating revenue growth moderates.</w:t>
      </w:r>
    </w:p>
    <w:p>
      <w:pPr>
        <w:spacing w:after="0" w:line="134" w:lineRule="exact"/>
        <w:rPr>
          <w:sz w:val="20"/>
          <w:szCs w:val="20"/>
          <w:color w:val="auto"/>
        </w:rPr>
      </w:pPr>
    </w:p>
    <w:p>
      <w:pPr>
        <w:ind w:right="100" w:firstLine="589"/>
        <w:spacing w:after="0" w:line="249" w:lineRule="auto"/>
        <w:rPr>
          <w:sz w:val="20"/>
          <w:szCs w:val="20"/>
          <w:color w:val="auto"/>
        </w:rPr>
      </w:pPr>
      <w:r>
        <w:rPr>
          <w:rFonts w:ascii="Arial" w:cs="Arial" w:eastAsia="Arial" w:hAnsi="Arial"/>
          <w:sz w:val="18"/>
          <w:szCs w:val="18"/>
          <w:color w:val="auto"/>
        </w:rPr>
        <w:t>We had 4,303 employees as of December 31, 2021, compared to 3,633 employees as of December 31, 2020, reflecting a 18.4% growth in the number of employees. Continued growth of our emerging market centers around the world is an important factor in our ability to manage and control the growth of our compensation and benefits costs. As of December 31, 2021, 63.2% of our employees were located in emerging market centers compared to 64.6% as of December 31, 2020.</w:t>
      </w:r>
    </w:p>
    <w:p>
      <w:pPr>
        <w:spacing w:after="0" w:line="192" w:lineRule="exact"/>
        <w:rPr>
          <w:sz w:val="20"/>
          <w:szCs w:val="20"/>
          <w:color w:val="auto"/>
        </w:rPr>
      </w:pPr>
    </w:p>
    <w:p>
      <w:pPr>
        <w:ind w:right="280" w:firstLine="589"/>
        <w:spacing w:after="0" w:line="261" w:lineRule="auto"/>
        <w:rPr>
          <w:sz w:val="20"/>
          <w:szCs w:val="20"/>
          <w:color w:val="auto"/>
        </w:rPr>
      </w:pPr>
      <w:r>
        <w:rPr>
          <w:rFonts w:ascii="Arial" w:cs="Arial" w:eastAsia="Arial" w:hAnsi="Arial"/>
          <w:sz w:val="18"/>
          <w:szCs w:val="18"/>
          <w:color w:val="auto"/>
        </w:rPr>
        <w:t>Compensation and benefits costs increased 16.5% for the year ended December 31, 2021 compared to the year ended December 31, 2020, primarily driven by headcount growth and higher incentive compensation.</w:t>
      </w:r>
    </w:p>
    <w:p>
      <w:pPr>
        <w:spacing w:after="0" w:line="181" w:lineRule="exact"/>
        <w:rPr>
          <w:sz w:val="20"/>
          <w:szCs w:val="20"/>
          <w:color w:val="auto"/>
        </w:rPr>
      </w:pPr>
    </w:p>
    <w:p>
      <w:pPr>
        <w:ind w:right="80" w:firstLine="589"/>
        <w:spacing w:after="0" w:line="252" w:lineRule="auto"/>
        <w:rPr>
          <w:sz w:val="20"/>
          <w:szCs w:val="20"/>
          <w:color w:val="auto"/>
        </w:rPr>
      </w:pPr>
      <w:r>
        <w:rPr>
          <w:rFonts w:ascii="Arial" w:cs="Arial" w:eastAsia="Arial" w:hAnsi="Arial"/>
          <w:sz w:val="18"/>
          <w:szCs w:val="18"/>
          <w:color w:val="auto"/>
        </w:rPr>
        <w:t>Non-compensation expenses increased 25.5% for the year ended December 31, 2021 compared to the year ended December 31, 2020, primarily driven by higher information technology costs, professional fees, impairment charges associated with right of use assets, non-recurring transaction and integration costs related to the acquisition of RCA and market data costs.</w:t>
      </w:r>
    </w:p>
    <w:p>
      <w:pPr>
        <w:spacing w:after="0" w:line="189" w:lineRule="exact"/>
        <w:rPr>
          <w:sz w:val="20"/>
          <w:szCs w:val="20"/>
          <w:color w:val="auto"/>
        </w:rPr>
      </w:pPr>
    </w:p>
    <w:p>
      <w:pPr>
        <w:ind w:right="100" w:firstLine="589"/>
        <w:spacing w:after="0" w:line="249" w:lineRule="auto"/>
        <w:rPr>
          <w:sz w:val="20"/>
          <w:szCs w:val="20"/>
          <w:color w:val="auto"/>
        </w:rPr>
      </w:pPr>
      <w:r>
        <w:rPr>
          <w:rFonts w:ascii="Arial" w:cs="Arial" w:eastAsia="Arial" w:hAnsi="Arial"/>
          <w:sz w:val="18"/>
          <w:szCs w:val="18"/>
          <w:color w:val="auto"/>
        </w:rPr>
        <w:t>We had 3,633 employees as of December 31, 2020 compared to 3,396 employees as of December 31, 2019, reflecting a 7.0% growth in the number of employees. Continued growth of our emerging market centers around the world is an important factor in our ability to manage and control the growth of our compensation and benefits costs. As of December 31, 2020, 64.6% of our employees were located in emerging market centers compared to 62.9% as of December 31,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ind w:right="60" w:firstLine="589"/>
        <w:spacing w:after="0" w:line="252" w:lineRule="auto"/>
        <w:rPr>
          <w:sz w:val="20"/>
          <w:szCs w:val="20"/>
          <w:color w:val="auto"/>
        </w:rPr>
      </w:pPr>
      <w:r>
        <w:rPr>
          <w:rFonts w:ascii="Arial" w:cs="Arial" w:eastAsia="Arial" w:hAnsi="Arial"/>
          <w:sz w:val="18"/>
          <w:szCs w:val="18"/>
          <w:color w:val="auto"/>
        </w:rPr>
        <w:t>Compensation and benefits costs increased 1.7% for the year ended December 31, 2020 compared to the year ended December 31, 2019, driven by higher wages and salaries, incentive compensation and benefits costs, partially offset by the absence of $15.4 million of payroll tax expense associated with the vesting of the 2016 Multi-Year PSUs recognized during the year ended December 31, 2019.</w:t>
      </w:r>
    </w:p>
    <w:p>
      <w:pPr>
        <w:spacing w:after="0" w:line="189" w:lineRule="exact"/>
        <w:rPr>
          <w:sz w:val="20"/>
          <w:szCs w:val="20"/>
          <w:color w:val="auto"/>
        </w:rPr>
      </w:pPr>
    </w:p>
    <w:p>
      <w:pPr>
        <w:ind w:right="120" w:firstLine="589"/>
        <w:spacing w:after="0" w:line="261" w:lineRule="auto"/>
        <w:rPr>
          <w:sz w:val="20"/>
          <w:szCs w:val="20"/>
          <w:color w:val="auto"/>
        </w:rPr>
      </w:pPr>
      <w:r>
        <w:rPr>
          <w:rFonts w:ascii="Arial" w:cs="Arial" w:eastAsia="Arial" w:hAnsi="Arial"/>
          <w:sz w:val="18"/>
          <w:szCs w:val="18"/>
          <w:color w:val="auto"/>
        </w:rPr>
        <w:t>Non-compensation expenses decreased 3.8% for the year ended December 31, 2020 compared to the year ended December 31, 2019, primarily driven by lower travel and entertainment and marketing costs, partially offset by higher information technology costs.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08"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Amortization of intangible assets expense increased 41.5% for the year ended December 31, 2021 compared to the year ended December 31, 2020, primarily driven by a write-off of $16.0 million of certain internally developed capitalized software intangible assets following management’s decision to discontinue development and cease related sales activities of certain Analytics segment products and transition existing customers to other product offerings, as well as additional amortization recognized on acquired intangible assets following the acquisition of RCA.</w:t>
      </w:r>
    </w:p>
    <w:p>
      <w:pPr>
        <w:spacing w:after="0" w:line="162" w:lineRule="exact"/>
        <w:rPr>
          <w:sz w:val="20"/>
          <w:szCs w:val="20"/>
          <w:color w:val="auto"/>
        </w:rPr>
      </w:pPr>
    </w:p>
    <w:p>
      <w:pPr>
        <w:ind w:right="340" w:firstLine="589"/>
        <w:spacing w:after="0" w:line="261" w:lineRule="auto"/>
        <w:rPr>
          <w:sz w:val="20"/>
          <w:szCs w:val="20"/>
          <w:color w:val="auto"/>
        </w:rPr>
      </w:pPr>
      <w:r>
        <w:rPr>
          <w:rFonts w:ascii="Arial" w:cs="Arial" w:eastAsia="Arial" w:hAnsi="Arial"/>
          <w:sz w:val="18"/>
          <w:szCs w:val="18"/>
          <w:color w:val="auto"/>
        </w:rPr>
        <w:t>Amortization of intangible assets expense increased 15.2% for the year ended December 31, 2020 compared to the year ended December 31, 2019, primarily driven by higher amortization of internally-developed capitalized software.</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of Property, Equipment and Leasehold Improvements</w:t>
      </w:r>
    </w:p>
    <w:p>
      <w:pPr>
        <w:spacing w:after="0" w:line="108" w:lineRule="exact"/>
        <w:rPr>
          <w:sz w:val="20"/>
          <w:szCs w:val="20"/>
          <w:color w:val="auto"/>
        </w:rPr>
      </w:pPr>
    </w:p>
    <w:p>
      <w:pPr>
        <w:ind w:right="40" w:firstLine="589"/>
        <w:spacing w:after="0" w:line="252" w:lineRule="auto"/>
        <w:rPr>
          <w:sz w:val="20"/>
          <w:szCs w:val="20"/>
          <w:color w:val="auto"/>
        </w:rPr>
      </w:pPr>
      <w:r>
        <w:rPr>
          <w:rFonts w:ascii="Arial" w:cs="Arial" w:eastAsia="Arial" w:hAnsi="Arial"/>
          <w:sz w:val="18"/>
          <w:szCs w:val="18"/>
          <w:color w:val="auto"/>
        </w:rPr>
        <w:t>Depreciation and amortization of property, equipment and leasehold improvements decreased 3.0% for the year ended December 31, 2021 compared to the year ended December 31, 2020. The decrease was primarily the result of lower amortization on software and depreciation on computer and related equipment, partially offset by impairment charges on leasehold improvements.</w:t>
      </w:r>
    </w:p>
    <w:p>
      <w:pPr>
        <w:spacing w:after="0" w:line="189"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Depreciation and amortization of property, equipment and leasehold improvements for the year ended December 31, 2020 and 2019 was $29.8 million and $30.0 million, respectively.</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shows our other expense (income), net for the years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Years Ended</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4"/>
              </w:rPr>
              <w:t>% Change</w:t>
            </w: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1"/>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4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000" w:type="dxa"/>
            <w:vAlign w:val="bottom"/>
          </w:tcPr>
          <w:p>
            <w:pPr>
              <w:jc w:val="right"/>
              <w:ind w:right="78"/>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tcPr>
          <w:p>
            <w:pPr>
              <w:jc w:val="center"/>
              <w:ind w:right="5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tcPr>
          <w:p>
            <w:pPr>
              <w:jc w:val="right"/>
              <w:ind w:right="158"/>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r>
      <w:tr>
        <w:trPr>
          <w:trHeight w:val="167"/>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2021 to 2020</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2020 to 2019</w:t>
            </w:r>
          </w:p>
        </w:tc>
      </w:tr>
      <w:tr>
        <w:trPr>
          <w:trHeight w:val="151"/>
        </w:trPr>
        <w:tc>
          <w:tcPr>
            <w:tcW w:w="4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8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(5,030)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(16,403)</w:t>
            </w:r>
          </w:p>
        </w:tc>
        <w:tc>
          <w:tcPr>
            <w:tcW w:w="17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69.3%</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159,614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156,324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148,041</w:t>
            </w:r>
          </w:p>
        </w:tc>
        <w:tc>
          <w:tcPr>
            <w:tcW w:w="100" w:type="dxa"/>
            <w:vAlign w:val="bottom"/>
          </w:tcPr>
          <w:p>
            <w:pPr>
              <w:spacing w:after="0"/>
              <w:rPr>
                <w:sz w:val="19"/>
                <w:szCs w:val="19"/>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24"/>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47,245</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214,589</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198,539</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152,383</w:t>
            </w:r>
          </w:p>
        </w:tc>
        <w:tc>
          <w:tcPr>
            <w:tcW w:w="100" w:type="dxa"/>
            <w:vAlign w:val="bottom"/>
          </w:tcPr>
          <w:p>
            <w:pPr>
              <w:spacing w:after="0"/>
              <w:rPr>
                <w:sz w:val="18"/>
                <w:szCs w:val="18"/>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Other expense (income), net increased 8.1% for the year ended December 31, 2021 compared to the year ended December 31, 2020. The increase in net expenses was primarily driven by the approximately $37.3 million loss on debt extinguishment associated with the redemption of all of the $500.0 million aggregate principal amount of the 2027 Senior Notes (the “2027 Senior Notes Redemption”) and $21.8 million expense from the redemption of all of the $500.0 million aggregate principal amount of the 2026 Senior Notes (the “2026 Senior Notes Redemption”) during the year ended December 31, 2021.</w:t>
      </w:r>
    </w:p>
    <w:p>
      <w:pPr>
        <w:spacing w:after="0" w:line="162"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The loss on debt extinguishment associated with the 2027 Senior Notes Redemption included an applicable premium of approximately $33.6 million (as set forth in the indenture governing the terms of the 2027 Senior Notes) and the write-off of approximately $3.7 million of unamortized debt issuance costs associated with the 2027 Senior Notes. The loss on debt extinguishment associated with the 2026 Senior Notes Redemption included an applicable premium of approximately $18.2 million (as set forth in the indenture governing the terms of the 2026 Senior Notes) and the write-off of approximately $3.6 million of unamortized debt issuance costs associated with the 2026 Senior 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7" w:name="page48"/>
    <w:bookmarkEnd w:id="47"/>
    <w:p>
      <w:pPr>
        <w:ind w:right="60" w:firstLine="589"/>
        <w:spacing w:after="0" w:line="249" w:lineRule="auto"/>
        <w:rPr>
          <w:sz w:val="20"/>
          <w:szCs w:val="20"/>
          <w:color w:val="auto"/>
        </w:rPr>
      </w:pPr>
      <w:r>
        <w:rPr>
          <w:rFonts w:ascii="Arial" w:cs="Arial" w:eastAsia="Arial" w:hAnsi="Arial"/>
          <w:sz w:val="18"/>
          <w:szCs w:val="18"/>
          <w:color w:val="auto"/>
        </w:rPr>
        <w:t>The increase in net expenses was partially offset by the absence of the $35.0 million and $10.0 million loss on debt extinguishment associated with the redemption of all of the outstanding $800.0 million aggregate principal amount of the 2025 Senior Notes and the redemption of all of the remaining $300.0 million of the 5.250% Senior Notes due 2024 during the year ended December 31, 2020, respectively, and by a one-time gain of $7.0 million related to the gain resulting from changes in our ownership interest of Burgiss.</w:t>
      </w:r>
    </w:p>
    <w:p>
      <w:pPr>
        <w:spacing w:after="0" w:line="192" w:lineRule="exact"/>
        <w:rPr>
          <w:sz w:val="20"/>
          <w:szCs w:val="20"/>
          <w:color w:val="auto"/>
        </w:rPr>
      </w:pPr>
    </w:p>
    <w:p>
      <w:pPr>
        <w:ind w:right="160" w:firstLine="589"/>
        <w:spacing w:after="0" w:line="290" w:lineRule="auto"/>
        <w:rPr>
          <w:sz w:val="20"/>
          <w:szCs w:val="20"/>
          <w:color w:val="auto"/>
        </w:rPr>
      </w:pPr>
      <w:r>
        <w:rPr>
          <w:rFonts w:ascii="Arial" w:cs="Arial" w:eastAsia="Arial" w:hAnsi="Arial"/>
          <w:sz w:val="16"/>
          <w:szCs w:val="16"/>
          <w:color w:val="auto"/>
        </w:rPr>
        <w:t>Other expense (income), net increased 30.3% for the year ended December 31, 2020 compared to the year ended December 31, 2019. The increase in net expenses was primarily driven by the $35.0 million and $10.0 million loss on debt extinguishment associated with the redemption of all of the outstanding $800.0 million aggregate principal amount of the 2025 Senior Notes (“2025 Senior Notes Redemption”) and the redemption of all of the remaining $300.0 million of the 2024 Senior Notes (“2024 Senior Notes Redemption”), respectively.</w:t>
      </w:r>
    </w:p>
    <w:p>
      <w:pPr>
        <w:spacing w:after="0" w:line="162" w:lineRule="exact"/>
        <w:rPr>
          <w:sz w:val="20"/>
          <w:szCs w:val="20"/>
          <w:color w:val="auto"/>
        </w:rPr>
      </w:pPr>
    </w:p>
    <w:p>
      <w:pPr>
        <w:jc w:val="both"/>
        <w:ind w:right="120" w:firstLine="589"/>
        <w:spacing w:after="0" w:line="290" w:lineRule="auto"/>
        <w:rPr>
          <w:sz w:val="20"/>
          <w:szCs w:val="20"/>
          <w:color w:val="auto"/>
        </w:rPr>
      </w:pPr>
      <w:r>
        <w:rPr>
          <w:rFonts w:ascii="Arial" w:cs="Arial" w:eastAsia="Arial" w:hAnsi="Arial"/>
          <w:sz w:val="16"/>
          <w:szCs w:val="16"/>
          <w:color w:val="auto"/>
        </w:rPr>
        <w:t>The loss on debt extinguishment associated with the 2025 Senior Notes Redemption included an applicable premium of approximately $29.5 million (as defined in the indenture governing the terms of the 2025 Senior Notes) and the write-off of approximately $5.5 million of unamortized debt issuance costs. The loss on debt extinguishment associated with the 2024 Senior Notes Redemption included a redemption price of approximately $7.9 million (as set forth in the indenture governing the terms of the 2024 Senior Notes) and the write-off of approximately $2.1 million of unamortized debt issuance costs.</w:t>
      </w:r>
    </w:p>
    <w:p>
      <w:pPr>
        <w:spacing w:after="0" w:line="162"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In addition, the increase in net expenses reflects higher interest expense associated with the higher outstanding debt and lower interest income due to lower rates earned on cash balances, offset by the absence of the $16.8 million loss on extinguishment associated with the partial pre-maturity redemption of the 2024 Senior Notes recognized during the year ended December 31, 2019.</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our income tax provision and effective tax rate for the years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89"/>
              </w:rPr>
              <w:t>Years Ended</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4"/>
              </w:rPr>
              <w:t>% Change</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1"/>
        </w:trPr>
        <w:tc>
          <w:tcPr>
            <w:tcW w:w="2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281"/>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200" w:type="dxa"/>
            <w:vAlign w:val="bottom"/>
          </w:tcPr>
          <w:p>
            <w:pPr>
              <w:jc w:val="center"/>
              <w:ind w:right="264"/>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0" w:type="dxa"/>
            <w:vAlign w:val="bottom"/>
          </w:tcPr>
          <w:p>
            <w:pPr>
              <w:jc w:val="right"/>
              <w:ind w:right="81"/>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center"/>
              <w:ind w:right="5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100" w:type="dxa"/>
            <w:vAlign w:val="bottom"/>
          </w:tcPr>
          <w:p>
            <w:pPr>
              <w:jc w:val="right"/>
              <w:ind w:right="181"/>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r>
      <w:tr>
        <w:trPr>
          <w:trHeight w:val="167"/>
        </w:trPr>
        <w:tc>
          <w:tcPr>
            <w:tcW w:w="2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2021 to 2020</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2020 to 2019</w:t>
            </w:r>
          </w:p>
        </w:tc>
      </w:tr>
      <w:tr>
        <w:trPr>
          <w:trHeight w:val="151"/>
        </w:trPr>
        <w:tc>
          <w:tcPr>
            <w:tcW w:w="2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244"/>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132,153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44"/>
              <w:spacing w:after="0"/>
              <w:rPr>
                <w:sz w:val="20"/>
                <w:szCs w:val="20"/>
                <w:color w:val="auto"/>
              </w:rPr>
            </w:pPr>
            <w:r>
              <w:rPr>
                <w:rFonts w:ascii="Arial" w:cs="Arial" w:eastAsia="Arial" w:hAnsi="Arial"/>
                <w:sz w:val="18"/>
                <w:szCs w:val="18"/>
                <w:color w:val="auto"/>
              </w:rPr>
              <w:t>84,403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39,670</w:t>
            </w:r>
          </w:p>
        </w:tc>
        <w:tc>
          <w:tcPr>
            <w:tcW w:w="18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112.8%</w:t>
            </w: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ETR</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87.1%</w:t>
            </w:r>
          </w:p>
        </w:tc>
      </w:tr>
    </w:tbl>
    <w:p>
      <w:pPr>
        <w:spacing w:after="0" w:line="200" w:lineRule="exact"/>
        <w:rPr>
          <w:sz w:val="20"/>
          <w:szCs w:val="20"/>
          <w:color w:val="auto"/>
        </w:rPr>
      </w:pPr>
    </w:p>
    <w:p>
      <w:pPr>
        <w:spacing w:after="0" w:line="314" w:lineRule="exact"/>
        <w:rPr>
          <w:sz w:val="20"/>
          <w:szCs w:val="20"/>
          <w:color w:val="auto"/>
        </w:rPr>
      </w:pPr>
    </w:p>
    <w:p>
      <w:pPr>
        <w:ind w:right="140" w:firstLine="589"/>
        <w:spacing w:after="0" w:line="286" w:lineRule="auto"/>
        <w:rPr>
          <w:sz w:val="20"/>
          <w:szCs w:val="20"/>
          <w:color w:val="auto"/>
        </w:rPr>
      </w:pPr>
      <w:r>
        <w:rPr>
          <w:rFonts w:ascii="Arial" w:cs="Arial" w:eastAsia="Arial" w:hAnsi="Arial"/>
          <w:sz w:val="16"/>
          <w:szCs w:val="16"/>
          <w:color w:val="auto"/>
        </w:rPr>
        <w:t>The effective tax rate of 15.4% for the year ended December 31, 2021, reflects the impact of certain favorable discrete items totaling $28.3 million, in relation to pretax income, primarily related to $22.7 million of excess tax benefits recognized on share-based compensation vested during the period, a $5.1 million benefit related to prior year settlements, a $2.3 million benefit related to the revaluation of deferred taxes as a result of the enactment of an increase in the UK corporate tax rate and a $2.0 million benefit related to the filing of prior year refund claims, partially offset by a $3.8 million expense related to other prior year items. In addition, the effective tax rate was impacted by the level of earnings.</w:t>
      </w:r>
    </w:p>
    <w:p>
      <w:pPr>
        <w:spacing w:after="0" w:line="166" w:lineRule="exact"/>
        <w:rPr>
          <w:sz w:val="20"/>
          <w:szCs w:val="20"/>
          <w:color w:val="auto"/>
        </w:rPr>
      </w:pPr>
    </w:p>
    <w:p>
      <w:pPr>
        <w:ind w:right="60" w:firstLine="589"/>
        <w:spacing w:after="0" w:line="248" w:lineRule="auto"/>
        <w:rPr>
          <w:sz w:val="20"/>
          <w:szCs w:val="20"/>
          <w:color w:val="auto"/>
        </w:rPr>
      </w:pPr>
      <w:r>
        <w:rPr>
          <w:rFonts w:ascii="Arial" w:cs="Arial" w:eastAsia="Arial" w:hAnsi="Arial"/>
          <w:sz w:val="18"/>
          <w:szCs w:val="18"/>
          <w:color w:val="auto"/>
        </w:rPr>
        <w:t>The effective tax rate of 12.3% for the year ended December 31, 2020, reflects the impact of certain discrete items totaling $47.9 million. These discrete items primarily relate to $22.2 million of excess tax benefits recognized on the vesting of equity awards during the period and $20.8 million released during the year related to the favorable impact on prior years from final regulations clarifying certain provisions of the Tax Cuts and Jobs Act that was enacted on December 22, 2017 (“Tax Reform”). Also included in the discrete items is a $6.3 million benefit related to the revaluation of the cost of deemed repatriation of foreign earnings.</w:t>
      </w:r>
    </w:p>
    <w:p>
      <w:pPr>
        <w:spacing w:after="0" w:line="192" w:lineRule="exact"/>
        <w:rPr>
          <w:sz w:val="20"/>
          <w:szCs w:val="20"/>
          <w:color w:val="auto"/>
        </w:rPr>
      </w:pPr>
    </w:p>
    <w:p>
      <w:pPr>
        <w:ind w:right="80" w:firstLine="589"/>
        <w:spacing w:after="0" w:line="249" w:lineRule="auto"/>
        <w:rPr>
          <w:sz w:val="20"/>
          <w:szCs w:val="20"/>
          <w:color w:val="auto"/>
        </w:rPr>
      </w:pPr>
      <w:r>
        <w:rPr>
          <w:rFonts w:ascii="Arial" w:cs="Arial" w:eastAsia="Arial" w:hAnsi="Arial"/>
          <w:sz w:val="18"/>
          <w:szCs w:val="18"/>
          <w:color w:val="auto"/>
        </w:rPr>
        <w:t>The effective tax rate of 6.6% for the year ended December 31, 2019, reflects the impact of certain favorable discrete items totaling $85.7 million. These discrete items primarily relate to $66.6 million of excess tax benefits recognized upon vesting of the 2016 Multi-Year PSUs and $16.1 million of excess tax benefits on other share-based compensation recognized during the period. In addition, the effective tax rate was impacted by a beneficial geographic mix of earnings.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8" w:name="page49"/>
    <w:bookmarkEnd w:id="48"/>
    <w:p>
      <w:pPr>
        <w:ind w:left="300"/>
        <w:spacing w:after="0"/>
        <w:rPr>
          <w:sz w:val="20"/>
          <w:szCs w:val="20"/>
          <w:color w:val="auto"/>
        </w:rPr>
      </w:pPr>
      <w:r>
        <w:rPr>
          <w:rFonts w:ascii="Arial" w:cs="Arial" w:eastAsia="Arial" w:hAnsi="Arial"/>
          <w:sz w:val="18"/>
          <w:szCs w:val="18"/>
          <w:b w:val="1"/>
          <w:bCs w:val="1"/>
          <w:i w:val="1"/>
          <w:iCs w:val="1"/>
          <w:color w:val="auto"/>
        </w:rPr>
        <w:t>Net Income</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our net income for the years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9"/>
              </w:rPr>
              <w:t>Years Ended</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4"/>
              </w:rPr>
              <w:t>% Change</w:t>
            </w: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1"/>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84"/>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2"/>
                <w:szCs w:val="12"/>
                <w:color w:val="auto"/>
              </w:rPr>
            </w:pPr>
          </w:p>
        </w:tc>
        <w:tc>
          <w:tcPr>
            <w:tcW w:w="1140" w:type="dxa"/>
            <w:vAlign w:val="bottom"/>
          </w:tcPr>
          <w:p>
            <w:pPr>
              <w:jc w:val="center"/>
              <w:ind w:right="166"/>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2"/>
                <w:szCs w:val="12"/>
                <w:color w:val="auto"/>
              </w:rPr>
            </w:pPr>
          </w:p>
        </w:tc>
        <w:tc>
          <w:tcPr>
            <w:tcW w:w="1000" w:type="dxa"/>
            <w:vAlign w:val="bottom"/>
          </w:tcPr>
          <w:p>
            <w:pPr>
              <w:jc w:val="right"/>
              <w:ind w:right="84"/>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tcPr>
          <w:p>
            <w:pPr>
              <w:jc w:val="center"/>
              <w:ind w:right="5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tcPr>
          <w:p>
            <w:pPr>
              <w:jc w:val="center"/>
              <w:ind w:right="124"/>
              <w:spacing w:after="0" w:line="141"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r>
      <w:tr>
        <w:trPr>
          <w:trHeight w:val="167"/>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40" w:type="dxa"/>
            <w:vAlign w:val="bottom"/>
          </w:tcPr>
          <w:p>
            <w:pPr>
              <w:jc w:val="right"/>
              <w:ind w:right="42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00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2021 to 2020</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2020 to 2019</w:t>
            </w:r>
          </w:p>
        </w:tc>
      </w:tr>
      <w:tr>
        <w:trPr>
          <w:trHeight w:val="151"/>
        </w:trPr>
        <w:tc>
          <w:tcPr>
            <w:tcW w:w="4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66"/>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725,983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66"/>
              <w:spacing w:after="0"/>
              <w:rPr>
                <w:sz w:val="20"/>
                <w:szCs w:val="20"/>
                <w:color w:val="auto"/>
              </w:rPr>
            </w:pPr>
            <w:r>
              <w:rPr>
                <w:rFonts w:ascii="Arial" w:cs="Arial" w:eastAsia="Arial" w:hAnsi="Arial"/>
                <w:sz w:val="18"/>
                <w:szCs w:val="18"/>
                <w:color w:val="auto"/>
              </w:rPr>
              <w:t>601,822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563,648</w:t>
            </w:r>
          </w:p>
        </w:tc>
        <w:tc>
          <w:tcPr>
            <w:tcW w:w="1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08" w:lineRule="exact"/>
        <w:rPr>
          <w:sz w:val="20"/>
          <w:szCs w:val="20"/>
          <w:color w:val="auto"/>
        </w:rPr>
      </w:pPr>
    </w:p>
    <w:p>
      <w:pPr>
        <w:ind w:right="220" w:firstLine="589"/>
        <w:spacing w:after="0" w:line="261" w:lineRule="auto"/>
        <w:rPr>
          <w:sz w:val="20"/>
          <w:szCs w:val="20"/>
          <w:color w:val="auto"/>
        </w:rPr>
      </w:pPr>
      <w:r>
        <w:rPr>
          <w:rFonts w:ascii="Arial" w:cs="Arial" w:eastAsia="Arial" w:hAnsi="Arial"/>
          <w:sz w:val="18"/>
          <w:szCs w:val="18"/>
          <w:color w:val="auto"/>
        </w:rPr>
        <w:t>As a result of the factors described above, net income increased 20.6% for the year ended December 31, 2021 compared to the year ended December 31, 2020.</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a result of the factors described above, net income increased 6.8% for the year ended December 31, 2020 compared to the year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Weighted Average Shares and Common Shares Outstanding</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our weighted average shares and common shares outstanding for the years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Years Ended</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4"/>
              </w:rPr>
              <w:t>% Change</w:t>
            </w: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1"/>
        </w:trPr>
        <w:tc>
          <w:tcPr>
            <w:tcW w:w="4100" w:type="dxa"/>
            <w:vAlign w:val="bottom"/>
          </w:tcPr>
          <w:p>
            <w:pPr>
              <w:spacing w:after="0"/>
              <w:rPr>
                <w:sz w:val="12"/>
                <w:szCs w:val="12"/>
                <w:color w:val="auto"/>
              </w:rPr>
            </w:pPr>
          </w:p>
        </w:tc>
        <w:tc>
          <w:tcPr>
            <w:tcW w:w="1280" w:type="dxa"/>
            <w:vAlign w:val="bottom"/>
          </w:tcPr>
          <w:p>
            <w:pPr>
              <w:jc w:val="right"/>
              <w:ind w:right="239"/>
              <w:spacing w:after="0" w:line="141" w:lineRule="exact"/>
              <w:rPr>
                <w:sz w:val="20"/>
                <w:szCs w:val="20"/>
                <w:color w:val="auto"/>
              </w:rPr>
            </w:pPr>
            <w:r>
              <w:rPr>
                <w:rFonts w:ascii="Arial" w:cs="Arial" w:eastAsia="Arial" w:hAnsi="Arial"/>
                <w:sz w:val="14"/>
                <w:szCs w:val="14"/>
                <w:b w:val="1"/>
                <w:bCs w:val="1"/>
                <w:color w:val="auto"/>
              </w:rPr>
              <w:t>December 31,</w:t>
            </w:r>
          </w:p>
        </w:tc>
        <w:tc>
          <w:tcPr>
            <w:tcW w:w="1340" w:type="dxa"/>
            <w:vAlign w:val="bottom"/>
          </w:tcPr>
          <w:p>
            <w:pPr>
              <w:jc w:val="center"/>
              <w:ind w:right="42"/>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160" w:type="dxa"/>
            <w:vAlign w:val="bottom"/>
          </w:tcPr>
          <w:p>
            <w:pPr>
              <w:jc w:val="right"/>
              <w:ind w:right="79"/>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120" w:type="dxa"/>
            <w:vAlign w:val="bottom"/>
          </w:tcPr>
          <w:p>
            <w:pPr>
              <w:jc w:val="right"/>
              <w:ind w:right="159"/>
              <w:spacing w:after="0" w:line="141"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2"/>
                <w:szCs w:val="12"/>
                <w:color w:val="auto"/>
              </w:rPr>
            </w:pPr>
          </w:p>
        </w:tc>
      </w:tr>
      <w:tr>
        <w:trPr>
          <w:trHeight w:val="167"/>
        </w:trPr>
        <w:tc>
          <w:tcPr>
            <w:tcW w:w="4100" w:type="dxa"/>
            <w:vAlign w:val="bottom"/>
          </w:tcPr>
          <w:p>
            <w:pPr>
              <w:spacing w:after="0"/>
              <w:rPr>
                <w:sz w:val="14"/>
                <w:szCs w:val="14"/>
                <w:color w:val="auto"/>
              </w:rPr>
            </w:pPr>
          </w:p>
        </w:tc>
        <w:tc>
          <w:tcPr>
            <w:tcW w:w="12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3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2021 to 2020</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2020 to 2019</w:t>
            </w:r>
          </w:p>
        </w:tc>
      </w:tr>
      <w:tr>
        <w:trPr>
          <w:trHeight w:val="151"/>
        </w:trPr>
        <w:tc>
          <w:tcPr>
            <w:tcW w:w="410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42"/>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1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4100" w:type="dxa"/>
            <w:vAlign w:val="bottom"/>
          </w:tcPr>
          <w:p>
            <w:pPr>
              <w:ind w:left="120"/>
              <w:spacing w:after="0"/>
              <w:rPr>
                <w:sz w:val="20"/>
                <w:szCs w:val="20"/>
                <w:color w:val="auto"/>
              </w:rPr>
            </w:pPr>
            <w:r>
              <w:rPr>
                <w:rFonts w:ascii="Arial" w:cs="Arial" w:eastAsia="Arial" w:hAnsi="Arial"/>
                <w:sz w:val="18"/>
                <w:szCs w:val="18"/>
                <w:color w:val="auto"/>
              </w:rPr>
              <w:t>Basic</w:t>
            </w: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82,508</w:t>
            </w:r>
          </w:p>
        </w:tc>
        <w:tc>
          <w:tcPr>
            <w:tcW w:w="1340" w:type="dxa"/>
            <w:vAlign w:val="bottom"/>
          </w:tcPr>
          <w:p>
            <w:pPr>
              <w:jc w:val="right"/>
              <w:ind w:right="102"/>
              <w:spacing w:after="0"/>
              <w:rPr>
                <w:sz w:val="20"/>
                <w:szCs w:val="20"/>
                <w:color w:val="auto"/>
              </w:rPr>
            </w:pPr>
            <w:r>
              <w:rPr>
                <w:rFonts w:ascii="Arial" w:cs="Arial" w:eastAsia="Arial" w:hAnsi="Arial"/>
                <w:sz w:val="18"/>
                <w:szCs w:val="18"/>
                <w:color w:val="auto"/>
              </w:rPr>
              <w:t>83,716</w:t>
            </w:r>
          </w:p>
        </w:tc>
        <w:tc>
          <w:tcPr>
            <w:tcW w:w="1160" w:type="dxa"/>
            <w:vAlign w:val="bottom"/>
          </w:tcPr>
          <w:p>
            <w:pPr>
              <w:jc w:val="right"/>
              <w:spacing w:after="0"/>
              <w:rPr>
                <w:sz w:val="20"/>
                <w:szCs w:val="20"/>
                <w:color w:val="auto"/>
              </w:rPr>
            </w:pPr>
            <w:r>
              <w:rPr>
                <w:rFonts w:ascii="Arial" w:cs="Arial" w:eastAsia="Arial" w:hAnsi="Arial"/>
                <w:sz w:val="18"/>
                <w:szCs w:val="18"/>
                <w:color w:val="auto"/>
              </w:rPr>
              <w:t>84,644</w:t>
            </w:r>
          </w:p>
        </w:tc>
        <w:tc>
          <w:tcPr>
            <w:tcW w:w="100" w:type="dxa"/>
            <w:vAlign w:val="bottom"/>
          </w:tcPr>
          <w:p>
            <w:pPr>
              <w:spacing w:after="0"/>
              <w:rPr>
                <w:sz w:val="19"/>
                <w:szCs w:val="19"/>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4"/>
        </w:trPr>
        <w:tc>
          <w:tcPr>
            <w:tcW w:w="4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83,479</w:t>
            </w:r>
          </w:p>
        </w:tc>
        <w:tc>
          <w:tcPr>
            <w:tcW w:w="134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84,517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85,536</w:t>
            </w:r>
          </w:p>
        </w:tc>
        <w:tc>
          <w:tcPr>
            <w:tcW w:w="1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23"/>
        </w:trPr>
        <w:tc>
          <w:tcPr>
            <w:tcW w:w="4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w:t>
            </w: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82,439</w:t>
            </w:r>
          </w:p>
        </w:tc>
        <w:tc>
          <w:tcPr>
            <w:tcW w:w="134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82,573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84,795</w:t>
            </w:r>
          </w:p>
        </w:tc>
        <w:tc>
          <w:tcPr>
            <w:tcW w:w="1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93" w:lineRule="exact"/>
        <w:rPr>
          <w:sz w:val="20"/>
          <w:szCs w:val="20"/>
          <w:color w:val="auto"/>
        </w:rPr>
      </w:pPr>
    </w:p>
    <w:p>
      <w:pPr>
        <w:ind w:right="60" w:firstLine="589"/>
        <w:spacing w:after="0" w:line="261" w:lineRule="auto"/>
        <w:rPr>
          <w:sz w:val="20"/>
          <w:szCs w:val="20"/>
          <w:color w:val="auto"/>
        </w:rPr>
      </w:pPr>
      <w:r>
        <w:rPr>
          <w:rFonts w:ascii="Arial" w:cs="Arial" w:eastAsia="Arial" w:hAnsi="Arial"/>
          <w:sz w:val="18"/>
          <w:szCs w:val="18"/>
          <w:color w:val="auto"/>
        </w:rPr>
        <w:t>The decrease in weighted average shares and common shares outstanding primarily reflects the impact of share repurchases made pursuant to the stock repurchase program.</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calculation of the non-GAAP Adjusted EBITDA measure for the years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Years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4"/>
              </w:rPr>
              <w:t>% Change</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4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7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2"/>
                <w:szCs w:val="12"/>
                <w:color w:val="auto"/>
              </w:rPr>
            </w:pPr>
          </w:p>
        </w:tc>
        <w:tc>
          <w:tcPr>
            <w:tcW w:w="1760" w:type="dxa"/>
            <w:vAlign w:val="bottom"/>
            <w:gridSpan w:val="3"/>
          </w:tcPr>
          <w:p>
            <w:pPr>
              <w:jc w:val="center"/>
              <w:ind w:right="5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100" w:type="dxa"/>
            <w:vAlign w:val="bottom"/>
          </w:tcPr>
          <w:p>
            <w:pPr>
              <w:jc w:val="right"/>
              <w:ind w:right="179"/>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7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2021 to 2020</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2020 to 2019</w:t>
            </w:r>
          </w:p>
        </w:tc>
        <w:tc>
          <w:tcPr>
            <w:tcW w:w="0" w:type="dxa"/>
            <w:vAlign w:val="bottom"/>
          </w:tcPr>
          <w:p>
            <w:pPr>
              <w:spacing w:after="0"/>
              <w:rPr>
                <w:sz w:val="1"/>
                <w:szCs w:val="1"/>
                <w:color w:val="auto"/>
              </w:rPr>
            </w:pPr>
          </w:p>
        </w:tc>
      </w:tr>
      <w:tr>
        <w:trPr>
          <w:trHeight w:val="151"/>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2,043,544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1,695,390</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1,557,796</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 expenses</w:t>
            </w: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846,754</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723,880</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707,297</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1,196,790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971,510</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850,499</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Adjusted EBITDA margin %</w:t>
            </w: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58.6%</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54.6%</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 %</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48.5%</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400" w:firstLine="589"/>
        <w:spacing w:after="0" w:line="261" w:lineRule="auto"/>
        <w:rPr>
          <w:sz w:val="20"/>
          <w:szCs w:val="20"/>
          <w:color w:val="auto"/>
        </w:rPr>
      </w:pPr>
      <w:r>
        <w:rPr>
          <w:rFonts w:ascii="Arial" w:cs="Arial" w:eastAsia="Arial" w:hAnsi="Arial"/>
          <w:sz w:val="18"/>
          <w:szCs w:val="18"/>
          <w:color w:val="auto"/>
        </w:rPr>
        <w:t>The increase in Adjusted EBITDA and Adjusted EBITDA margin reflects a higher rate of growth in operating revenues as compared to the rate of growth of Adjusted EBITDA expenses, driven by the factors previously described.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2"/>
        </w:trPr>
        <w:tc>
          <w:tcPr>
            <w:tcW w:w="8140" w:type="dxa"/>
            <w:vAlign w:val="bottom"/>
            <w:gridSpan w:val="12"/>
          </w:tcPr>
          <w:p>
            <w:pPr>
              <w:jc w:val="center"/>
              <w:ind w:left="168"/>
              <w:spacing w:after="0"/>
              <w:rPr>
                <w:sz w:val="20"/>
                <w:szCs w:val="20"/>
                <w:color w:val="auto"/>
              </w:rPr>
            </w:pPr>
            <w:r>
              <w:rPr>
                <w:rFonts w:ascii="Arial" w:cs="Arial" w:eastAsia="Arial" w:hAnsi="Arial"/>
                <w:sz w:val="18"/>
                <w:szCs w:val="18"/>
                <w:b w:val="1"/>
                <w:bCs w:val="1"/>
                <w:i w:val="1"/>
                <w:iCs w:val="1"/>
                <w:color w:val="auto"/>
                <w:w w:val="86"/>
              </w:rPr>
              <w:t>Reconciliation of Adjusted EBITDA to Net Income and Adjusted EBITDA Expenses to Operating Expenses</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5"/>
        </w:trPr>
        <w:tc>
          <w:tcPr>
            <w:tcW w:w="8140" w:type="dxa"/>
            <w:vAlign w:val="bottom"/>
            <w:gridSpan w:val="12"/>
          </w:tcPr>
          <w:p>
            <w:pPr>
              <w:ind w:left="600"/>
              <w:spacing w:after="0"/>
              <w:rPr>
                <w:sz w:val="20"/>
                <w:szCs w:val="20"/>
                <w:color w:val="auto"/>
              </w:rPr>
            </w:pPr>
            <w:r>
              <w:rPr>
                <w:rFonts w:ascii="Arial" w:cs="Arial" w:eastAsia="Arial" w:hAnsi="Arial"/>
                <w:sz w:val="18"/>
                <w:szCs w:val="18"/>
                <w:color w:val="auto"/>
                <w:w w:val="90"/>
              </w:rPr>
              <w:t>The following table presents the reconciliation of Adjusted EBITDA to net income for the years indicated:</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9"/>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Years Ended</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4"/>
              </w:rPr>
              <w:t>% Change</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1"/>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9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800" w:type="dxa"/>
            <w:vAlign w:val="bottom"/>
            <w:gridSpan w:val="3"/>
          </w:tcPr>
          <w:p>
            <w:pPr>
              <w:ind w:left="240"/>
              <w:spacing w:after="0" w:line="141" w:lineRule="exact"/>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19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r>
      <w:tr>
        <w:trPr>
          <w:trHeight w:val="167"/>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800" w:type="dxa"/>
            <w:vAlign w:val="bottom"/>
            <w:gridSpan w:val="3"/>
          </w:tcPr>
          <w:p>
            <w:pPr>
              <w:ind w:left="280"/>
              <w:spacing w:after="0"/>
              <w:rPr>
                <w:sz w:val="20"/>
                <w:szCs w:val="20"/>
                <w:color w:val="auto"/>
              </w:rPr>
            </w:pPr>
            <w:r>
              <w:rPr>
                <w:rFonts w:ascii="Arial" w:cs="Arial" w:eastAsia="Arial" w:hAnsi="Arial"/>
                <w:sz w:val="14"/>
                <w:szCs w:val="14"/>
                <w:b w:val="1"/>
                <w:bCs w:val="1"/>
                <w:color w:val="auto"/>
              </w:rPr>
              <w:t>2021 to 2020</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2020 to 2019</w:t>
            </w:r>
          </w:p>
        </w:tc>
      </w:tr>
      <w:tr>
        <w:trPr>
          <w:trHeight w:val="151"/>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8"/>
        </w:trPr>
        <w:tc>
          <w:tcPr>
            <w:tcW w:w="4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Index Adjusted EBITDA</w:t>
            </w:r>
          </w:p>
        </w:tc>
        <w:tc>
          <w:tcPr>
            <w:tcW w:w="260" w:type="dxa"/>
            <w:vAlign w:val="bottom"/>
            <w:gridSpan w:val="2"/>
            <w:shd w:val="clear" w:color="auto" w:fill="CFF0FC"/>
          </w:tcPr>
          <w:p>
            <w:pPr>
              <w:jc w:val="center"/>
              <w:ind w:left="50"/>
              <w:spacing w:after="0" w:line="158"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951,312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766,493</w:t>
            </w:r>
          </w:p>
        </w:tc>
        <w:tc>
          <w:tcPr>
            <w:tcW w:w="22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ind w:right="15"/>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670,188</w:t>
            </w:r>
          </w:p>
        </w:tc>
        <w:tc>
          <w:tcPr>
            <w:tcW w:w="20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24.1%</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14.4%</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Analytics Adjusted EBITDA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198,799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172,924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152,113</w:t>
            </w:r>
          </w:p>
        </w:tc>
        <w:tc>
          <w:tcPr>
            <w:tcW w:w="200" w:type="dxa"/>
            <w:vAlign w:val="bottom"/>
          </w:tcPr>
          <w:p>
            <w:pPr>
              <w:spacing w:after="0"/>
              <w:rPr>
                <w:sz w:val="13"/>
                <w:szCs w:val="13"/>
                <w:color w:val="auto"/>
              </w:rPr>
            </w:pPr>
          </w:p>
        </w:tc>
        <w:tc>
          <w:tcPr>
            <w:tcW w:w="1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15.0%</w:t>
            </w:r>
          </w:p>
        </w:tc>
        <w:tc>
          <w:tcPr>
            <w:tcW w:w="200" w:type="dxa"/>
            <w:vAlign w:val="bottom"/>
          </w:tcPr>
          <w:p>
            <w:pPr>
              <w:spacing w:after="0"/>
              <w:rPr>
                <w:sz w:val="13"/>
                <w:szCs w:val="13"/>
                <w:color w:val="auto"/>
              </w:rPr>
            </w:pPr>
          </w:p>
        </w:tc>
        <w:tc>
          <w:tcPr>
            <w:tcW w:w="13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13.7%</w:t>
            </w:r>
          </w:p>
        </w:tc>
      </w:tr>
      <w:tr>
        <w:trPr>
          <w:trHeight w:val="158"/>
        </w:trPr>
        <w:tc>
          <w:tcPr>
            <w:tcW w:w="4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ESG and Climate Adjusted EBITDA</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29,748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22,851</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21,813</w:t>
            </w:r>
          </w:p>
        </w:tc>
        <w:tc>
          <w:tcPr>
            <w:tcW w:w="20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30.2%</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4.8%</w:t>
            </w:r>
          </w:p>
        </w:tc>
      </w:tr>
      <w:tr>
        <w:trPr>
          <w:trHeight w:val="158"/>
        </w:trPr>
        <w:tc>
          <w:tcPr>
            <w:tcW w:w="4000" w:type="dxa"/>
            <w:vAlign w:val="bottom"/>
            <w:tcBorders>
              <w:bottom w:val="single" w:sz="8" w:color="CFF0FC"/>
            </w:tcBorders>
          </w:tcPr>
          <w:p>
            <w:pPr>
              <w:spacing w:after="0" w:line="158" w:lineRule="exact"/>
              <w:rPr>
                <w:sz w:val="20"/>
                <w:szCs w:val="20"/>
                <w:color w:val="auto"/>
              </w:rPr>
            </w:pPr>
            <w:r>
              <w:rPr>
                <w:rFonts w:ascii="Arial" w:cs="Arial" w:eastAsia="Arial" w:hAnsi="Arial"/>
                <w:sz w:val="14"/>
                <w:szCs w:val="14"/>
                <w:color w:val="auto"/>
              </w:rPr>
              <w:t>All Other - Private Assets Adjusted EBITDA</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16,931</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9,242</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6,385</w:t>
            </w:r>
          </w:p>
        </w:tc>
        <w:tc>
          <w:tcPr>
            <w:tcW w:w="20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gridSpan w:val="2"/>
          </w:tcPr>
          <w:p>
            <w:pPr>
              <w:jc w:val="right"/>
              <w:ind w:right="160"/>
              <w:spacing w:after="0" w:line="158" w:lineRule="exact"/>
              <w:rPr>
                <w:sz w:val="20"/>
                <w:szCs w:val="20"/>
                <w:color w:val="auto"/>
              </w:rPr>
            </w:pPr>
            <w:r>
              <w:rPr>
                <w:rFonts w:ascii="Arial" w:cs="Arial" w:eastAsia="Arial" w:hAnsi="Arial"/>
                <w:sz w:val="14"/>
                <w:szCs w:val="14"/>
                <w:color w:val="auto"/>
              </w:rPr>
              <w:t>83.2%</w:t>
            </w:r>
          </w:p>
        </w:tc>
        <w:tc>
          <w:tcPr>
            <w:tcW w:w="20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gridSpan w:val="2"/>
          </w:tcPr>
          <w:p>
            <w:pPr>
              <w:jc w:val="right"/>
              <w:ind w:right="60"/>
              <w:spacing w:after="0" w:line="158" w:lineRule="exact"/>
              <w:rPr>
                <w:sz w:val="20"/>
                <w:szCs w:val="20"/>
                <w:color w:val="auto"/>
              </w:rPr>
            </w:pPr>
            <w:r>
              <w:rPr>
                <w:rFonts w:ascii="Arial" w:cs="Arial" w:eastAsia="Arial" w:hAnsi="Arial"/>
                <w:sz w:val="14"/>
                <w:szCs w:val="14"/>
                <w:color w:val="auto"/>
              </w:rPr>
              <w:t>44.7%</w:t>
            </w:r>
          </w:p>
        </w:tc>
      </w:tr>
      <w:tr>
        <w:trPr>
          <w:trHeight w:val="151"/>
        </w:trPr>
        <w:tc>
          <w:tcPr>
            <w:tcW w:w="400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Consolidated Adjusted EBITDA</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1,196,790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971,510</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850,499</w:t>
            </w:r>
          </w:p>
        </w:tc>
        <w:tc>
          <w:tcPr>
            <w:tcW w:w="20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60"/>
              <w:spacing w:after="0" w:line="151" w:lineRule="exact"/>
              <w:rPr>
                <w:sz w:val="20"/>
                <w:szCs w:val="20"/>
                <w:color w:val="auto"/>
              </w:rPr>
            </w:pPr>
            <w:r>
              <w:rPr>
                <w:rFonts w:ascii="Arial" w:cs="Arial" w:eastAsia="Arial" w:hAnsi="Arial"/>
                <w:sz w:val="14"/>
                <w:szCs w:val="14"/>
                <w:color w:val="auto"/>
              </w:rPr>
              <w:t>23.2%</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color w:val="auto"/>
              </w:rPr>
              <w:t>14.2%</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80,592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56,941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49,410</w:t>
            </w:r>
          </w:p>
        </w:tc>
        <w:tc>
          <w:tcPr>
            <w:tcW w:w="200" w:type="dxa"/>
            <w:vAlign w:val="bottom"/>
          </w:tcPr>
          <w:p>
            <w:pPr>
              <w:spacing w:after="0"/>
              <w:rPr>
                <w:sz w:val="13"/>
                <w:szCs w:val="13"/>
                <w:color w:val="auto"/>
              </w:rPr>
            </w:pPr>
          </w:p>
        </w:tc>
        <w:tc>
          <w:tcPr>
            <w:tcW w:w="1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41.5%</w:t>
            </w:r>
          </w:p>
        </w:tc>
        <w:tc>
          <w:tcPr>
            <w:tcW w:w="200" w:type="dxa"/>
            <w:vAlign w:val="bottom"/>
          </w:tcPr>
          <w:p>
            <w:pPr>
              <w:spacing w:after="0"/>
              <w:rPr>
                <w:sz w:val="13"/>
                <w:szCs w:val="13"/>
                <w:color w:val="auto"/>
              </w:rPr>
            </w:pPr>
          </w:p>
        </w:tc>
        <w:tc>
          <w:tcPr>
            <w:tcW w:w="13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15.2%</w:t>
            </w:r>
          </w:p>
        </w:tc>
      </w:tr>
      <w:tr>
        <w:trPr>
          <w:trHeight w:val="139"/>
        </w:trPr>
        <w:tc>
          <w:tcPr>
            <w:tcW w:w="4000" w:type="dxa"/>
            <w:vAlign w:val="bottom"/>
            <w:shd w:val="clear" w:color="auto" w:fill="CFF0FC"/>
          </w:tcPr>
          <w:p>
            <w:pPr>
              <w:spacing w:after="0" w:line="139" w:lineRule="exact"/>
              <w:rPr>
                <w:sz w:val="20"/>
                <w:szCs w:val="20"/>
                <w:color w:val="auto"/>
              </w:rPr>
            </w:pPr>
            <w:r>
              <w:rPr>
                <w:rFonts w:ascii="Arial" w:cs="Arial" w:eastAsia="Arial" w:hAnsi="Arial"/>
                <w:sz w:val="14"/>
                <w:szCs w:val="14"/>
                <w:color w:val="auto"/>
                <w:w w:val="94"/>
              </w:rPr>
              <w:t>Depreciation and amortization of property, equipment and leasehold</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63"/>
        </w:trPr>
        <w:tc>
          <w:tcPr>
            <w:tcW w:w="40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improvements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28,901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29,805</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29,999</w:t>
            </w:r>
          </w:p>
        </w:tc>
        <w:tc>
          <w:tcPr>
            <w:tcW w:w="20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(0.6%)</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Impairment related to sublease of leased property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7,702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0" w:type="dxa"/>
            <w:vAlign w:val="bottom"/>
            <w:gridSpan w:val="3"/>
          </w:tcPr>
          <w:p>
            <w:pPr>
              <w:ind w:left="1140"/>
              <w:spacing w:after="0" w:line="158" w:lineRule="exact"/>
              <w:rPr>
                <w:sz w:val="20"/>
                <w:szCs w:val="20"/>
                <w:color w:val="auto"/>
              </w:rPr>
            </w:pPr>
            <w:r>
              <w:rPr>
                <w:rFonts w:ascii="Arial" w:cs="Arial" w:eastAsia="Arial" w:hAnsi="Arial"/>
                <w:sz w:val="14"/>
                <w:szCs w:val="14"/>
                <w:color w:val="auto"/>
              </w:rPr>
              <w:t>n/a</w:t>
            </w:r>
          </w:p>
        </w:tc>
        <w:tc>
          <w:tcPr>
            <w:tcW w:w="13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n/a</w:t>
            </w:r>
          </w:p>
        </w:tc>
      </w:tr>
      <w:tr>
        <w:trPr>
          <w:trHeight w:val="139"/>
        </w:trPr>
        <w:tc>
          <w:tcPr>
            <w:tcW w:w="4000" w:type="dxa"/>
            <w:vAlign w:val="bottom"/>
            <w:shd w:val="clear" w:color="auto" w:fill="CFF0FC"/>
          </w:tcPr>
          <w:p>
            <w:pPr>
              <w:spacing w:after="0" w:line="139" w:lineRule="exact"/>
              <w:rPr>
                <w:sz w:val="20"/>
                <w:szCs w:val="20"/>
                <w:color w:val="auto"/>
              </w:rPr>
            </w:pPr>
            <w:r>
              <w:rPr>
                <w:rFonts w:ascii="Arial" w:cs="Arial" w:eastAsia="Arial" w:hAnsi="Arial"/>
                <w:sz w:val="14"/>
                <w:szCs w:val="14"/>
                <w:color w:val="auto"/>
              </w:rPr>
              <w:t>Acquisition-related integration and</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63"/>
        </w:trPr>
        <w:tc>
          <w:tcPr>
            <w:tcW w:w="4000" w:type="dxa"/>
            <w:vAlign w:val="bottom"/>
            <w:shd w:val="clear" w:color="auto" w:fill="CFF0FC"/>
          </w:tcPr>
          <w:p>
            <w:pPr>
              <w:ind w:left="80"/>
              <w:spacing w:after="0"/>
              <w:rPr>
                <w:sz w:val="20"/>
                <w:szCs w:val="20"/>
                <w:color w:val="auto"/>
              </w:rPr>
            </w:pPr>
            <w:r>
              <w:rPr>
                <w:rFonts w:ascii="Arial" w:cs="Arial" w:eastAsia="Arial" w:hAnsi="Arial"/>
                <w:sz w:val="14"/>
                <w:szCs w:val="14"/>
                <w:color w:val="auto"/>
              </w:rPr>
              <w:t xml:space="preserve">transaction costs </w:t>
            </w:r>
            <w:r>
              <w:rPr>
                <w:rFonts w:ascii="Arial" w:cs="Arial" w:eastAsia="Arial" w:hAnsi="Arial"/>
                <w:sz w:val="11"/>
                <w:szCs w:val="11"/>
                <w:color w:val="auto"/>
              </w:rPr>
              <w:t>(1)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3"/>
            <w:shd w:val="clear" w:color="auto" w:fill="CFF0FC"/>
          </w:tcPr>
          <w:p>
            <w:pPr>
              <w:ind w:left="1140"/>
              <w:spacing w:after="0"/>
              <w:rPr>
                <w:sz w:val="20"/>
                <w:szCs w:val="20"/>
                <w:color w:val="auto"/>
              </w:rPr>
            </w:pPr>
            <w:r>
              <w:rPr>
                <w:rFonts w:ascii="Arial" w:cs="Arial" w:eastAsia="Arial" w:hAnsi="Arial"/>
                <w:sz w:val="14"/>
                <w:szCs w:val="14"/>
                <w:color w:val="auto"/>
              </w:rPr>
              <w:t>n/a</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n/a</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2016 Multi-Year PSUs grant payroll tax expense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15,389</w:t>
            </w:r>
          </w:p>
        </w:tc>
        <w:tc>
          <w:tcPr>
            <w:tcW w:w="200" w:type="dxa"/>
            <w:vAlign w:val="bottom"/>
          </w:tcPr>
          <w:p>
            <w:pPr>
              <w:spacing w:after="0"/>
              <w:rPr>
                <w:sz w:val="13"/>
                <w:szCs w:val="13"/>
                <w:color w:val="auto"/>
              </w:rPr>
            </w:pPr>
          </w:p>
        </w:tc>
        <w:tc>
          <w:tcPr>
            <w:tcW w:w="1800" w:type="dxa"/>
            <w:vAlign w:val="bottom"/>
            <w:gridSpan w:val="3"/>
          </w:tcPr>
          <w:p>
            <w:pPr>
              <w:ind w:left="1140"/>
              <w:spacing w:after="0" w:line="158" w:lineRule="exact"/>
              <w:rPr>
                <w:sz w:val="20"/>
                <w:szCs w:val="20"/>
                <w:color w:val="auto"/>
              </w:rPr>
            </w:pPr>
            <w:r>
              <w:rPr>
                <w:rFonts w:ascii="Arial" w:cs="Arial" w:eastAsia="Arial" w:hAnsi="Arial"/>
                <w:sz w:val="14"/>
                <w:szCs w:val="14"/>
                <w:color w:val="auto"/>
              </w:rPr>
              <w:t>n/a</w:t>
            </w:r>
          </w:p>
        </w:tc>
        <w:tc>
          <w:tcPr>
            <w:tcW w:w="13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(100.0%)</w:t>
            </w:r>
          </w:p>
        </w:tc>
      </w:tr>
      <w:tr>
        <w:trPr>
          <w:trHeight w:val="151"/>
        </w:trPr>
        <w:tc>
          <w:tcPr>
            <w:tcW w:w="400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Operating income</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1,072,725</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884,764</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755,701</w:t>
            </w:r>
          </w:p>
        </w:tc>
        <w:tc>
          <w:tcPr>
            <w:tcW w:w="200" w:type="dxa"/>
            <w:vAlign w:val="bottom"/>
            <w:tcBorders>
              <w:top w:val="single" w:sz="8" w:color="CFF0FC"/>
            </w:tcBorders>
            <w:shd w:val="clear" w:color="auto" w:fill="CFF0FC"/>
          </w:tcPr>
          <w:p>
            <w:pPr>
              <w:spacing w:after="0"/>
              <w:rPr>
                <w:sz w:val="13"/>
                <w:szCs w:val="13"/>
                <w:color w:val="auto"/>
              </w:rPr>
            </w:pPr>
          </w:p>
        </w:tc>
        <w:tc>
          <w:tcPr>
            <w:tcW w:w="1600" w:type="dxa"/>
            <w:vAlign w:val="bottom"/>
            <w:tcBorders>
              <w:top w:val="single" w:sz="8" w:color="CFF0FC"/>
            </w:tcBorders>
            <w:gridSpan w:val="2"/>
            <w:shd w:val="clear" w:color="auto" w:fill="CFF0FC"/>
          </w:tcPr>
          <w:p>
            <w:pPr>
              <w:jc w:val="right"/>
              <w:ind w:right="160"/>
              <w:spacing w:after="0" w:line="151" w:lineRule="exact"/>
              <w:rPr>
                <w:sz w:val="20"/>
                <w:szCs w:val="20"/>
                <w:color w:val="auto"/>
              </w:rPr>
            </w:pPr>
            <w:r>
              <w:rPr>
                <w:rFonts w:ascii="Arial" w:cs="Arial" w:eastAsia="Arial" w:hAnsi="Arial"/>
                <w:sz w:val="14"/>
                <w:szCs w:val="14"/>
                <w:color w:val="auto"/>
              </w:rPr>
              <w:t>21.2%</w:t>
            </w:r>
          </w:p>
        </w:tc>
        <w:tc>
          <w:tcPr>
            <w:tcW w:w="200" w:type="dxa"/>
            <w:vAlign w:val="bottom"/>
            <w:tcBorders>
              <w:top w:val="single" w:sz="8" w:color="CFF0FC"/>
            </w:tcBorders>
            <w:shd w:val="clear" w:color="auto" w:fill="CFF0FC"/>
          </w:tcPr>
          <w:p>
            <w:pPr>
              <w:spacing w:after="0"/>
              <w:rPr>
                <w:sz w:val="13"/>
                <w:szCs w:val="13"/>
                <w:color w:val="auto"/>
              </w:rPr>
            </w:pPr>
          </w:p>
        </w:tc>
        <w:tc>
          <w:tcPr>
            <w:tcW w:w="1300" w:type="dxa"/>
            <w:vAlign w:val="bottom"/>
            <w:tcBorders>
              <w:top w:val="single" w:sz="8" w:color="CFF0FC"/>
            </w:tcBorders>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color w:val="auto"/>
              </w:rPr>
              <w:t>17.1%</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Other expense (income), net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214,589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198,539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152,383</w:t>
            </w:r>
          </w:p>
        </w:tc>
        <w:tc>
          <w:tcPr>
            <w:tcW w:w="200" w:type="dxa"/>
            <w:vAlign w:val="bottom"/>
          </w:tcPr>
          <w:p>
            <w:pPr>
              <w:spacing w:after="0"/>
              <w:rPr>
                <w:sz w:val="13"/>
                <w:szCs w:val="13"/>
                <w:color w:val="auto"/>
              </w:rPr>
            </w:pPr>
          </w:p>
        </w:tc>
        <w:tc>
          <w:tcPr>
            <w:tcW w:w="1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8.1%</w:t>
            </w:r>
          </w:p>
        </w:tc>
        <w:tc>
          <w:tcPr>
            <w:tcW w:w="200" w:type="dxa"/>
            <w:vAlign w:val="bottom"/>
          </w:tcPr>
          <w:p>
            <w:pPr>
              <w:spacing w:after="0"/>
              <w:rPr>
                <w:sz w:val="13"/>
                <w:szCs w:val="13"/>
                <w:color w:val="auto"/>
              </w:rPr>
            </w:pPr>
          </w:p>
        </w:tc>
        <w:tc>
          <w:tcPr>
            <w:tcW w:w="13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30.3%</w:t>
            </w:r>
          </w:p>
        </w:tc>
      </w:tr>
      <w:tr>
        <w:trPr>
          <w:trHeight w:val="158"/>
        </w:trPr>
        <w:tc>
          <w:tcPr>
            <w:tcW w:w="4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Provision for income taxes</w:t>
            </w:r>
          </w:p>
        </w:tc>
        <w:tc>
          <w:tcPr>
            <w:tcW w:w="1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132,153</w:t>
            </w: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84,403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39,670</w:t>
            </w:r>
          </w:p>
        </w:tc>
        <w:tc>
          <w:tcPr>
            <w:tcW w:w="20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56.6%</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112.8%</w:t>
            </w:r>
          </w:p>
        </w:tc>
      </w:tr>
      <w:tr>
        <w:trPr>
          <w:trHeight w:val="151"/>
        </w:trPr>
        <w:tc>
          <w:tcPr>
            <w:tcW w:w="4000" w:type="dxa"/>
            <w:vAlign w:val="bottom"/>
          </w:tcPr>
          <w:p>
            <w:pPr>
              <w:spacing w:after="0" w:line="151" w:lineRule="exact"/>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725,983</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601,822</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10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563,648</w:t>
            </w:r>
          </w:p>
        </w:tc>
        <w:tc>
          <w:tcPr>
            <w:tcW w:w="200" w:type="dxa"/>
            <w:vAlign w:val="bottom"/>
          </w:tcPr>
          <w:p>
            <w:pPr>
              <w:spacing w:after="0"/>
              <w:rPr>
                <w:sz w:val="13"/>
                <w:szCs w:val="13"/>
                <w:color w:val="auto"/>
              </w:rPr>
            </w:pPr>
          </w:p>
        </w:tc>
        <w:tc>
          <w:tcPr>
            <w:tcW w:w="160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20.6%</w:t>
            </w:r>
          </w:p>
        </w:tc>
        <w:tc>
          <w:tcPr>
            <w:tcW w:w="200" w:type="dxa"/>
            <w:vAlign w:val="bottom"/>
          </w:tcPr>
          <w:p>
            <w:pPr>
              <w:spacing w:after="0"/>
              <w:rPr>
                <w:sz w:val="13"/>
                <w:szCs w:val="13"/>
                <w:color w:val="auto"/>
              </w:rPr>
            </w:pPr>
          </w:p>
        </w:tc>
        <w:tc>
          <w:tcPr>
            <w:tcW w:w="130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6.8%</w:t>
            </w: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6" w:lineRule="exact"/>
        <w:rPr>
          <w:sz w:val="20"/>
          <w:szCs w:val="20"/>
          <w:color w:val="auto"/>
        </w:rPr>
      </w:pPr>
    </w:p>
    <w:p>
      <w:pPr>
        <w:ind w:left="640" w:right="160" w:hanging="635"/>
        <w:spacing w:after="0" w:line="232" w:lineRule="auto"/>
        <w:tabs>
          <w:tab w:leader="none" w:pos="640" w:val="left"/>
        </w:tabs>
        <w:numPr>
          <w:ilvl w:val="0"/>
          <w:numId w:val="32"/>
        </w:numPr>
        <w:rPr>
          <w:rFonts w:ascii="Arial" w:cs="Arial" w:eastAsia="Arial" w:hAnsi="Arial"/>
          <w:sz w:val="15"/>
          <w:szCs w:val="15"/>
          <w:color w:val="auto"/>
        </w:rPr>
      </w:pPr>
      <w:r>
        <w:rPr>
          <w:rFonts w:ascii="Arial" w:cs="Arial" w:eastAsia="Arial" w:hAnsi="Arial"/>
          <w:sz w:val="14"/>
          <w:szCs w:val="14"/>
          <w:color w:val="auto"/>
        </w:rPr>
        <w:t>Incremental and non-recurring costs attributable to acquisitions directly related to the execution of the transaction and integration of the acquired business that have occurred no later than 12 months after the close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993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reconciliation of Adjusted EBITDA expenses to operating expenses for the years indicated: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Years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4"/>
              </w:rPr>
              <w:t>% Change</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1"/>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20" w:type="dxa"/>
            <w:vAlign w:val="bottom"/>
          </w:tcPr>
          <w:p>
            <w:pPr>
              <w:jc w:val="center"/>
              <w:ind w:right="3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9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800" w:type="dxa"/>
            <w:vAlign w:val="bottom"/>
            <w:gridSpan w:val="3"/>
          </w:tcPr>
          <w:p>
            <w:pPr>
              <w:ind w:left="240"/>
              <w:spacing w:after="0" w:line="141" w:lineRule="exact"/>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19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r>
      <w:tr>
        <w:trPr>
          <w:trHeight w:val="167"/>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800" w:type="dxa"/>
            <w:vAlign w:val="bottom"/>
            <w:gridSpan w:val="3"/>
          </w:tcPr>
          <w:p>
            <w:pPr>
              <w:ind w:left="280"/>
              <w:spacing w:after="0"/>
              <w:rPr>
                <w:sz w:val="20"/>
                <w:szCs w:val="20"/>
                <w:color w:val="auto"/>
              </w:rPr>
            </w:pPr>
            <w:r>
              <w:rPr>
                <w:rFonts w:ascii="Arial" w:cs="Arial" w:eastAsia="Arial" w:hAnsi="Arial"/>
                <w:sz w:val="14"/>
                <w:szCs w:val="14"/>
                <w:b w:val="1"/>
                <w:bCs w:val="1"/>
                <w:color w:val="auto"/>
              </w:rPr>
              <w:t>2021 to 2020</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2020 to 2019</w:t>
            </w:r>
          </w:p>
        </w:tc>
      </w:tr>
      <w:tr>
        <w:trPr>
          <w:trHeight w:val="151"/>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3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8"/>
        </w:trPr>
        <w:tc>
          <w:tcPr>
            <w:tcW w:w="4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Index Adjusted EBITDA expenses</w:t>
            </w:r>
          </w:p>
        </w:tc>
        <w:tc>
          <w:tcPr>
            <w:tcW w:w="2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300,452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250,002</w:t>
            </w:r>
          </w:p>
        </w:tc>
        <w:tc>
          <w:tcPr>
            <w:tcW w:w="32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250,749</w:t>
            </w:r>
          </w:p>
        </w:tc>
        <w:tc>
          <w:tcPr>
            <w:tcW w:w="1800" w:type="dxa"/>
            <w:vAlign w:val="bottom"/>
            <w:gridSpan w:val="3"/>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20.2%</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(0.3%)</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Analytics Adjusted EBITDA expenses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345,500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340,884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344,812</w:t>
            </w:r>
          </w:p>
        </w:tc>
        <w:tc>
          <w:tcPr>
            <w:tcW w:w="180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13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(1.1%)</w:t>
            </w:r>
          </w:p>
        </w:tc>
      </w:tr>
      <w:tr>
        <w:trPr>
          <w:trHeight w:val="158"/>
        </w:trPr>
        <w:tc>
          <w:tcPr>
            <w:tcW w:w="4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ESG and Climate Adjusted EBITDA expenses</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136,444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88,513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68,846</w:t>
            </w:r>
          </w:p>
        </w:tc>
        <w:tc>
          <w:tcPr>
            <w:tcW w:w="1800" w:type="dxa"/>
            <w:vAlign w:val="bottom"/>
            <w:gridSpan w:val="3"/>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54.2%</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28.6%</w:t>
            </w:r>
          </w:p>
        </w:tc>
      </w:tr>
      <w:tr>
        <w:trPr>
          <w:trHeight w:val="158"/>
        </w:trPr>
        <w:tc>
          <w:tcPr>
            <w:tcW w:w="4000" w:type="dxa"/>
            <w:vAlign w:val="bottom"/>
            <w:tcBorders>
              <w:bottom w:val="single" w:sz="8" w:color="CFF0FC"/>
            </w:tcBorders>
          </w:tcPr>
          <w:p>
            <w:pPr>
              <w:spacing w:after="0" w:line="158" w:lineRule="exact"/>
              <w:rPr>
                <w:sz w:val="20"/>
                <w:szCs w:val="20"/>
                <w:color w:val="auto"/>
              </w:rPr>
            </w:pPr>
            <w:r>
              <w:rPr>
                <w:rFonts w:ascii="Arial" w:cs="Arial" w:eastAsia="Arial" w:hAnsi="Arial"/>
                <w:sz w:val="14"/>
                <w:szCs w:val="14"/>
                <w:color w:val="auto"/>
              </w:rPr>
              <w:t>All Other - Private Assets Adjusted EBITDA expenses</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64,358</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44,481</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42,890</w:t>
            </w:r>
          </w:p>
        </w:tc>
        <w:tc>
          <w:tcPr>
            <w:tcW w:w="1800" w:type="dxa"/>
            <w:vAlign w:val="bottom"/>
            <w:tcBorders>
              <w:bottom w:val="single" w:sz="8" w:color="CFF0FC"/>
            </w:tcBorders>
            <w:gridSpan w:val="3"/>
          </w:tcPr>
          <w:p>
            <w:pPr>
              <w:jc w:val="right"/>
              <w:ind w:right="160"/>
              <w:spacing w:after="0" w:line="158" w:lineRule="exact"/>
              <w:rPr>
                <w:sz w:val="20"/>
                <w:szCs w:val="20"/>
                <w:color w:val="auto"/>
              </w:rPr>
            </w:pPr>
            <w:r>
              <w:rPr>
                <w:rFonts w:ascii="Arial" w:cs="Arial" w:eastAsia="Arial" w:hAnsi="Arial"/>
                <w:sz w:val="14"/>
                <w:szCs w:val="14"/>
                <w:color w:val="auto"/>
              </w:rPr>
              <w:t>44.7%</w:t>
            </w:r>
          </w:p>
        </w:tc>
        <w:tc>
          <w:tcPr>
            <w:tcW w:w="20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gridSpan w:val="2"/>
          </w:tcPr>
          <w:p>
            <w:pPr>
              <w:jc w:val="right"/>
              <w:ind w:right="60"/>
              <w:spacing w:after="0" w:line="158" w:lineRule="exact"/>
              <w:rPr>
                <w:sz w:val="20"/>
                <w:szCs w:val="20"/>
                <w:color w:val="auto"/>
              </w:rPr>
            </w:pPr>
            <w:r>
              <w:rPr>
                <w:rFonts w:ascii="Arial" w:cs="Arial" w:eastAsia="Arial" w:hAnsi="Arial"/>
                <w:sz w:val="14"/>
                <w:szCs w:val="14"/>
                <w:color w:val="auto"/>
              </w:rPr>
              <w:t>3.7%</w:t>
            </w:r>
          </w:p>
        </w:tc>
      </w:tr>
      <w:tr>
        <w:trPr>
          <w:trHeight w:val="151"/>
        </w:trPr>
        <w:tc>
          <w:tcPr>
            <w:tcW w:w="400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Consolidated Adjusted EBITDA expenses</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846,754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723,880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707,297</w:t>
            </w:r>
          </w:p>
        </w:tc>
        <w:tc>
          <w:tcPr>
            <w:tcW w:w="1800" w:type="dxa"/>
            <w:vAlign w:val="bottom"/>
            <w:gridSpan w:val="3"/>
            <w:shd w:val="clear" w:color="auto" w:fill="CFF0FC"/>
          </w:tcPr>
          <w:p>
            <w:pPr>
              <w:jc w:val="right"/>
              <w:ind w:right="160"/>
              <w:spacing w:after="0" w:line="151" w:lineRule="exact"/>
              <w:rPr>
                <w:sz w:val="20"/>
                <w:szCs w:val="20"/>
                <w:color w:val="auto"/>
              </w:rPr>
            </w:pPr>
            <w:r>
              <w:rPr>
                <w:rFonts w:ascii="Arial" w:cs="Arial" w:eastAsia="Arial" w:hAnsi="Arial"/>
                <w:sz w:val="14"/>
                <w:szCs w:val="14"/>
                <w:color w:val="auto"/>
              </w:rPr>
              <w:t>17.0%</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color w:val="auto"/>
              </w:rPr>
              <w:t>2.3%</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80,592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56,941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49,410</w:t>
            </w:r>
          </w:p>
        </w:tc>
        <w:tc>
          <w:tcPr>
            <w:tcW w:w="180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41.5%</w:t>
            </w:r>
          </w:p>
        </w:tc>
        <w:tc>
          <w:tcPr>
            <w:tcW w:w="200" w:type="dxa"/>
            <w:vAlign w:val="bottom"/>
          </w:tcPr>
          <w:p>
            <w:pPr>
              <w:spacing w:after="0"/>
              <w:rPr>
                <w:sz w:val="13"/>
                <w:szCs w:val="13"/>
                <w:color w:val="auto"/>
              </w:rPr>
            </w:pPr>
          </w:p>
        </w:tc>
        <w:tc>
          <w:tcPr>
            <w:tcW w:w="13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15.2%</w:t>
            </w:r>
          </w:p>
        </w:tc>
      </w:tr>
      <w:tr>
        <w:trPr>
          <w:trHeight w:val="139"/>
        </w:trPr>
        <w:tc>
          <w:tcPr>
            <w:tcW w:w="4000" w:type="dxa"/>
            <w:vAlign w:val="bottom"/>
            <w:shd w:val="clear" w:color="auto" w:fill="CFF0FC"/>
          </w:tcPr>
          <w:p>
            <w:pPr>
              <w:spacing w:after="0" w:line="139" w:lineRule="exact"/>
              <w:rPr>
                <w:sz w:val="20"/>
                <w:szCs w:val="20"/>
                <w:color w:val="auto"/>
              </w:rPr>
            </w:pPr>
            <w:r>
              <w:rPr>
                <w:rFonts w:ascii="Arial" w:cs="Arial" w:eastAsia="Arial" w:hAnsi="Arial"/>
                <w:sz w:val="14"/>
                <w:szCs w:val="14"/>
                <w:color w:val="auto"/>
                <w:w w:val="94"/>
              </w:rPr>
              <w:t>Depreciation and amortization of property, equipment and leasehold</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63"/>
        </w:trPr>
        <w:tc>
          <w:tcPr>
            <w:tcW w:w="40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improvements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28,901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29,805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29,999</w:t>
            </w:r>
          </w:p>
        </w:tc>
        <w:tc>
          <w:tcPr>
            <w:tcW w:w="18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(0.6%)</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Impairment related to sublease of leased property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7,702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800" w:type="dxa"/>
            <w:vAlign w:val="bottom"/>
            <w:gridSpan w:val="3"/>
          </w:tcPr>
          <w:p>
            <w:pPr>
              <w:ind w:left="1140"/>
              <w:spacing w:after="0" w:line="158" w:lineRule="exact"/>
              <w:rPr>
                <w:sz w:val="20"/>
                <w:szCs w:val="20"/>
                <w:color w:val="auto"/>
              </w:rPr>
            </w:pPr>
            <w:r>
              <w:rPr>
                <w:rFonts w:ascii="Arial" w:cs="Arial" w:eastAsia="Arial" w:hAnsi="Arial"/>
                <w:sz w:val="14"/>
                <w:szCs w:val="14"/>
                <w:color w:val="auto"/>
              </w:rPr>
              <w:t>n/a</w:t>
            </w:r>
          </w:p>
        </w:tc>
        <w:tc>
          <w:tcPr>
            <w:tcW w:w="13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n/a</w:t>
            </w:r>
          </w:p>
        </w:tc>
      </w:tr>
      <w:tr>
        <w:trPr>
          <w:trHeight w:val="139"/>
        </w:trPr>
        <w:tc>
          <w:tcPr>
            <w:tcW w:w="4000" w:type="dxa"/>
            <w:vAlign w:val="bottom"/>
            <w:shd w:val="clear" w:color="auto" w:fill="CFF0FC"/>
          </w:tcPr>
          <w:p>
            <w:pPr>
              <w:spacing w:after="0" w:line="139" w:lineRule="exact"/>
              <w:rPr>
                <w:sz w:val="20"/>
                <w:szCs w:val="20"/>
                <w:color w:val="auto"/>
              </w:rPr>
            </w:pPr>
            <w:r>
              <w:rPr>
                <w:rFonts w:ascii="Arial" w:cs="Arial" w:eastAsia="Arial" w:hAnsi="Arial"/>
                <w:sz w:val="14"/>
                <w:szCs w:val="14"/>
                <w:color w:val="auto"/>
              </w:rPr>
              <w:t>Acquisition-related integration and</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63"/>
        </w:trPr>
        <w:tc>
          <w:tcPr>
            <w:tcW w:w="4000" w:type="dxa"/>
            <w:vAlign w:val="bottom"/>
            <w:shd w:val="clear" w:color="auto" w:fill="CFF0FC"/>
          </w:tcPr>
          <w:p>
            <w:pPr>
              <w:ind w:left="80"/>
              <w:spacing w:after="0"/>
              <w:rPr>
                <w:sz w:val="20"/>
                <w:szCs w:val="20"/>
                <w:color w:val="auto"/>
              </w:rPr>
            </w:pPr>
            <w:r>
              <w:rPr>
                <w:rFonts w:ascii="Arial" w:cs="Arial" w:eastAsia="Arial" w:hAnsi="Arial"/>
                <w:sz w:val="14"/>
                <w:szCs w:val="14"/>
                <w:color w:val="auto"/>
              </w:rPr>
              <w:t xml:space="preserve">transaction costs </w:t>
            </w:r>
            <w:r>
              <w:rPr>
                <w:rFonts w:ascii="Arial" w:cs="Arial" w:eastAsia="Arial" w:hAnsi="Arial"/>
                <w:sz w:val="11"/>
                <w:szCs w:val="11"/>
                <w:color w:val="auto"/>
              </w:rPr>
              <w:t>(1)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800" w:type="dxa"/>
            <w:vAlign w:val="bottom"/>
            <w:gridSpan w:val="3"/>
            <w:shd w:val="clear" w:color="auto" w:fill="CFF0FC"/>
          </w:tcPr>
          <w:p>
            <w:pPr>
              <w:ind w:left="1140"/>
              <w:spacing w:after="0"/>
              <w:rPr>
                <w:sz w:val="20"/>
                <w:szCs w:val="20"/>
                <w:color w:val="auto"/>
              </w:rPr>
            </w:pPr>
            <w:r>
              <w:rPr>
                <w:rFonts w:ascii="Arial" w:cs="Arial" w:eastAsia="Arial" w:hAnsi="Arial"/>
                <w:sz w:val="14"/>
                <w:szCs w:val="14"/>
                <w:color w:val="auto"/>
              </w:rPr>
              <w:t>n/a</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n/a</w:t>
            </w:r>
          </w:p>
        </w:tc>
      </w:tr>
      <w:tr>
        <w:trPr>
          <w:trHeight w:val="158"/>
        </w:trPr>
        <w:tc>
          <w:tcPr>
            <w:tcW w:w="4000" w:type="dxa"/>
            <w:vAlign w:val="bottom"/>
          </w:tcPr>
          <w:p>
            <w:pPr>
              <w:spacing w:after="0" w:line="158" w:lineRule="exact"/>
              <w:rPr>
                <w:sz w:val="20"/>
                <w:szCs w:val="20"/>
                <w:color w:val="auto"/>
              </w:rPr>
            </w:pPr>
            <w:r>
              <w:rPr>
                <w:rFonts w:ascii="Arial" w:cs="Arial" w:eastAsia="Arial" w:hAnsi="Arial"/>
                <w:sz w:val="14"/>
                <w:szCs w:val="14"/>
                <w:color w:val="auto"/>
              </w:rPr>
              <w:t>2016 Multi-Year PSUs grant payroll tax expense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15,389</w:t>
            </w:r>
          </w:p>
        </w:tc>
        <w:tc>
          <w:tcPr>
            <w:tcW w:w="200" w:type="dxa"/>
            <w:vAlign w:val="bottom"/>
          </w:tcPr>
          <w:p>
            <w:pPr>
              <w:spacing w:after="0"/>
              <w:rPr>
                <w:sz w:val="13"/>
                <w:szCs w:val="13"/>
                <w:color w:val="auto"/>
              </w:rPr>
            </w:pPr>
          </w:p>
        </w:tc>
        <w:tc>
          <w:tcPr>
            <w:tcW w:w="1800" w:type="dxa"/>
            <w:vAlign w:val="bottom"/>
            <w:gridSpan w:val="3"/>
          </w:tcPr>
          <w:p>
            <w:pPr>
              <w:ind w:left="1140"/>
              <w:spacing w:after="0" w:line="158" w:lineRule="exact"/>
              <w:rPr>
                <w:sz w:val="20"/>
                <w:szCs w:val="20"/>
                <w:color w:val="auto"/>
              </w:rPr>
            </w:pPr>
            <w:r>
              <w:rPr>
                <w:rFonts w:ascii="Arial" w:cs="Arial" w:eastAsia="Arial" w:hAnsi="Arial"/>
                <w:sz w:val="14"/>
                <w:szCs w:val="14"/>
                <w:color w:val="auto"/>
              </w:rPr>
              <w:t>n/a</w:t>
            </w:r>
          </w:p>
        </w:tc>
        <w:tc>
          <w:tcPr>
            <w:tcW w:w="13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(100.0%)</w:t>
            </w:r>
          </w:p>
        </w:tc>
      </w:tr>
      <w:tr>
        <w:trPr>
          <w:trHeight w:val="151"/>
        </w:trPr>
        <w:tc>
          <w:tcPr>
            <w:tcW w:w="4000" w:type="dxa"/>
            <w:vAlign w:val="bottom"/>
            <w:tcBorders>
              <w:top w:val="single" w:sz="8" w:color="CFF0FC"/>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Total operating expenses</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970,819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810,626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802,095</w:t>
            </w:r>
          </w:p>
        </w:tc>
        <w:tc>
          <w:tcPr>
            <w:tcW w:w="1800" w:type="dxa"/>
            <w:vAlign w:val="bottom"/>
            <w:tcBorders>
              <w:top w:val="single" w:sz="8" w:color="CFF0FC"/>
              <w:bottom w:val="single" w:sz="8" w:color="CFF0FC"/>
            </w:tcBorders>
            <w:gridSpan w:val="3"/>
            <w:shd w:val="clear" w:color="auto" w:fill="CFF0FC"/>
          </w:tcPr>
          <w:p>
            <w:pPr>
              <w:jc w:val="right"/>
              <w:ind w:right="160"/>
              <w:spacing w:after="0" w:line="151" w:lineRule="exact"/>
              <w:rPr>
                <w:sz w:val="20"/>
                <w:szCs w:val="20"/>
                <w:color w:val="auto"/>
              </w:rPr>
            </w:pPr>
            <w:r>
              <w:rPr>
                <w:rFonts w:ascii="Arial" w:cs="Arial" w:eastAsia="Arial" w:hAnsi="Arial"/>
                <w:sz w:val="14"/>
                <w:szCs w:val="14"/>
                <w:color w:val="auto"/>
              </w:rPr>
              <w:t>19.8%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300" w:type="dxa"/>
            <w:vAlign w:val="bottom"/>
            <w:tcBorders>
              <w:top w:val="single" w:sz="8" w:color="CFF0FC"/>
              <w:bottom w:val="single" w:sz="8" w:color="CFF0FC"/>
            </w:tcBorders>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color w:val="auto"/>
              </w:rPr>
              <w:t>1.1%</w:t>
            </w: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6" w:lineRule="exact"/>
        <w:rPr>
          <w:sz w:val="20"/>
          <w:szCs w:val="20"/>
          <w:color w:val="auto"/>
        </w:rPr>
      </w:pPr>
    </w:p>
    <w:p>
      <w:pPr>
        <w:ind w:left="640" w:right="160" w:hanging="635"/>
        <w:spacing w:after="0" w:line="232" w:lineRule="auto"/>
        <w:tabs>
          <w:tab w:leader="none" w:pos="640" w:val="left"/>
        </w:tabs>
        <w:numPr>
          <w:ilvl w:val="0"/>
          <w:numId w:val="33"/>
        </w:numPr>
        <w:rPr>
          <w:rFonts w:ascii="Arial" w:cs="Arial" w:eastAsia="Arial" w:hAnsi="Arial"/>
          <w:sz w:val="15"/>
          <w:szCs w:val="15"/>
          <w:color w:val="auto"/>
        </w:rPr>
      </w:pPr>
      <w:r>
        <w:rPr>
          <w:rFonts w:ascii="Arial" w:cs="Arial" w:eastAsia="Arial" w:hAnsi="Arial"/>
          <w:sz w:val="14"/>
          <w:szCs w:val="14"/>
          <w:color w:val="auto"/>
        </w:rPr>
        <w:t>Incremental and non-recurring costs attributable to acquisitions directly related to the execution of the transaction and integration of the acquired business that have occurred no later than 12 months after the close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993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results for each of our four reportable segments for the years ended December 31, 2021, 2020 and 2019 are presented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0" w:name="page51"/>
    <w:bookmarkEnd w:id="50"/>
    <w:p>
      <w:pPr>
        <w:ind w:left="300"/>
        <w:spacing w:after="0"/>
        <w:rPr>
          <w:sz w:val="20"/>
          <w:szCs w:val="20"/>
          <w:color w:val="auto"/>
        </w:rPr>
      </w:pPr>
      <w:r>
        <w:rPr>
          <w:rFonts w:ascii="Arial" w:cs="Arial" w:eastAsia="Arial" w:hAnsi="Arial"/>
          <w:sz w:val="18"/>
          <w:szCs w:val="18"/>
          <w:b w:val="1"/>
          <w:bCs w:val="1"/>
          <w:i w:val="1"/>
          <w:iCs w:val="1"/>
          <w:color w:val="auto"/>
        </w:rPr>
        <w:t>Index Segment</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results for the Index segment for the years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Years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7"/>
              </w:rPr>
              <w:t>% Change</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4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76"/>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ind w:right="48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tcPr>
          <w:p>
            <w:pPr>
              <w:jc w:val="right"/>
              <w:ind w:right="15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2021 to 2020</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2020 to 2019</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40"/>
              <w:spacing w:after="0"/>
              <w:rPr>
                <w:sz w:val="20"/>
                <w:szCs w:val="20"/>
                <w:color w:val="auto"/>
              </w:rPr>
            </w:pPr>
            <w:r>
              <w:rPr>
                <w:rFonts w:ascii="Arial" w:cs="Arial" w:eastAsia="Arial" w:hAnsi="Arial"/>
                <w:sz w:val="18"/>
                <w:szCs w:val="18"/>
                <w:color w:val="auto"/>
              </w:rPr>
              <w:t>Recurring subscriptions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650,629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580,393</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530,968</w:t>
            </w:r>
          </w:p>
        </w:tc>
        <w:tc>
          <w:tcPr>
            <w:tcW w:w="160" w:type="dxa"/>
            <w:vAlign w:val="bottom"/>
          </w:tcPr>
          <w:p>
            <w:pPr>
              <w:spacing w:after="0"/>
              <w:rPr>
                <w:sz w:val="19"/>
                <w:szCs w:val="19"/>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4"/>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Asset-based fees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553,991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399,771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361,927</w:t>
            </w:r>
          </w:p>
        </w:tc>
        <w:tc>
          <w:tcPr>
            <w:tcW w:w="16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Non-recurring</w:t>
            </w: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47,144</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36,331</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28,042</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29.8%</w:t>
            </w:r>
          </w:p>
        </w:tc>
        <w:tc>
          <w:tcPr>
            <w:tcW w:w="2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7"/>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 total</w:t>
            </w: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1,251,764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1,016,495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920,937</w:t>
            </w:r>
          </w:p>
        </w:tc>
        <w:tc>
          <w:tcPr>
            <w:tcW w:w="16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 expenses</w:t>
            </w: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250,749</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951,312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766,493</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670,188</w:t>
            </w: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24.1%</w:t>
            </w:r>
          </w:p>
        </w:tc>
        <w:tc>
          <w:tcPr>
            <w:tcW w:w="2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Adjusted EBITDA margin %</w:t>
            </w: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76.0%</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firstLine="589"/>
        <w:spacing w:after="0" w:line="249" w:lineRule="auto"/>
        <w:rPr>
          <w:sz w:val="20"/>
          <w:szCs w:val="20"/>
          <w:color w:val="auto"/>
        </w:rPr>
      </w:pPr>
      <w:r>
        <w:rPr>
          <w:rFonts w:ascii="Arial" w:cs="Arial" w:eastAsia="Arial" w:hAnsi="Arial"/>
          <w:sz w:val="18"/>
          <w:szCs w:val="18"/>
          <w:color w:val="auto"/>
        </w:rPr>
        <w:t>Index operating revenues increased 23.1% for the year ended December 31, 2021 compared to the year ended December 31, 2020, primarily driven by growth from asset-based fees and recurring subscriptions. Revenues from recurring subscriptions increased 12.1%, primarily driven by growth from market cap-weighted index products and factor, ESG and climate index products. The impact of foreign currency exchange rate fluctuations on Index operating revenues was negligible.</w:t>
      </w:r>
    </w:p>
    <w:p>
      <w:pPr>
        <w:spacing w:after="0" w:line="192" w:lineRule="exact"/>
        <w:rPr>
          <w:sz w:val="20"/>
          <w:szCs w:val="20"/>
          <w:color w:val="auto"/>
        </w:rPr>
      </w:pPr>
    </w:p>
    <w:p>
      <w:pPr>
        <w:ind w:right="40" w:firstLine="589"/>
        <w:spacing w:after="0" w:line="248" w:lineRule="auto"/>
        <w:rPr>
          <w:sz w:val="20"/>
          <w:szCs w:val="20"/>
          <w:color w:val="auto"/>
        </w:rPr>
      </w:pPr>
      <w:r>
        <w:rPr>
          <w:rFonts w:ascii="Arial" w:cs="Arial" w:eastAsia="Arial" w:hAnsi="Arial"/>
          <w:sz w:val="18"/>
          <w:szCs w:val="18"/>
          <w:color w:val="auto"/>
        </w:rPr>
        <w:t>Operating revenues from asset-based fees increased 38.6% for the year ended December 31, 2021 compared to the year ended December 31, 2020, driven by growth in operating revenues from all index-linked investment product categories. Operating revenues from ETFs linked to MSCI equity indexes increased by 41.9%, primarily driven by an increase in average AUM, partially offset by a decrease in average basis point fees. The increase in asset-based fees operating revenues was also driven by revenues from non-ETF indexed funds linked to MSCI indexes which increased by 39.4%, primarily driven by an increase in average AUM.</w:t>
      </w:r>
    </w:p>
    <w:p>
      <w:pPr>
        <w:spacing w:after="0" w:line="192" w:lineRule="exact"/>
        <w:rPr>
          <w:sz w:val="20"/>
          <w:szCs w:val="20"/>
          <w:color w:val="auto"/>
        </w:rPr>
      </w:pPr>
    </w:p>
    <w:p>
      <w:pPr>
        <w:jc w:val="both"/>
        <w:ind w:right="200" w:firstLine="589"/>
        <w:spacing w:after="0" w:line="261" w:lineRule="auto"/>
        <w:rPr>
          <w:sz w:val="20"/>
          <w:szCs w:val="20"/>
          <w:color w:val="auto"/>
        </w:rPr>
      </w:pPr>
      <w:r>
        <w:rPr>
          <w:rFonts w:ascii="Arial" w:cs="Arial" w:eastAsia="Arial" w:hAnsi="Arial"/>
          <w:sz w:val="18"/>
          <w:szCs w:val="18"/>
          <w:color w:val="auto"/>
        </w:rPr>
        <w:t>Non-recurring operating revenues increased 29.8% for the year ended December 31, 2021 compared to the year ended December 31, 2020, primarily driven by client license and usage fees related to prior periods, as well as licenses to derivatives products.</w:t>
      </w:r>
    </w:p>
    <w:p>
      <w:pPr>
        <w:spacing w:after="0" w:line="181" w:lineRule="exact"/>
        <w:rPr>
          <w:sz w:val="20"/>
          <w:szCs w:val="20"/>
          <w:color w:val="auto"/>
        </w:rPr>
      </w:pPr>
    </w:p>
    <w:p>
      <w:pPr>
        <w:jc w:val="both"/>
        <w:ind w:right="200" w:firstLine="589"/>
        <w:spacing w:after="0" w:line="252" w:lineRule="auto"/>
        <w:rPr>
          <w:sz w:val="20"/>
          <w:szCs w:val="20"/>
          <w:color w:val="auto"/>
        </w:rPr>
      </w:pPr>
      <w:r>
        <w:rPr>
          <w:rFonts w:ascii="Arial" w:cs="Arial" w:eastAsia="Arial" w:hAnsi="Arial"/>
          <w:sz w:val="18"/>
          <w:szCs w:val="18"/>
          <w:color w:val="auto"/>
        </w:rPr>
        <w:t>Index segment Adjusted EBITDA expenses increased 20.2% for the year ended December 31, 2021 compared to the year ended December 31, 2020, reflecting higher compensation expenses to support growth across all expense activity categories. Adjusting for the impact of foreign currency exchange rate fluctuations, Index segment Adjusted EBITDA expenses would have increased 18.3%.</w:t>
      </w:r>
    </w:p>
    <w:p>
      <w:pPr>
        <w:spacing w:after="0" w:line="189" w:lineRule="exact"/>
        <w:rPr>
          <w:sz w:val="20"/>
          <w:szCs w:val="20"/>
          <w:color w:val="auto"/>
        </w:rPr>
      </w:pPr>
    </w:p>
    <w:p>
      <w:pPr>
        <w:ind w:right="180" w:firstLine="540"/>
        <w:spacing w:after="0" w:line="299" w:lineRule="auto"/>
        <w:rPr>
          <w:sz w:val="20"/>
          <w:szCs w:val="20"/>
          <w:color w:val="auto"/>
        </w:rPr>
      </w:pPr>
      <w:r>
        <w:rPr>
          <w:rFonts w:ascii="Arial" w:cs="Arial" w:eastAsia="Arial" w:hAnsi="Arial"/>
          <w:sz w:val="16"/>
          <w:szCs w:val="16"/>
          <w:color w:val="auto"/>
        </w:rPr>
        <w:t>Index operating revenues increased 10.4% for the year ended December 31, 2020 compared to the year ended December 31, 2019. Revenues from recurring subscriptions were up 9.3%. The increase was primarily driven by growth in market cap-weighted index products, strong growth in factor, ESG and climate and in custom index products. The impact of foreign currency exchange rate fluctuations on revenues from recurring subscriptions was negligible.</w:t>
      </w:r>
    </w:p>
    <w:p>
      <w:pPr>
        <w:spacing w:after="0" w:line="154" w:lineRule="exact"/>
        <w:rPr>
          <w:sz w:val="20"/>
          <w:szCs w:val="20"/>
          <w:color w:val="auto"/>
        </w:rPr>
      </w:pPr>
    </w:p>
    <w:p>
      <w:pPr>
        <w:ind w:right="40" w:firstLine="589"/>
        <w:spacing w:after="0" w:line="282" w:lineRule="auto"/>
        <w:rPr>
          <w:sz w:val="20"/>
          <w:szCs w:val="20"/>
          <w:color w:val="auto"/>
        </w:rPr>
      </w:pPr>
      <w:r>
        <w:rPr>
          <w:rFonts w:ascii="Arial" w:cs="Arial" w:eastAsia="Arial" w:hAnsi="Arial"/>
          <w:sz w:val="16"/>
          <w:szCs w:val="16"/>
          <w:color w:val="auto"/>
        </w:rPr>
        <w:t>Operating revenues from asset-based fees increased 10.5% for the year ended December 31, 2020 compared to the year ended December 31, 2019. The increase in asset-based fees was driven by growth in revenues from all of our indexed investment product categories, including an increase in revenues from exchange traded futures and options contracts linked to MSCI indexes that were primarily driven by price increases. The increase in revenues from asset-based fees was also driven by higher revenues from non-ETF indexed funds linked to MSCI indexes, which was driven by price increases and an increase in average AUM. Revenues from ETFs linked to MSCI indexes also increased, driven by an 8.9% increase in average AUM in equity ETFs linked to MSCI indexes, partially offset by a change in fee levels of certain products as well as change in product mix. The impact of foreign currency exchange rate fluctuations on operating revenues from asset-based fees was negligible.</w:t>
      </w:r>
    </w:p>
    <w:p>
      <w:pPr>
        <w:spacing w:after="0" w:line="169" w:lineRule="exact"/>
        <w:rPr>
          <w:sz w:val="20"/>
          <w:szCs w:val="20"/>
          <w:color w:val="auto"/>
        </w:rPr>
      </w:pPr>
    </w:p>
    <w:p>
      <w:pPr>
        <w:ind w:right="260" w:firstLine="589"/>
        <w:spacing w:after="0" w:line="252" w:lineRule="auto"/>
        <w:rPr>
          <w:sz w:val="20"/>
          <w:szCs w:val="20"/>
          <w:color w:val="auto"/>
        </w:rPr>
      </w:pPr>
      <w:r>
        <w:rPr>
          <w:rFonts w:ascii="Arial" w:cs="Arial" w:eastAsia="Arial" w:hAnsi="Arial"/>
          <w:sz w:val="18"/>
          <w:szCs w:val="18"/>
          <w:color w:val="auto"/>
        </w:rPr>
        <w:t>Index segment Adjusted EBITDA expenses decreased 0.3% for the year ended December 31, 2020 compared to the year ended December 31, 2019, reflecting lower expenses across selling and marketing expense activity category, partially offset by higher expenses across the G&amp;A, cost of revenues and R&amp;D expense activity categories.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Adjusting for the impact of foreign currency exchange rate fluctuations, Index segment Adjusted EBITDA expenses would have increased 0.2%.</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Analytics Segment</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results for the Analytics segment for the years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Years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7"/>
              </w:rPr>
              <w:t>% Change</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1"/>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4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7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ind w:right="48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tcPr>
          <w:p>
            <w:pPr>
              <w:jc w:val="right"/>
              <w:ind w:right="15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r>
      <w:tr>
        <w:trPr>
          <w:trHeight w:val="167"/>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2021 to 2020</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2020 to 2019</w:t>
            </w:r>
          </w:p>
        </w:tc>
      </w:tr>
      <w:tr>
        <w:trPr>
          <w:trHeight w:val="151"/>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3040" w:type="dxa"/>
            <w:vAlign w:val="bottom"/>
          </w:tcPr>
          <w:p>
            <w:pPr>
              <w:ind w:left="240"/>
              <w:spacing w:after="0"/>
              <w:rPr>
                <w:sz w:val="20"/>
                <w:szCs w:val="20"/>
                <w:color w:val="auto"/>
              </w:rPr>
            </w:pPr>
            <w:r>
              <w:rPr>
                <w:rFonts w:ascii="Arial" w:cs="Arial" w:eastAsia="Arial" w:hAnsi="Arial"/>
                <w:sz w:val="18"/>
                <w:szCs w:val="18"/>
                <w:color w:val="auto"/>
              </w:rPr>
              <w:t>Recurring subscriptions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533,178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506,301</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486,282</w:t>
            </w:r>
          </w:p>
        </w:tc>
        <w:tc>
          <w:tcPr>
            <w:tcW w:w="160" w:type="dxa"/>
            <w:vAlign w:val="bottom"/>
          </w:tcPr>
          <w:p>
            <w:pPr>
              <w:spacing w:after="0"/>
              <w:rPr>
                <w:sz w:val="19"/>
                <w:szCs w:val="19"/>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r>
      <w:tr>
        <w:trPr>
          <w:trHeight w:val="224"/>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Non-recurring</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10,643</w:t>
            </w:r>
          </w:p>
        </w:tc>
        <w:tc>
          <w:tcPr>
            <w:tcW w:w="16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Operating revenues total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544,299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513,808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496,925</w:t>
            </w:r>
          </w:p>
        </w:tc>
        <w:tc>
          <w:tcPr>
            <w:tcW w:w="160" w:type="dxa"/>
            <w:vAlign w:val="bottom"/>
          </w:tcPr>
          <w:p>
            <w:pPr>
              <w:spacing w:after="0"/>
              <w:rPr>
                <w:sz w:val="18"/>
                <w:szCs w:val="18"/>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24"/>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expenses</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345,500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340,884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344,812</w:t>
            </w:r>
          </w:p>
        </w:tc>
        <w:tc>
          <w:tcPr>
            <w:tcW w:w="16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56"/>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198,799</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172,924</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152,113</w:t>
            </w:r>
          </w:p>
        </w:tc>
        <w:tc>
          <w:tcPr>
            <w:tcW w:w="1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13.7%</w:t>
            </w:r>
          </w:p>
        </w:tc>
      </w:tr>
      <w:tr>
        <w:trPr>
          <w:trHeight w:val="203"/>
        </w:trPr>
        <w:tc>
          <w:tcPr>
            <w:tcW w:w="3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36.5%</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33.7%</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jc w:val="both"/>
        <w:ind w:right="120" w:firstLine="589"/>
        <w:spacing w:after="0" w:line="252" w:lineRule="auto"/>
        <w:rPr>
          <w:sz w:val="20"/>
          <w:szCs w:val="20"/>
          <w:color w:val="auto"/>
        </w:rPr>
      </w:pPr>
      <w:r>
        <w:rPr>
          <w:rFonts w:ascii="Arial" w:cs="Arial" w:eastAsia="Arial" w:hAnsi="Arial"/>
          <w:sz w:val="18"/>
          <w:szCs w:val="18"/>
          <w:color w:val="auto"/>
        </w:rPr>
        <w:t>Analytics operating revenues increased 5.9% for the year ended December 31, 2021 compared to the year ended December 31, 2020, primarily driven by growth from recurring subscriptions related to Multi-Asset Class and Equity Analytics products. The impact of foreign currency exchange rate fluctuations on Analytics operating revenues was negligible.</w:t>
      </w:r>
    </w:p>
    <w:p>
      <w:pPr>
        <w:spacing w:after="0" w:line="189" w:lineRule="exact"/>
        <w:rPr>
          <w:sz w:val="20"/>
          <w:szCs w:val="20"/>
          <w:color w:val="auto"/>
        </w:rPr>
      </w:pPr>
    </w:p>
    <w:p>
      <w:pPr>
        <w:ind w:firstLine="589"/>
        <w:spacing w:after="0" w:line="249" w:lineRule="auto"/>
        <w:rPr>
          <w:sz w:val="20"/>
          <w:szCs w:val="20"/>
          <w:color w:val="auto"/>
        </w:rPr>
      </w:pPr>
      <w:r>
        <w:rPr>
          <w:rFonts w:ascii="Arial" w:cs="Arial" w:eastAsia="Arial" w:hAnsi="Arial"/>
          <w:sz w:val="18"/>
          <w:szCs w:val="18"/>
          <w:color w:val="auto"/>
        </w:rPr>
        <w:t>Analytics segment Adjusted EBITDA expenses increased 1.4% for the year ended December 31, 2021 compared to the year ended December 31, 2020, reflecting higher compensation expenses primarily driven by the impact of foreign currency exchange rate fluctuations on compensation expenses and higher market data costs, partially offset by lower R&amp;D expenses. Adjusting for the impact of foreign currency exchange rate fluctuations, Analytics segment Adjusted EBITDA expenses would have increased 0.1%.</w:t>
      </w:r>
    </w:p>
    <w:p>
      <w:pPr>
        <w:spacing w:after="0" w:line="192"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color w:val="auto"/>
        </w:rPr>
        <w:t>Analytics operating revenues increased 3.4% for the year ended December 31, 2020 compared to the year ended December 31, 2019, primarily driven by growth in Multi-Asset Class Analytics products. Adjusting for the impact of foreign currency exchange rate fluctuations, Analytics operating revenues would have increased 3.3%.</w:t>
      </w:r>
    </w:p>
    <w:p>
      <w:pPr>
        <w:spacing w:after="0" w:line="189" w:lineRule="exact"/>
        <w:rPr>
          <w:sz w:val="20"/>
          <w:szCs w:val="20"/>
          <w:color w:val="auto"/>
        </w:rPr>
      </w:pPr>
    </w:p>
    <w:p>
      <w:pPr>
        <w:ind w:right="420" w:firstLine="589"/>
        <w:spacing w:after="0" w:line="249" w:lineRule="auto"/>
        <w:rPr>
          <w:sz w:val="20"/>
          <w:szCs w:val="20"/>
          <w:color w:val="auto"/>
        </w:rPr>
      </w:pPr>
      <w:r>
        <w:rPr>
          <w:rFonts w:ascii="Arial" w:cs="Arial" w:eastAsia="Arial" w:hAnsi="Arial"/>
          <w:sz w:val="18"/>
          <w:szCs w:val="18"/>
          <w:color w:val="auto"/>
        </w:rPr>
        <w:t>Analytics segment Adjusted EBITDA expenses decreased 1.1% for the year ended December 31, 2020 compared to the year ended December 31, 2019, primarily driven by lower expenses across the cost of revenues and R&amp;D expense activity categories, partially offset by higher expenses across the selling and marketing and G&amp;A expense activity categories. Adjusting for the impact of foreign currency exchange rate fluctuations, Analytics segment Adjusted EBITDA expenses would have decreased 0.4%.</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ESG and Climate Segment</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results for the ESG and Climate segment for the years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Years Ended</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4"/>
              </w:rPr>
              <w:t>% Change</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4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980" w:type="dxa"/>
            <w:vAlign w:val="bottom"/>
          </w:tcPr>
          <w:p>
            <w:pPr>
              <w:jc w:val="right"/>
              <w:ind w:right="5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center"/>
              <w:ind w:right="5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100" w:type="dxa"/>
            <w:vAlign w:val="bottom"/>
          </w:tcPr>
          <w:p>
            <w:pPr>
              <w:jc w:val="right"/>
              <w:ind w:right="17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2021 to 2020</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2020 to 2019</w:t>
            </w:r>
          </w:p>
        </w:tc>
        <w:tc>
          <w:tcPr>
            <w:tcW w:w="0" w:type="dxa"/>
            <w:vAlign w:val="bottom"/>
          </w:tcPr>
          <w:p>
            <w:pPr>
              <w:spacing w:after="0"/>
              <w:rPr>
                <w:sz w:val="1"/>
                <w:szCs w:val="1"/>
                <w:color w:val="auto"/>
              </w:rPr>
            </w:pPr>
          </w:p>
        </w:tc>
      </w:tr>
      <w:tr>
        <w:trPr>
          <w:trHeight w:val="151"/>
        </w:trPr>
        <w:tc>
          <w:tcPr>
            <w:tcW w:w="3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8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40"/>
              <w:spacing w:after="0"/>
              <w:rPr>
                <w:sz w:val="20"/>
                <w:szCs w:val="20"/>
                <w:color w:val="auto"/>
              </w:rPr>
            </w:pPr>
            <w:r>
              <w:rPr>
                <w:rFonts w:ascii="Arial" w:cs="Arial" w:eastAsia="Arial" w:hAnsi="Arial"/>
                <w:sz w:val="18"/>
                <w:szCs w:val="18"/>
                <w:color w:val="auto"/>
              </w:rPr>
              <w:t>Recurring subscriptions</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162,609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109,945</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89,563</w:t>
            </w:r>
          </w:p>
        </w:tc>
        <w:tc>
          <w:tcPr>
            <w:tcW w:w="180" w:type="dxa"/>
            <w:vAlign w:val="bottom"/>
          </w:tcPr>
          <w:p>
            <w:pPr>
              <w:spacing w:after="0"/>
              <w:rPr>
                <w:sz w:val="19"/>
                <w:szCs w:val="19"/>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4"/>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Non-recurring</w:t>
            </w:r>
          </w:p>
        </w:tc>
        <w:tc>
          <w:tcPr>
            <w:tcW w:w="10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Operating revenues total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166,192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111,364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90,659</w:t>
            </w:r>
          </w:p>
        </w:tc>
        <w:tc>
          <w:tcPr>
            <w:tcW w:w="180" w:type="dxa"/>
            <w:vAlign w:val="bottom"/>
          </w:tcPr>
          <w:p>
            <w:pPr>
              <w:spacing w:after="0"/>
              <w:rPr>
                <w:sz w:val="18"/>
                <w:szCs w:val="18"/>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4"/>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expenses</w:t>
            </w:r>
          </w:p>
        </w:tc>
        <w:tc>
          <w:tcPr>
            <w:tcW w:w="10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136,444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88,513</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68,846</w:t>
            </w:r>
          </w:p>
        </w:tc>
        <w:tc>
          <w:tcPr>
            <w:tcW w:w="18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6"/>
        </w:trPr>
        <w:tc>
          <w:tcPr>
            <w:tcW w:w="3060" w:type="dxa"/>
            <w:vAlign w:val="bottom"/>
          </w:tcPr>
          <w:p>
            <w:pPr>
              <w:spacing w:after="0"/>
              <w:rPr>
                <w:sz w:val="20"/>
                <w:szCs w:val="20"/>
                <w:color w:val="auto"/>
              </w:rPr>
            </w:pPr>
            <w:r>
              <w:rPr>
                <w:rFonts w:ascii="Arial" w:cs="Arial" w:eastAsia="Arial" w:hAnsi="Arial"/>
                <w:sz w:val="18"/>
                <w:szCs w:val="18"/>
                <w:color w:val="auto"/>
              </w:rPr>
              <w:t>Adjusted EBITDA</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29,748</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22,851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21,813</w:t>
            </w:r>
          </w:p>
        </w:tc>
        <w:tc>
          <w:tcPr>
            <w:tcW w:w="180" w:type="dxa"/>
            <w:vAlign w:val="bottom"/>
          </w:tcPr>
          <w:p>
            <w:pPr>
              <w:spacing w:after="0"/>
              <w:rPr>
                <w:sz w:val="20"/>
                <w:szCs w:val="20"/>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Adjusted EBITDA margin %</w:t>
            </w: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660" w:firstLine="589"/>
        <w:spacing w:after="0" w:line="261" w:lineRule="auto"/>
        <w:rPr>
          <w:sz w:val="20"/>
          <w:szCs w:val="20"/>
          <w:color w:val="auto"/>
        </w:rPr>
      </w:pPr>
      <w:r>
        <w:rPr>
          <w:rFonts w:ascii="Arial" w:cs="Arial" w:eastAsia="Arial" w:hAnsi="Arial"/>
          <w:sz w:val="18"/>
          <w:szCs w:val="18"/>
          <w:color w:val="auto"/>
        </w:rPr>
        <w:t>ESG and Climate operating revenues increased 49.2% for the year ended December 31, 2021 compared to the year ended December 31, 2020, primarily driven by growth from recurring subscriptions related to Ratings, Climate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2" w:name="page53"/>
    <w:bookmarkEnd w:id="52"/>
    <w:p>
      <w:pPr>
        <w:ind w:right="260"/>
        <w:spacing w:after="0" w:line="261" w:lineRule="auto"/>
        <w:rPr>
          <w:sz w:val="20"/>
          <w:szCs w:val="20"/>
          <w:color w:val="auto"/>
        </w:rPr>
      </w:pPr>
      <w:r>
        <w:rPr>
          <w:rFonts w:ascii="Arial" w:cs="Arial" w:eastAsia="Arial" w:hAnsi="Arial"/>
          <w:sz w:val="18"/>
          <w:szCs w:val="18"/>
          <w:color w:val="auto"/>
        </w:rPr>
        <w:t>and Screening products. Adjusting for the impact of foreign currency exchange rate fluctuations, ESG and Climate operating revenues would have increased 43.4%.</w:t>
      </w:r>
    </w:p>
    <w:p>
      <w:pPr>
        <w:spacing w:after="0" w:line="181" w:lineRule="exact"/>
        <w:rPr>
          <w:sz w:val="20"/>
          <w:szCs w:val="20"/>
          <w:color w:val="auto"/>
        </w:rPr>
      </w:pPr>
    </w:p>
    <w:p>
      <w:pPr>
        <w:ind w:right="80" w:firstLine="589"/>
        <w:spacing w:after="0" w:line="299" w:lineRule="auto"/>
        <w:rPr>
          <w:sz w:val="20"/>
          <w:szCs w:val="20"/>
          <w:color w:val="auto"/>
        </w:rPr>
      </w:pPr>
      <w:r>
        <w:rPr>
          <w:rFonts w:ascii="Arial" w:cs="Arial" w:eastAsia="Arial" w:hAnsi="Arial"/>
          <w:sz w:val="16"/>
          <w:szCs w:val="16"/>
          <w:color w:val="auto"/>
        </w:rPr>
        <w:t>ESG and Climate segment Adjusted EBITDA expenses increased 54.2% for the year ended December 31, 2021 compared to the year ended December 31, 2020, reflecting higher compensation expenses to support growth, reflected across all expense activity categories. Adjusting for the impact of foreign currency exchange rate fluctuations, ESG and Climate segment Adjusted EBITDA expenses would have increased 51.8%.</w:t>
      </w:r>
    </w:p>
    <w:p>
      <w:pPr>
        <w:spacing w:after="0" w:line="154" w:lineRule="exact"/>
        <w:rPr>
          <w:sz w:val="20"/>
          <w:szCs w:val="20"/>
          <w:color w:val="auto"/>
        </w:rPr>
      </w:pPr>
    </w:p>
    <w:p>
      <w:pPr>
        <w:jc w:val="both"/>
        <w:ind w:right="620" w:firstLine="589"/>
        <w:spacing w:after="0" w:line="299" w:lineRule="auto"/>
        <w:rPr>
          <w:sz w:val="20"/>
          <w:szCs w:val="20"/>
          <w:color w:val="auto"/>
        </w:rPr>
      </w:pPr>
      <w:r>
        <w:rPr>
          <w:rFonts w:ascii="Arial" w:cs="Arial" w:eastAsia="Arial" w:hAnsi="Arial"/>
          <w:sz w:val="16"/>
          <w:szCs w:val="16"/>
          <w:color w:val="auto"/>
        </w:rPr>
        <w:t>ESG and Climate operating revenues increased 22.8% for the year ended December 31, 2020 compared to the year ended December 31, 2019, primarily driven by strong growth from recurring subscriptions related to Ratings, Climate, and Screening products. Adjusting for the impact of foreign currency exchange rate fluctuations, ESG and Climate operating revenues would have increased 22.3%.</w:t>
      </w:r>
    </w:p>
    <w:p>
      <w:pPr>
        <w:spacing w:after="0" w:line="154" w:lineRule="exact"/>
        <w:rPr>
          <w:sz w:val="20"/>
          <w:szCs w:val="20"/>
          <w:color w:val="auto"/>
        </w:rPr>
      </w:pPr>
    </w:p>
    <w:p>
      <w:pPr>
        <w:ind w:right="80" w:firstLine="589"/>
        <w:spacing w:after="0" w:line="299" w:lineRule="auto"/>
        <w:rPr>
          <w:sz w:val="20"/>
          <w:szCs w:val="20"/>
          <w:color w:val="auto"/>
        </w:rPr>
      </w:pPr>
      <w:r>
        <w:rPr>
          <w:rFonts w:ascii="Arial" w:cs="Arial" w:eastAsia="Arial" w:hAnsi="Arial"/>
          <w:sz w:val="16"/>
          <w:szCs w:val="16"/>
          <w:color w:val="auto"/>
        </w:rPr>
        <w:t>ESG and Climate segment Adjusted EBITDA expenses increased 28.6% for the year ended December 31, 2020 compared to the year ended December 31, 2019, reflecting higher compensation expenses to support growth, reflected across all expense activity categories. Adjusting for the impact of foreign currency exchange rate fluctuations, ESG and Climate segment Adjusted EBITDA expenses would have increased 28.4%.</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All Other – Private Assets Segment</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results for the All Other – Private Assets segment for the years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Years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7"/>
              </w:rPr>
              <w:t>% Change</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1"/>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4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7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100" w:type="dxa"/>
            <w:vAlign w:val="bottom"/>
          </w:tcPr>
          <w:p>
            <w:pPr>
              <w:jc w:val="right"/>
              <w:ind w:right="17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r>
      <w:tr>
        <w:trPr>
          <w:trHeight w:val="167"/>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2021 to 2020</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2020 to 2019</w:t>
            </w:r>
          </w:p>
        </w:tc>
      </w:tr>
      <w:tr>
        <w:trPr>
          <w:trHeight w:val="151"/>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3"/>
        </w:trPr>
        <w:tc>
          <w:tcPr>
            <w:tcW w:w="3040" w:type="dxa"/>
            <w:vAlign w:val="bottom"/>
          </w:tcPr>
          <w:p>
            <w:pPr>
              <w:ind w:left="240"/>
              <w:spacing w:after="0"/>
              <w:rPr>
                <w:sz w:val="20"/>
                <w:szCs w:val="20"/>
                <w:color w:val="auto"/>
              </w:rPr>
            </w:pPr>
            <w:r>
              <w:rPr>
                <w:rFonts w:ascii="Arial" w:cs="Arial" w:eastAsia="Arial" w:hAnsi="Arial"/>
                <w:sz w:val="18"/>
                <w:szCs w:val="18"/>
                <w:color w:val="auto"/>
              </w:rPr>
              <w:t>Recurring subscriptions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79,624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51,536</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47,227</w:t>
            </w:r>
          </w:p>
        </w:tc>
        <w:tc>
          <w:tcPr>
            <w:tcW w:w="160" w:type="dxa"/>
            <w:vAlign w:val="bottom"/>
          </w:tcPr>
          <w:p>
            <w:pPr>
              <w:spacing w:after="0"/>
              <w:rPr>
                <w:sz w:val="19"/>
                <w:szCs w:val="19"/>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24"/>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Non-recurring</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6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Operating revenues total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81,289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49,275</w:t>
            </w:r>
          </w:p>
        </w:tc>
        <w:tc>
          <w:tcPr>
            <w:tcW w:w="160" w:type="dxa"/>
            <w:vAlign w:val="bottom"/>
          </w:tcPr>
          <w:p>
            <w:pPr>
              <w:spacing w:after="0"/>
              <w:rPr>
                <w:sz w:val="18"/>
                <w:szCs w:val="18"/>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24"/>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expenses</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64,358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44,481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42,890</w:t>
            </w:r>
          </w:p>
        </w:tc>
        <w:tc>
          <w:tcPr>
            <w:tcW w:w="16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r>
        <w:trPr>
          <w:trHeight w:val="256"/>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16,931</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w:t>
            </w:r>
          </w:p>
        </w:tc>
        <w:tc>
          <w:tcPr>
            <w:tcW w:w="160" w:type="dxa"/>
            <w:vAlign w:val="bottom"/>
            <w:tcBorders>
              <w:bottom w:val="single" w:sz="8" w:color="CFF0FC"/>
            </w:tcBorders>
          </w:tcPr>
          <w:p>
            <w:pPr>
              <w:spacing w:after="0"/>
              <w:rPr>
                <w:sz w:val="22"/>
                <w:szCs w:val="22"/>
                <w:color w:val="auto"/>
              </w:rPr>
            </w:pPr>
          </w:p>
        </w:tc>
        <w:tc>
          <w:tcPr>
            <w:tcW w:w="1720" w:type="dxa"/>
            <w:vAlign w:val="bottom"/>
            <w:tcBorders>
              <w:bottom w:val="single" w:sz="8" w:color="CFF0FC"/>
            </w:tcBorders>
            <w:gridSpan w:val="3"/>
          </w:tcPr>
          <w:p>
            <w:pPr>
              <w:jc w:val="right"/>
              <w:ind w:right="180"/>
              <w:spacing w:after="0"/>
              <w:rPr>
                <w:sz w:val="20"/>
                <w:szCs w:val="20"/>
                <w:color w:val="auto"/>
              </w:rPr>
            </w:pPr>
            <w:r>
              <w:rPr>
                <w:rFonts w:ascii="Arial" w:cs="Arial" w:eastAsia="Arial" w:hAnsi="Arial"/>
                <w:sz w:val="18"/>
                <w:szCs w:val="18"/>
                <w:color w:val="auto"/>
              </w:rPr>
              <w:t>83.2%</w:t>
            </w:r>
          </w:p>
        </w:tc>
        <w:tc>
          <w:tcPr>
            <w:tcW w:w="20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44.7%</w:t>
            </w:r>
          </w:p>
        </w:tc>
      </w:tr>
      <w:tr>
        <w:trPr>
          <w:trHeight w:val="203"/>
        </w:trPr>
        <w:tc>
          <w:tcPr>
            <w:tcW w:w="3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17.2%</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8"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All Other – Private Assets operating revenues increased 51.3% for the year ended December 31, 2021 compared to the year ended December 31, 2020, primarily driven by revenues attributable to the acquisition of RCA included as of September 13, 2021 (the date we completed the acquisition). Excluding the acquisition of RCA, the increase in operating revenues was primarily driven by growth from recurring subscriptions related to both Enterprise Analytics and Global Intel products and benefits from foreign currency exchange rate fluctuations. Adjusting for both the impact of acquisitions and foreign currency exchange rate fluctuations, All Other – Private Assets operating revenues would have increased 4.0%. All Other - Private Assets operating revenues would have increased 10.0% when excluding the impact of acquisitions and increased 45.3% when excluding the impact of foreign currency exchange rate fluctuations.</w:t>
      </w:r>
    </w:p>
    <w:p>
      <w:pPr>
        <w:spacing w:after="0" w:line="153" w:lineRule="exact"/>
        <w:rPr>
          <w:sz w:val="20"/>
          <w:szCs w:val="20"/>
          <w:color w:val="auto"/>
        </w:rPr>
      </w:pPr>
    </w:p>
    <w:p>
      <w:pPr>
        <w:jc w:val="both"/>
        <w:ind w:right="180" w:firstLine="589"/>
        <w:spacing w:after="0" w:line="299" w:lineRule="auto"/>
        <w:rPr>
          <w:sz w:val="20"/>
          <w:szCs w:val="20"/>
          <w:color w:val="auto"/>
        </w:rPr>
      </w:pPr>
      <w:r>
        <w:rPr>
          <w:rFonts w:ascii="Arial" w:cs="Arial" w:eastAsia="Arial" w:hAnsi="Arial"/>
          <w:sz w:val="16"/>
          <w:szCs w:val="16"/>
          <w:color w:val="auto"/>
        </w:rPr>
        <w:t>All Other – Private Assets segment Adjusted EBITDA expenses increased 44.7% for the year ended December 31, 2021 compared to the year ended December 31, 2020, primarily driven by the acquisition of RCA. All Other - Private Assets segment Adjusted EBITDA expenses would have decreased 0.2% when excluding the impact of acquisitions and increased 41.9% when excluding the impact of foreign currency exchange rate fluctuations.</w:t>
      </w:r>
    </w:p>
    <w:p>
      <w:pPr>
        <w:spacing w:after="0" w:line="154" w:lineRule="exact"/>
        <w:rPr>
          <w:sz w:val="20"/>
          <w:szCs w:val="20"/>
          <w:color w:val="auto"/>
        </w:rPr>
      </w:pPr>
    </w:p>
    <w:p>
      <w:pPr>
        <w:ind w:right="140" w:firstLine="589"/>
        <w:spacing w:after="0" w:line="299" w:lineRule="auto"/>
        <w:rPr>
          <w:sz w:val="20"/>
          <w:szCs w:val="20"/>
          <w:color w:val="auto"/>
        </w:rPr>
      </w:pPr>
      <w:r>
        <w:rPr>
          <w:rFonts w:ascii="Arial" w:cs="Arial" w:eastAsia="Arial" w:hAnsi="Arial"/>
          <w:sz w:val="16"/>
          <w:szCs w:val="16"/>
          <w:color w:val="auto"/>
        </w:rPr>
        <w:t>All Other – Private Assets operating revenues increased 9.0% for the year ended December 31, 2020 compared to the year ended December 31, 2019, primarily driven by growth from recurring subscriptions related to both Enterprise Analytics and Global Intel products. Adjusting for the impact of foreign currency exchange rate fluctuations, All Other – Private Assets operating revenues would have increased 9.2%.</w:t>
      </w:r>
    </w:p>
    <w:p>
      <w:pPr>
        <w:spacing w:after="0" w:line="154" w:lineRule="exact"/>
        <w:rPr>
          <w:sz w:val="20"/>
          <w:szCs w:val="20"/>
          <w:color w:val="auto"/>
        </w:rPr>
      </w:pPr>
    </w:p>
    <w:p>
      <w:pPr>
        <w:ind w:right="320" w:firstLine="589"/>
        <w:spacing w:after="0" w:line="252" w:lineRule="auto"/>
        <w:rPr>
          <w:sz w:val="20"/>
          <w:szCs w:val="20"/>
          <w:color w:val="auto"/>
        </w:rPr>
      </w:pPr>
      <w:r>
        <w:rPr>
          <w:rFonts w:ascii="Arial" w:cs="Arial" w:eastAsia="Arial" w:hAnsi="Arial"/>
          <w:sz w:val="18"/>
          <w:szCs w:val="18"/>
          <w:color w:val="auto"/>
        </w:rPr>
        <w:t>All Other – Private Assets segment Adjusted EBITDA expenses increased 3.7% for the year ended December 31, 2020 compared to the year ended December 31, 2019, primarily driven by higher expenses across the R&amp;D and selling and marketing expense activity categories, partially offset by lower expenses across the cost of revenues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right="580"/>
        <w:spacing w:after="0" w:line="261" w:lineRule="auto"/>
        <w:rPr>
          <w:sz w:val="20"/>
          <w:szCs w:val="20"/>
          <w:color w:val="auto"/>
        </w:rPr>
      </w:pPr>
      <w:r>
        <w:rPr>
          <w:rFonts w:ascii="Arial" w:cs="Arial" w:eastAsia="Arial" w:hAnsi="Arial"/>
          <w:sz w:val="18"/>
          <w:szCs w:val="18"/>
          <w:color w:val="auto"/>
        </w:rPr>
        <w:t>G&amp;A expense activity categories. Adjusting for the impact of foreign currency exchange rate fluctuations, All Other – Private Assets segment Adjusted EBITDA expenses would have increased 4.8%.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Run Rate</w:t>
      </w:r>
    </w:p>
    <w:p>
      <w:pPr>
        <w:spacing w:after="0" w:line="108" w:lineRule="exact"/>
        <w:rPr>
          <w:sz w:val="20"/>
          <w:szCs w:val="20"/>
          <w:color w:val="auto"/>
        </w:rPr>
      </w:pPr>
    </w:p>
    <w:p>
      <w:pPr>
        <w:ind w:firstLine="589"/>
        <w:spacing w:after="0" w:line="279" w:lineRule="auto"/>
        <w:rPr>
          <w:sz w:val="20"/>
          <w:szCs w:val="20"/>
          <w:color w:val="auto"/>
        </w:rPr>
      </w:pPr>
      <w:r>
        <w:rPr>
          <w:rFonts w:ascii="Arial" w:cs="Arial" w:eastAsia="Arial" w:hAnsi="Arial"/>
          <w:sz w:val="16"/>
          <w:szCs w:val="16"/>
          <w:color w:val="auto"/>
        </w:rPr>
        <w:t>“Run Rate” estimates at a particular point in time the annualized value of the recurring revenues under our client license agreements (“Client Contracts”) for the next 12 months, assuming all Client Contracts that come up for renewal, or reach the end of the committed subscription period, are renewed and assuming then-current currency exchange rates, subject to the adjustments and exclusions described below. For any Client Contract where fees are linked to an investment product’s assets or trading volume/fees, the Run Rate calculation reflects, for ETFs, the market value on the last trading day of the period, for futures and options, the most recent quarterly volumes and/or reported exchange fees, and for other non-ETF products, the most recent client-reported assets. Run Rate does not include fees associated with “one-time” and other non-recurring transactions. In addition, we add to Run Rate the annualized fee value of recurring new sales, whether to existing or new clients, when we execute Client Contracts, even though the license start date, and associated revenue recognition, may not be effective until a later date. We remove from Run Rate the annualized fee value associated with products or services under any Client Contract with respect to which we have received a notice of termination, non-renewal or an indication the client does not intend to continue their subscription during the period and have determined that such notice evidences the client’s final decision to terminate or not renew the applicable products or services, even though such notice is not effective until a later date.</w:t>
      </w:r>
    </w:p>
    <w:p>
      <w:pPr>
        <w:spacing w:after="0" w:line="171" w:lineRule="exact"/>
        <w:rPr>
          <w:sz w:val="20"/>
          <w:szCs w:val="20"/>
          <w:color w:val="auto"/>
        </w:rPr>
      </w:pPr>
    </w:p>
    <w:p>
      <w:pPr>
        <w:ind w:right="240" w:firstLine="589"/>
        <w:spacing w:after="0" w:line="261" w:lineRule="auto"/>
        <w:rPr>
          <w:sz w:val="20"/>
          <w:szCs w:val="20"/>
          <w:color w:val="auto"/>
        </w:rPr>
      </w:pPr>
      <w:r>
        <w:rPr>
          <w:rFonts w:ascii="Arial" w:cs="Arial" w:eastAsia="Arial" w:hAnsi="Arial"/>
          <w:sz w:val="18"/>
          <w:szCs w:val="18"/>
          <w:color w:val="auto"/>
        </w:rPr>
        <w:t>Changes in our recurring revenues typically lag changes in Run Rate. The actual amount of recurring revenues we will realize over the following 12 months will differ from Run Rate for numerous reasons, including:</w:t>
      </w:r>
    </w:p>
    <w:p>
      <w:pPr>
        <w:spacing w:after="0" w:line="76" w:lineRule="exact"/>
        <w:rPr>
          <w:sz w:val="20"/>
          <w:szCs w:val="20"/>
          <w:color w:val="auto"/>
        </w:rPr>
      </w:pPr>
    </w:p>
    <w:p>
      <w:pPr>
        <w:ind w:left="1000" w:hanging="4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revenues associated with new recurring sales;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modifications, cancellations and non-renewals of existing Client Contracts, subject to specified notice requirements;</w:t>
      </w:r>
    </w:p>
    <w:p>
      <w:pPr>
        <w:spacing w:after="0" w:line="108" w:lineRule="exact"/>
        <w:rPr>
          <w:rFonts w:ascii="Arial" w:cs="Arial" w:eastAsia="Arial" w:hAnsi="Arial"/>
          <w:sz w:val="18"/>
          <w:szCs w:val="18"/>
          <w:color w:val="auto"/>
        </w:rPr>
      </w:pPr>
    </w:p>
    <w:p>
      <w:pPr>
        <w:ind w:left="1000" w:right="240" w:hanging="417"/>
        <w:spacing w:after="0" w:line="261"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differences between the recurring license start date and the date the Client Contract is executed due to, for example, contracts with onboarding periods or fee waiver periods;</w:t>
      </w:r>
    </w:p>
    <w:p>
      <w:pPr>
        <w:spacing w:after="0" w:line="75" w:lineRule="exact"/>
        <w:rPr>
          <w:rFonts w:ascii="Arial" w:cs="Arial" w:eastAsia="Arial" w:hAnsi="Arial"/>
          <w:sz w:val="18"/>
          <w:szCs w:val="18"/>
          <w:color w:val="auto"/>
        </w:rPr>
      </w:pPr>
    </w:p>
    <w:p>
      <w:pPr>
        <w:ind w:left="1000" w:right="580" w:hanging="417"/>
        <w:spacing w:after="0" w:line="361" w:lineRule="auto"/>
        <w:tabs>
          <w:tab w:leader="none" w:pos="10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fluctuations in asset-based fees, which may result from changes in certain investment products’ total expense ratios, market movements, including foreign currency exchange rates, or from investment inflows into and outflows from investment products linked to our indexes;</w:t>
      </w:r>
    </w:p>
    <w:p>
      <w:pPr>
        <w:spacing w:after="0" w:line="6" w:lineRule="exact"/>
        <w:rPr>
          <w:rFonts w:ascii="Arial" w:cs="Arial" w:eastAsia="Arial" w:hAnsi="Arial"/>
          <w:sz w:val="15"/>
          <w:szCs w:val="15"/>
          <w:color w:val="auto"/>
        </w:rPr>
      </w:pPr>
    </w:p>
    <w:p>
      <w:pPr>
        <w:ind w:left="1000" w:hanging="4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fees based on trading volumes of futures and options contracts linked to our indexes;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number of hedge funds for which we provide investment information and risk analysis to hedge fund investors;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changes or discounts;</w:t>
      </w:r>
    </w:p>
    <w:p>
      <w:pPr>
        <w:spacing w:after="0" w:line="108" w:lineRule="exact"/>
        <w:rPr>
          <w:rFonts w:ascii="Arial" w:cs="Arial" w:eastAsia="Arial" w:hAnsi="Arial"/>
          <w:sz w:val="18"/>
          <w:szCs w:val="18"/>
          <w:color w:val="auto"/>
        </w:rPr>
      </w:pPr>
    </w:p>
    <w:p>
      <w:pPr>
        <w:ind w:left="1000" w:right="20" w:hanging="417"/>
        <w:spacing w:after="0" w:line="261"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recognition differences under U.S. GAAP, including those related to the timing of implementation and report deliveries for certain of our products and services;</w:t>
      </w:r>
    </w:p>
    <w:p>
      <w:pPr>
        <w:spacing w:after="0" w:line="75" w:lineRule="exact"/>
        <w:rPr>
          <w:rFonts w:ascii="Arial" w:cs="Arial" w:eastAsia="Arial" w:hAnsi="Arial"/>
          <w:sz w:val="18"/>
          <w:szCs w:val="18"/>
          <w:color w:val="auto"/>
        </w:rPr>
      </w:pPr>
    </w:p>
    <w:p>
      <w:pPr>
        <w:ind w:left="1000" w:hanging="4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acquisitions and divestitures.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54" w:name="page55"/>
    <w:bookmarkEnd w:id="54"/>
    <w:p>
      <w:pPr>
        <w:ind w:left="600"/>
        <w:spacing w:after="0"/>
        <w:rPr>
          <w:sz w:val="20"/>
          <w:szCs w:val="20"/>
          <w:color w:val="auto"/>
        </w:rPr>
      </w:pPr>
      <w:r>
        <w:rPr>
          <w:rFonts w:ascii="Arial" w:cs="Arial" w:eastAsia="Arial" w:hAnsi="Arial"/>
          <w:sz w:val="16"/>
          <w:szCs w:val="16"/>
          <w:color w:val="auto"/>
        </w:rPr>
        <w:t>The following table presents Run Rates by reportable segment as of the dates indicated and the growth percentages over the years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4"/>
              </w:rPr>
              <w:t>% Change</w:t>
            </w: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1"/>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00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2"/>
                <w:szCs w:val="12"/>
                <w:color w:val="auto"/>
              </w:rPr>
            </w:pPr>
          </w:p>
        </w:tc>
        <w:tc>
          <w:tcPr>
            <w:tcW w:w="1760" w:type="dxa"/>
            <w:vAlign w:val="bottom"/>
            <w:gridSpan w:val="3"/>
          </w:tcPr>
          <w:p>
            <w:pPr>
              <w:jc w:val="center"/>
              <w:ind w:right="5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tcPr>
          <w:p>
            <w:pPr>
              <w:jc w:val="right"/>
              <w:ind w:right="155"/>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r>
      <w:tr>
        <w:trPr>
          <w:trHeight w:val="167"/>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2021 to 2020</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2020 to 2019</w:t>
            </w:r>
          </w:p>
        </w:tc>
      </w:tr>
      <w:tr>
        <w:trPr>
          <w:trHeight w:val="151"/>
        </w:trPr>
        <w:tc>
          <w:tcPr>
            <w:tcW w:w="4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8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Index:</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3"/>
        </w:trPr>
        <w:tc>
          <w:tcPr>
            <w:tcW w:w="4100" w:type="dxa"/>
            <w:vAlign w:val="bottom"/>
          </w:tcPr>
          <w:p>
            <w:pPr>
              <w:ind w:left="240"/>
              <w:spacing w:after="0"/>
              <w:rPr>
                <w:sz w:val="20"/>
                <w:szCs w:val="20"/>
                <w:color w:val="auto"/>
              </w:rPr>
            </w:pPr>
            <w:r>
              <w:rPr>
                <w:rFonts w:ascii="Arial" w:cs="Arial" w:eastAsia="Arial" w:hAnsi="Arial"/>
                <w:sz w:val="18"/>
                <w:szCs w:val="18"/>
                <w:color w:val="auto"/>
              </w:rPr>
              <w:t>Recurring subscriptions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694,591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618,391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559,257</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224"/>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Asset-based fees</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589,320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464,108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396,140</w:t>
            </w:r>
          </w:p>
        </w:tc>
        <w:tc>
          <w:tcPr>
            <w:tcW w:w="18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r>
      <w:tr>
        <w:trPr>
          <w:trHeight w:val="216"/>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Index total</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1,283,911</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1,082,499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955,397</w:t>
            </w:r>
          </w:p>
        </w:tc>
        <w:tc>
          <w:tcPr>
            <w:tcW w:w="1840" w:type="dxa"/>
            <w:vAlign w:val="bottom"/>
            <w:tcBorders>
              <w:bottom w:val="single" w:sz="8" w:color="CFF0FC"/>
            </w:tcBorders>
            <w:gridSpan w:val="3"/>
          </w:tcPr>
          <w:p>
            <w:pPr>
              <w:jc w:val="right"/>
              <w:ind w:right="200"/>
              <w:spacing w:after="0"/>
              <w:rPr>
                <w:sz w:val="20"/>
                <w:szCs w:val="20"/>
                <w:color w:val="auto"/>
              </w:rPr>
            </w:pPr>
            <w:r>
              <w:rPr>
                <w:rFonts w:ascii="Arial" w:cs="Arial" w:eastAsia="Arial" w:hAnsi="Arial"/>
                <w:sz w:val="18"/>
                <w:szCs w:val="18"/>
                <w:color w:val="auto"/>
              </w:rPr>
              <w:t>18.6%</w:t>
            </w:r>
          </w:p>
        </w:tc>
        <w:tc>
          <w:tcPr>
            <w:tcW w:w="18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1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Analytics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585,223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555,145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526,845</w:t>
            </w:r>
          </w:p>
        </w:tc>
        <w:tc>
          <w:tcPr>
            <w:tcW w:w="18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ESG and Climate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199,597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138,317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101,423</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r>
      <w:tr>
        <w:trPr>
          <w:trHeight w:val="224"/>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All Other - Private Assets</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135,150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50,824</w:t>
            </w:r>
          </w:p>
        </w:tc>
        <w:tc>
          <w:tcPr>
            <w:tcW w:w="18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139.2%</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r>
      <w:tr>
        <w:trPr>
          <w:trHeight w:val="256"/>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Run 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2,203,881</w:t>
            </w: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1,832,460</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1,634,489</w:t>
            </w:r>
          </w:p>
        </w:tc>
        <w:tc>
          <w:tcPr>
            <w:tcW w:w="1840" w:type="dxa"/>
            <w:vAlign w:val="bottom"/>
            <w:tcBorders>
              <w:bottom w:val="single" w:sz="8" w:color="CFF0FC"/>
            </w:tcBorders>
            <w:gridSpan w:val="3"/>
          </w:tcPr>
          <w:p>
            <w:pPr>
              <w:jc w:val="right"/>
              <w:ind w:right="200"/>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12.1%</w:t>
            </w:r>
          </w:p>
        </w:tc>
      </w:tr>
      <w:tr>
        <w:trPr>
          <w:trHeight w:val="203"/>
        </w:trPr>
        <w:tc>
          <w:tcPr>
            <w:tcW w:w="4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Recurring subscriptions 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1,614,561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1,368,352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1,238,349</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24"/>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Asset-based fees</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589,320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464,108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396,140</w:t>
            </w:r>
          </w:p>
        </w:tc>
        <w:tc>
          <w:tcPr>
            <w:tcW w:w="18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Run 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2,203,881</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1,832,460</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1,634,489</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December 31, 2021 Compared to December 31, 2020</w:t>
      </w:r>
    </w:p>
    <w:p>
      <w:pPr>
        <w:spacing w:after="0" w:line="220" w:lineRule="exact"/>
        <w:rPr>
          <w:sz w:val="20"/>
          <w:szCs w:val="20"/>
          <w:color w:val="auto"/>
        </w:rPr>
      </w:pPr>
    </w:p>
    <w:p>
      <w:pPr>
        <w:jc w:val="both"/>
        <w:ind w:right="20" w:firstLine="589"/>
        <w:spacing w:after="0" w:line="361" w:lineRule="auto"/>
        <w:rPr>
          <w:sz w:val="20"/>
          <w:szCs w:val="20"/>
          <w:color w:val="auto"/>
        </w:rPr>
      </w:pPr>
      <w:r>
        <w:rPr>
          <w:rFonts w:ascii="Arial" w:cs="Arial" w:eastAsia="Arial" w:hAnsi="Arial"/>
          <w:sz w:val="15"/>
          <w:szCs w:val="15"/>
          <w:color w:val="auto"/>
        </w:rPr>
        <w:t>Total Run Rate increased 20.3%, driven by an 18.0% increase from recurring subscriptions and 27.0% increase from asset-based fees. Adjusting for the impact of acquisitions or foreign currency exchange rate fluctuations, recurring subscriptions Run Rate would have increased 12.4% and 19.0%, respectively.</w:t>
      </w:r>
    </w:p>
    <w:p>
      <w:pPr>
        <w:spacing w:after="0" w:line="112" w:lineRule="exact"/>
        <w:rPr>
          <w:sz w:val="20"/>
          <w:szCs w:val="20"/>
          <w:color w:val="auto"/>
        </w:rPr>
      </w:pPr>
    </w:p>
    <w:p>
      <w:pPr>
        <w:jc w:val="both"/>
        <w:ind w:right="40" w:firstLine="589"/>
        <w:spacing w:after="0" w:line="261" w:lineRule="auto"/>
        <w:rPr>
          <w:sz w:val="20"/>
          <w:szCs w:val="20"/>
          <w:color w:val="auto"/>
        </w:rPr>
      </w:pPr>
      <w:r>
        <w:rPr>
          <w:rFonts w:ascii="Arial" w:cs="Arial" w:eastAsia="Arial" w:hAnsi="Arial"/>
          <w:sz w:val="18"/>
          <w:szCs w:val="18"/>
          <w:color w:val="auto"/>
        </w:rPr>
        <w:t>Run Rate from Index asset-based fees increased 27.0%, primarily driven by higher AUM in ETFs and non-ETF indexed funds linked to MSCI indexes, partially offset by a 0.13 average basis point fee decrease in ETFs.</w:t>
      </w:r>
    </w:p>
    <w:p>
      <w:pPr>
        <w:spacing w:after="0" w:line="181" w:lineRule="exact"/>
        <w:rPr>
          <w:sz w:val="20"/>
          <w:szCs w:val="20"/>
          <w:color w:val="auto"/>
        </w:rPr>
      </w:pPr>
    </w:p>
    <w:p>
      <w:pPr>
        <w:jc w:val="both"/>
        <w:ind w:right="20" w:firstLine="589"/>
        <w:spacing w:after="0" w:line="261" w:lineRule="auto"/>
        <w:rPr>
          <w:sz w:val="20"/>
          <w:szCs w:val="20"/>
          <w:color w:val="auto"/>
        </w:rPr>
      </w:pPr>
      <w:r>
        <w:rPr>
          <w:rFonts w:ascii="Arial" w:cs="Arial" w:eastAsia="Arial" w:hAnsi="Arial"/>
          <w:sz w:val="18"/>
          <w:szCs w:val="18"/>
          <w:color w:val="auto"/>
        </w:rPr>
        <w:t>Run Rate from Index recurring subscriptions increased 12.3%, primarily driven by growth from market cap-weighted index products and strong growth from factor, ESG and climate index products and reflected growth across all regions and client segments.</w:t>
      </w:r>
    </w:p>
    <w:p>
      <w:pPr>
        <w:spacing w:after="0" w:line="181"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Run Rate from Analytics products increased 5.4%, primarily driven by growth in both Multi-Asset Class and Equity Analytics products. Adjusting for the impact of foreign currency exchange rate fluctuations, Analytics Run Rate would have increased 6.8%.</w:t>
      </w:r>
    </w:p>
    <w:p>
      <w:pPr>
        <w:spacing w:after="0" w:line="181" w:lineRule="exact"/>
        <w:rPr>
          <w:sz w:val="20"/>
          <w:szCs w:val="20"/>
          <w:color w:val="auto"/>
        </w:rPr>
      </w:pPr>
    </w:p>
    <w:p>
      <w:pPr>
        <w:ind w:right="460" w:firstLine="589"/>
        <w:spacing w:after="0" w:line="324" w:lineRule="auto"/>
        <w:rPr>
          <w:sz w:val="20"/>
          <w:szCs w:val="20"/>
          <w:color w:val="auto"/>
        </w:rPr>
      </w:pPr>
      <w:r>
        <w:rPr>
          <w:rFonts w:ascii="Arial" w:cs="Arial" w:eastAsia="Arial" w:hAnsi="Arial"/>
          <w:sz w:val="16"/>
          <w:szCs w:val="16"/>
          <w:color w:val="auto"/>
        </w:rPr>
        <w:t>Run Rate from ESG and Climate products increased 44.3%, driven by growth in all products, primarily driven by growth in Ratings, Climate and Screening products. Adjusting for the impact of foreign currency, ESG and Climate Run Rate would have increased 47.1%.</w:t>
      </w:r>
    </w:p>
    <w:p>
      <w:pPr>
        <w:spacing w:after="0" w:line="134" w:lineRule="exact"/>
        <w:rPr>
          <w:sz w:val="20"/>
          <w:szCs w:val="20"/>
          <w:color w:val="auto"/>
        </w:rPr>
      </w:pPr>
    </w:p>
    <w:p>
      <w:pPr>
        <w:ind w:right="100" w:firstLine="589"/>
        <w:spacing w:after="0" w:line="249" w:lineRule="auto"/>
        <w:rPr>
          <w:sz w:val="20"/>
          <w:szCs w:val="20"/>
          <w:color w:val="auto"/>
        </w:rPr>
      </w:pPr>
      <w:r>
        <w:rPr>
          <w:rFonts w:ascii="Arial" w:cs="Arial" w:eastAsia="Arial" w:hAnsi="Arial"/>
          <w:sz w:val="18"/>
          <w:szCs w:val="18"/>
          <w:color w:val="auto"/>
        </w:rPr>
        <w:t>Run Rate from All Other - Private Assets increased 139.2%, primarily driven by the acquisition of RCA and growth in the Global Intel products. Adjusting for both the impact of acquisitions and foreign currency exchange rate fluctuations, All Other - Private Assets Run Rate would have increased 7.6%. Adjusting for the impact of acquisitions or foreign currency exchange rate fluctuations, All Other - Private Assets Run Rate would have increased 4.7% and 143.5%,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December 31, 2020 Compared to December 31, 2019</w:t>
      </w:r>
    </w:p>
    <w:p>
      <w:pPr>
        <w:spacing w:after="0" w:line="220" w:lineRule="exact"/>
        <w:rPr>
          <w:sz w:val="20"/>
          <w:szCs w:val="20"/>
          <w:color w:val="auto"/>
        </w:rPr>
      </w:pPr>
    </w:p>
    <w:p>
      <w:pPr>
        <w:ind w:right="300" w:firstLine="589"/>
        <w:spacing w:after="0" w:line="261" w:lineRule="auto"/>
        <w:rPr>
          <w:sz w:val="20"/>
          <w:szCs w:val="20"/>
          <w:color w:val="auto"/>
        </w:rPr>
      </w:pPr>
      <w:r>
        <w:rPr>
          <w:rFonts w:ascii="Arial" w:cs="Arial" w:eastAsia="Arial" w:hAnsi="Arial"/>
          <w:sz w:val="18"/>
          <w:szCs w:val="18"/>
          <w:color w:val="auto"/>
        </w:rPr>
        <w:t>Total Run Rate grew 12.1%. Recurring subscription Run Rate grew 10.5%. Adjusting for the impact of foreign currency exchange rate fluctuations, recurring subscriptions Run Rate would have increased 9.4%.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55" w:name="page56"/>
    <w:bookmarkEnd w:id="55"/>
    <w:p>
      <w:pPr>
        <w:ind w:left="600"/>
        <w:spacing w:after="0"/>
        <w:rPr>
          <w:sz w:val="20"/>
          <w:szCs w:val="20"/>
          <w:color w:val="auto"/>
        </w:rPr>
      </w:pPr>
      <w:r>
        <w:rPr>
          <w:rFonts w:ascii="Arial" w:cs="Arial" w:eastAsia="Arial" w:hAnsi="Arial"/>
          <w:sz w:val="16"/>
          <w:szCs w:val="16"/>
          <w:color w:val="auto"/>
        </w:rPr>
        <w:t>Run Rate from asset-based fees increased 17.2%, driven by higher AUM in equity ETFs linked to MSCI indexes, higher prices in futures and options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higher prices in non-ETF indexed funds linked to MSCI indexes. Partially offsetting the impact of the increase in AUM in equity ETFs linked to MSCI</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indexes was a change in fee levels of certain products as well as change in product mix, which was the primary driver of a decline in average basis point fees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2.67 at December 31, 2020 from 2.82 at December 31, 2019. As of December 31, 2020, the value of AUM in equity ETFs linked to MSCI indexes was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$1,103.6 billion, up $169.2 billion, or 18.1%, from $934.4 billion as of December 31, 2019. The increase of $169.2 billion consisted of market appreciation of</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$93.6 billion and net inflows of $75.6 billion.</w:t>
      </w:r>
    </w:p>
    <w:p>
      <w:pPr>
        <w:spacing w:after="0" w:line="202" w:lineRule="exact"/>
        <w:rPr>
          <w:sz w:val="20"/>
          <w:szCs w:val="20"/>
          <w:color w:val="auto"/>
        </w:rPr>
      </w:pPr>
    </w:p>
    <w:p>
      <w:pPr>
        <w:ind w:right="80" w:firstLine="589"/>
        <w:spacing w:after="0" w:line="261" w:lineRule="auto"/>
        <w:rPr>
          <w:sz w:val="20"/>
          <w:szCs w:val="20"/>
          <w:color w:val="auto"/>
        </w:rPr>
      </w:pPr>
      <w:r>
        <w:rPr>
          <w:rFonts w:ascii="Arial" w:cs="Arial" w:eastAsia="Arial" w:hAnsi="Arial"/>
          <w:sz w:val="18"/>
          <w:szCs w:val="18"/>
          <w:color w:val="auto"/>
        </w:rPr>
        <w:t>Index recurring subscription Run Rate grew 10.6%, primarily driven by strong growth in market cap-weighted index products, custom and specialized index products and factor and ESG and climate index products.</w:t>
      </w:r>
    </w:p>
    <w:p>
      <w:pPr>
        <w:spacing w:after="0" w:line="181" w:lineRule="exact"/>
        <w:rPr>
          <w:sz w:val="20"/>
          <w:szCs w:val="20"/>
          <w:color w:val="auto"/>
        </w:rPr>
      </w:pPr>
    </w:p>
    <w:p>
      <w:pPr>
        <w:ind w:firstLine="589"/>
        <w:spacing w:after="0" w:line="261" w:lineRule="auto"/>
        <w:rPr>
          <w:sz w:val="20"/>
          <w:szCs w:val="20"/>
          <w:color w:val="auto"/>
        </w:rPr>
      </w:pPr>
      <w:r>
        <w:rPr>
          <w:rFonts w:ascii="Arial" w:cs="Arial" w:eastAsia="Arial" w:hAnsi="Arial"/>
          <w:sz w:val="18"/>
          <w:szCs w:val="18"/>
          <w:color w:val="auto"/>
        </w:rPr>
        <w:t>Run Rate from Analytics products increased 5.4%, driven by growth in both Multi-Asset Class and Equity Analytics products. Adjusting for the impact of foreign currency exchange rate fluctuations, Analytics Run Rate would have increased 4.0%.</w:t>
      </w:r>
    </w:p>
    <w:p>
      <w:pPr>
        <w:spacing w:after="0" w:line="181" w:lineRule="exact"/>
        <w:rPr>
          <w:sz w:val="20"/>
          <w:szCs w:val="20"/>
          <w:color w:val="auto"/>
        </w:rPr>
      </w:pPr>
    </w:p>
    <w:p>
      <w:pPr>
        <w:ind w:right="400" w:firstLine="589"/>
        <w:spacing w:after="0" w:line="261" w:lineRule="auto"/>
        <w:rPr>
          <w:sz w:val="20"/>
          <w:szCs w:val="20"/>
          <w:color w:val="auto"/>
        </w:rPr>
      </w:pPr>
      <w:r>
        <w:rPr>
          <w:rFonts w:ascii="Arial" w:cs="Arial" w:eastAsia="Arial" w:hAnsi="Arial"/>
          <w:sz w:val="18"/>
          <w:szCs w:val="18"/>
          <w:color w:val="auto"/>
        </w:rPr>
        <w:t>Run Rate from ESG and Climate products increased 36.4%, primarily driven by strong growth in Ratings and Climate products. Adjusting for the impact of foreign currency exchange rate fluctuations, ESG and Climate Run Rate would have increased 32.6%.</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Run Rate from All Other - Private Assets increased 11.2%, primarily driven by growth in both Enterprise Analytics and Global Intel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Adjusting for the impact of foreign currency exchange rate fluctuations, All Other – Private Assets Run Rate would have increased 6.6%.</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Sales</w:t>
      </w:r>
    </w:p>
    <w:p>
      <w:pPr>
        <w:spacing w:after="0" w:line="108"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Sales represents the annualized value of products and services clients commit to purchase from MSCI and will result in additional operating revenues. Non-recurring sales represent the actual value of the customer agreements entered into during the period and are not a component of Run Rate. New recurring subscription sales represent additional selling activities, such as new customer agreements, additions to existing agreements or increases in price that occurred during the period and are additions to Run Rate. Subscription cancellations reflect client activities during the period, such as discontinuing products and services and/or reductions in price, resulting in reductions to Run Rate. Net new recurring subscription sales represent the amount of new recurring subscription sales net of subscription cancellations during the period, which reflects the net impact to Run Rate during the period.</w:t>
      </w:r>
    </w:p>
    <w:p>
      <w:pPr>
        <w:spacing w:after="0" w:line="166" w:lineRule="exact"/>
        <w:rPr>
          <w:sz w:val="20"/>
          <w:szCs w:val="20"/>
          <w:color w:val="auto"/>
        </w:rPr>
      </w:pPr>
    </w:p>
    <w:p>
      <w:pPr>
        <w:ind w:right="120" w:firstLine="589"/>
        <w:spacing w:after="0" w:line="261" w:lineRule="auto"/>
        <w:rPr>
          <w:sz w:val="20"/>
          <w:szCs w:val="20"/>
          <w:color w:val="auto"/>
        </w:rPr>
      </w:pPr>
      <w:r>
        <w:rPr>
          <w:rFonts w:ascii="Arial" w:cs="Arial" w:eastAsia="Arial" w:hAnsi="Arial"/>
          <w:sz w:val="18"/>
          <w:szCs w:val="18"/>
          <w:color w:val="auto"/>
        </w:rPr>
        <w:t>Total gross sales represent the sum of new recurring subscription sales and non-recurring sales. Total net sales represent the total gross sales net of the impact from subscription cancellations.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56" w:name="page57"/>
    <w:bookmarkEnd w:id="56"/>
    <w:p>
      <w:pPr>
        <w:ind w:left="600"/>
        <w:spacing w:after="0"/>
        <w:rPr>
          <w:sz w:val="20"/>
          <w:szCs w:val="20"/>
          <w:color w:val="auto"/>
        </w:rPr>
      </w:pPr>
      <w:r>
        <w:rPr>
          <w:rFonts w:ascii="Arial" w:cs="Arial" w:eastAsia="Arial" w:hAnsi="Arial"/>
          <w:sz w:val="16"/>
          <w:szCs w:val="16"/>
          <w:color w:val="auto"/>
        </w:rPr>
        <w:t>The following table presents our recurring subscription sales, cancellations and non-recurring sales by reportable segment for the years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7"/>
              </w:rPr>
              <w:t>% Change</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73"/>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2"/>
                <w:szCs w:val="12"/>
                <w:color w:val="auto"/>
              </w:rPr>
            </w:pPr>
          </w:p>
        </w:tc>
        <w:tc>
          <w:tcPr>
            <w:tcW w:w="1780" w:type="dxa"/>
            <w:vAlign w:val="bottom"/>
            <w:gridSpan w:val="3"/>
          </w:tcPr>
          <w:p>
            <w:pPr>
              <w:jc w:val="center"/>
              <w:ind w:right="56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tcPr>
          <w:p>
            <w:pPr>
              <w:jc w:val="right"/>
              <w:ind w:right="133"/>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2021 to 2020</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2020 to 2019</w:t>
            </w: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New recurring subscription sales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99,686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85,411</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78,325</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Analytics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66,992</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ESG and Climate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24,877</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 Private Assets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7,675</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recurring subscription sales total</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255,448</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193,856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177,869</w:t>
            </w:r>
          </w:p>
        </w:tc>
        <w:tc>
          <w:tcPr>
            <w:tcW w:w="280" w:type="dxa"/>
            <w:vAlign w:val="bottom"/>
            <w:tcBorders>
              <w:bottom w:val="single" w:sz="8" w:color="CFF0FC"/>
            </w:tcBorders>
          </w:tcPr>
          <w:p>
            <w:pPr>
              <w:spacing w:after="0"/>
              <w:rPr>
                <w:sz w:val="18"/>
                <w:szCs w:val="18"/>
                <w:color w:val="auto"/>
              </w:rPr>
            </w:pPr>
          </w:p>
        </w:tc>
        <w:tc>
          <w:tcPr>
            <w:tcW w:w="16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31.8%</w:t>
            </w:r>
          </w:p>
        </w:tc>
        <w:tc>
          <w:tcPr>
            <w:tcW w:w="1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7"/>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Subscription cancellations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(24,399)</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(21,767)</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Analytics</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(34,291)</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(40,003)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(31,623)</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ESG and Climate</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(3,928)</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 Private Assets</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(2,540)</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141.7%</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Subscription cancellations total</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line="20" w:lineRule="exact"/>
              <w:rPr>
                <w:sz w:val="1"/>
                <w:szCs w:val="1"/>
                <w:color w:val="auto"/>
              </w:rPr>
            </w:pPr>
          </w:p>
        </w:tc>
        <w:tc>
          <w:tcPr>
            <w:tcW w:w="1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line="20" w:lineRule="exact"/>
              <w:rPr>
                <w:sz w:val="1"/>
                <w:szCs w:val="1"/>
                <w:color w:val="auto"/>
              </w:rPr>
            </w:pPr>
          </w:p>
        </w:tc>
      </w:tr>
      <w:tr>
        <w:trPr>
          <w:trHeight w:val="216"/>
        </w:trPr>
        <w:tc>
          <w:tcPr>
            <w:tcW w:w="4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(70,238)</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(59,858)</w:t>
            </w: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new recurring subscription sales</w:t>
            </w: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56,558</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Analytics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35,369</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ESG and Climate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65,153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20,949</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 Private Assets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new recurring subscription sales total</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185,210</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118,075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118,011</w:t>
            </w:r>
          </w:p>
        </w:tc>
        <w:tc>
          <w:tcPr>
            <w:tcW w:w="280" w:type="dxa"/>
            <w:vAlign w:val="bottom"/>
            <w:tcBorders>
              <w:bottom w:val="single" w:sz="8" w:color="CFF0FC"/>
            </w:tcBorders>
          </w:tcPr>
          <w:p>
            <w:pPr>
              <w:spacing w:after="0"/>
              <w:rPr>
                <w:sz w:val="18"/>
                <w:szCs w:val="18"/>
                <w:color w:val="auto"/>
              </w:rPr>
            </w:pPr>
          </w:p>
        </w:tc>
        <w:tc>
          <w:tcPr>
            <w:tcW w:w="16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56.9%</w:t>
            </w:r>
          </w:p>
        </w:tc>
        <w:tc>
          <w:tcPr>
            <w:tcW w:w="1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Non-recurring sales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30,262</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Analytics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15,947</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ESG and Climate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1,587</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264.6%</w:t>
            </w: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 Private Assets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Non-recurring sales total</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72,266</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49,099</w:t>
            </w:r>
          </w:p>
        </w:tc>
        <w:tc>
          <w:tcPr>
            <w:tcW w:w="280" w:type="dxa"/>
            <w:vAlign w:val="bottom"/>
            <w:tcBorders>
              <w:bottom w:val="single" w:sz="8" w:color="CFF0FC"/>
            </w:tcBorders>
          </w:tcPr>
          <w:p>
            <w:pPr>
              <w:spacing w:after="0"/>
              <w:rPr>
                <w:sz w:val="18"/>
                <w:szCs w:val="18"/>
                <w:color w:val="auto"/>
              </w:rPr>
            </w:pPr>
          </w:p>
        </w:tc>
        <w:tc>
          <w:tcPr>
            <w:tcW w:w="16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7"/>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Gross sales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153,716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126,874</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108,587</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Analytics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84,063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82,939</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ESG and Climate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26,464</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 Private Assets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15,836</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8,978</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0"/>
                <w:szCs w:val="20"/>
                <w:color w:val="auto"/>
              </w:rPr>
            </w:pPr>
            <w:r>
              <w:rPr>
                <w:rFonts w:ascii="Arial" w:cs="Arial" w:eastAsia="Arial" w:hAnsi="Arial"/>
                <w:sz w:val="18"/>
                <w:szCs w:val="18"/>
                <w:color w:val="auto"/>
              </w:rPr>
              <w:t>Total gross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327,714</w:t>
            </w:r>
          </w:p>
        </w:tc>
        <w:tc>
          <w:tcPr>
            <w:tcW w:w="2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248,891</w:t>
            </w:r>
          </w:p>
        </w:tc>
        <w:tc>
          <w:tcPr>
            <w:tcW w:w="16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226,968</w:t>
            </w:r>
          </w:p>
        </w:tc>
        <w:tc>
          <w:tcPr>
            <w:tcW w:w="28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402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129,317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99,476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86,820</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Analytics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49,772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51,316</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ESG and Climate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22,536</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 Private Assets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9,099</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257,476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173,110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167,110</w:t>
            </w:r>
          </w:p>
        </w:tc>
        <w:tc>
          <w:tcPr>
            <w:tcW w:w="2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694"/>
              <w:spacing w:after="0"/>
              <w:rPr>
                <w:sz w:val="20"/>
                <w:szCs w:val="20"/>
                <w:color w:val="auto"/>
              </w:rPr>
            </w:pPr>
            <w:r>
              <w:rPr>
                <w:rFonts w:ascii="Arial" w:cs="Arial" w:eastAsia="Arial" w:hAnsi="Arial"/>
                <w:sz w:val="18"/>
                <w:szCs w:val="18"/>
                <w:color w:val="auto"/>
                <w:w w:val="99"/>
              </w:rPr>
              <w:t>54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7" w:name="page58"/>
    <w:bookmarkEnd w:id="57"/>
    <w:p>
      <w:pPr>
        <w:ind w:left="300"/>
        <w:spacing w:after="0"/>
        <w:rPr>
          <w:sz w:val="20"/>
          <w:szCs w:val="20"/>
          <w:color w:val="auto"/>
        </w:rPr>
      </w:pPr>
      <w:r>
        <w:rPr>
          <w:rFonts w:ascii="Arial" w:cs="Arial" w:eastAsia="Arial" w:hAnsi="Arial"/>
          <w:sz w:val="18"/>
          <w:szCs w:val="18"/>
          <w:i w:val="1"/>
          <w:iCs w:val="1"/>
          <w:color w:val="auto"/>
        </w:rPr>
        <w:t>Retention Rate</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Another key metric is our “Retention Rate.” The following table presents our Retention Rate by reportable segment for the periods indicated:</w:t>
      </w:r>
    </w:p>
    <w:p>
      <w:pPr>
        <w:spacing w:after="0" w:line="32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ESG and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All Other -</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Index</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Analytics</w:t>
            </w:r>
          </w:p>
        </w:tc>
        <w:tc>
          <w:tcPr>
            <w:tcW w:w="960" w:type="dxa"/>
            <w:vAlign w:val="bottom"/>
            <w:gridSpan w:val="2"/>
            <w:vMerge w:val="continue"/>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Private</w:t>
            </w:r>
          </w:p>
        </w:tc>
        <w:tc>
          <w:tcPr>
            <w:tcW w:w="28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Climate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2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Three Months Ended March 31,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96.6%</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95.8%</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97.0%</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95.1%</w:t>
            </w:r>
          </w:p>
        </w:tc>
        <w:tc>
          <w:tcPr>
            <w:tcW w:w="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June 30,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95.6%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92.7%</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96.4%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93.7%</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Three Months Ended September 30,</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96.0%</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93.4%</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96.1%</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91.0%</w:t>
            </w:r>
          </w:p>
        </w:tc>
        <w:tc>
          <w:tcPr>
            <w:tcW w:w="280" w:type="dxa"/>
            <w:vAlign w:val="bottom"/>
          </w:tcPr>
          <w:p>
            <w:pPr>
              <w:jc w:val="right"/>
              <w:spacing w:after="0"/>
              <w:rPr>
                <w:sz w:val="20"/>
                <w:szCs w:val="20"/>
                <w:color w:val="auto"/>
              </w:rPr>
            </w:pPr>
            <w:r>
              <w:rPr>
                <w:rFonts w:ascii="Arial" w:cs="Arial" w:eastAsia="Arial" w:hAnsi="Arial"/>
                <w:sz w:val="15"/>
                <w:szCs w:val="15"/>
                <w:color w:val="auto"/>
              </w:rPr>
              <w:t>(1)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December 31,</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96.0%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93.4%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96.6%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88.1%</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96.1%</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93.8%</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96.5%</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90.5%</w:t>
            </w:r>
          </w:p>
        </w:tc>
        <w:tc>
          <w:tcPr>
            <w:tcW w:w="280" w:type="dxa"/>
            <w:vAlign w:val="bottom"/>
          </w:tcPr>
          <w:p>
            <w:pPr>
              <w:jc w:val="right"/>
              <w:spacing w:after="0"/>
              <w:rPr>
                <w:sz w:val="20"/>
                <w:szCs w:val="20"/>
                <w:color w:val="auto"/>
              </w:rPr>
            </w:pPr>
            <w:r>
              <w:rPr>
                <w:rFonts w:ascii="Arial" w:cs="Arial" w:eastAsia="Arial" w:hAnsi="Arial"/>
                <w:sz w:val="15"/>
                <w:szCs w:val="15"/>
                <w:color w:val="auto"/>
              </w:rPr>
              <w:t>(1)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Three Months Ended March 31,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96.3%</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93.7%</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94.1%</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95.7%</w:t>
            </w:r>
          </w:p>
        </w:tc>
        <w:tc>
          <w:tcPr>
            <w:tcW w:w="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June 30,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94.7%</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92.0%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93.1%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96.2%</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Three Months Ended September 30,</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95.0%</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93.8%</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95.2%</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94.8%</w:t>
            </w:r>
          </w:p>
        </w:tc>
        <w:tc>
          <w:tcPr>
            <w:tcW w:w="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December 31,</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90.1%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95.6%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91.4%</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95.1%</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92.4%</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94.5%</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94.5%</w:t>
            </w:r>
          </w:p>
        </w:tc>
        <w:tc>
          <w:tcPr>
            <w:tcW w:w="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Three Months Ended March 31,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96.5%</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93.7%</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96.0%</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95.7%</w:t>
            </w:r>
          </w:p>
        </w:tc>
        <w:tc>
          <w:tcPr>
            <w:tcW w:w="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June 30,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97.1%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93.4%</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Three Months Ended September 30,</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96.0%</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93.6%</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96.6%</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97.1%</w:t>
            </w:r>
          </w:p>
        </w:tc>
        <w:tc>
          <w:tcPr>
            <w:tcW w:w="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December 31,</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93.0%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92.8%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93.4%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91.5%</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95.7%</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93.6%</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95.1%</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94.4%</w:t>
            </w:r>
          </w:p>
        </w:tc>
        <w:tc>
          <w:tcPr>
            <w:tcW w:w="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94.7%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9931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46" w:lineRule="exact"/>
        <w:rPr>
          <w:sz w:val="20"/>
          <w:szCs w:val="20"/>
          <w:color w:val="auto"/>
        </w:rPr>
      </w:pPr>
    </w:p>
    <w:p>
      <w:pPr>
        <w:ind w:left="580" w:right="160" w:hanging="575"/>
        <w:spacing w:after="0" w:line="232" w:lineRule="auto"/>
        <w:tabs>
          <w:tab w:leader="none" w:pos="580" w:val="left"/>
        </w:tabs>
        <w:numPr>
          <w:ilvl w:val="0"/>
          <w:numId w:val="35"/>
        </w:numPr>
        <w:rPr>
          <w:rFonts w:ascii="Arial" w:cs="Arial" w:eastAsia="Arial" w:hAnsi="Arial"/>
          <w:sz w:val="15"/>
          <w:szCs w:val="15"/>
          <w:color w:val="auto"/>
        </w:rPr>
      </w:pPr>
      <w:r>
        <w:rPr>
          <w:rFonts w:ascii="Arial" w:cs="Arial" w:eastAsia="Arial" w:hAnsi="Arial"/>
          <w:sz w:val="14"/>
          <w:szCs w:val="14"/>
          <w:color w:val="auto"/>
        </w:rPr>
        <w:t>Includes RCA’s Run Rate commencing as of the acquisition date of September 13, 2021. Retention rate for All Other – Private Assets excluding the impact of RCA was 93.7%, 87.0% and 92.4% for the three months ended September 30, 2021, three months ended December 31, 2021 and year ended December 31, 2021, respectively.</w:t>
      </w:r>
    </w:p>
    <w:p>
      <w:pPr>
        <w:spacing w:after="0" w:line="210" w:lineRule="exact"/>
        <w:rPr>
          <w:sz w:val="20"/>
          <w:szCs w:val="20"/>
          <w:color w:val="auto"/>
        </w:rPr>
      </w:pPr>
    </w:p>
    <w:p>
      <w:pPr>
        <w:jc w:val="both"/>
        <w:ind w:firstLine="589"/>
        <w:spacing w:after="0" w:line="252" w:lineRule="auto"/>
        <w:rPr>
          <w:sz w:val="20"/>
          <w:szCs w:val="20"/>
          <w:color w:val="auto"/>
        </w:rPr>
      </w:pPr>
      <w:r>
        <w:rPr>
          <w:rFonts w:ascii="Arial" w:cs="Arial" w:eastAsia="Arial" w:hAnsi="Arial"/>
          <w:sz w:val="18"/>
          <w:szCs w:val="18"/>
          <w:color w:val="auto"/>
        </w:rPr>
        <w:t>Retention Rate is an important metric because subscription cancellations decrease our Run Rate and ultimately our future operating revenues over time. The annual Retention Rate represents the retained subscription Run Rate (subscription Run Rate at the beginning of the fiscal year less actual cancels during the year) as a percentage of the subscription Run Rate at the beginning of the fiscal year.</w:t>
      </w:r>
    </w:p>
    <w:p>
      <w:pPr>
        <w:spacing w:after="0" w:line="189"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The Retention Rate for a non-annual period is calculated by annualizing the cancellations for which we have received a notice of termination or for which we believe there is an intention not to renew or discontinue the subscription during the non-annual period, and we believe that such notice or intention evidences the client’s final decision to terminate or not renew the applicable agreement, even though such notice is not effective until a later date. This annualized cancellation figure is then divided by the subscription Run Rate at the beginning of the fiscal year to calculate a cancellation rate. This cancellation rate is then subtracted from 100% to derive the annualized Retention Rate for the period.</w:t>
      </w:r>
    </w:p>
    <w:p>
      <w:pPr>
        <w:spacing w:after="0" w:line="166"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For example, in the fourth quarter of 2021, we recorded cancellations of $20.3 million. To derive the Retention Rate for the fourth quarter, we annualized the actual cancellations during the quarter of $20.3 million to derive $81.4 million of annualized cancellations. This $81.4 million was then divided by the $1,444.2 million subscription Run Rate at the beginning of the year, which included RCA's Run Rate as of the date of acquisition, to derive a cancellation rate of 5.6%. The 5.6% was then subtracted from 100.0% to derive a Retention Rate of 94.4% for the fourth quarter.</w:t>
      </w:r>
    </w:p>
    <w:p>
      <w:pPr>
        <w:spacing w:after="0" w:line="162" w:lineRule="exact"/>
        <w:rPr>
          <w:sz w:val="20"/>
          <w:szCs w:val="20"/>
          <w:color w:val="auto"/>
        </w:rPr>
      </w:pPr>
    </w:p>
    <w:p>
      <w:pPr>
        <w:ind w:right="120" w:firstLine="589"/>
        <w:spacing w:after="0" w:line="306" w:lineRule="auto"/>
        <w:rPr>
          <w:sz w:val="20"/>
          <w:szCs w:val="20"/>
          <w:color w:val="auto"/>
        </w:rPr>
      </w:pPr>
      <w:r>
        <w:rPr>
          <w:rFonts w:ascii="Arial" w:cs="Arial" w:eastAsia="Arial" w:hAnsi="Arial"/>
          <w:sz w:val="15"/>
          <w:szCs w:val="15"/>
          <w:color w:val="auto"/>
        </w:rPr>
        <w:t>Retention Rate is computed by operating segment on a product/service-by-product/service basis. In general, if a client reduces the number of products or services to which it subscribes within a segment, or switches between products or services within a segment, we treat it as a cancellation for purposes of calculating our Retention Rate except in the case of a product or service switch that management considers to be a replacement product or service. In those replacement cases, only the net change to the client subscription, if a decrease, is reported as a cancel. In the Analytics and the ESG and Climate operating segments, substantially all product or service switches are treated as replacement products or services and netted in this manner, while in our Index and Real Estate operating segments, product or service switches that are treated as replacement products or services and receive netting treatment occur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8" w:name="page59"/>
    <w:bookmarkEnd w:id="58"/>
    <w:p>
      <w:pPr>
        <w:ind w:right="60"/>
        <w:spacing w:after="0" w:line="252" w:lineRule="auto"/>
        <w:rPr>
          <w:sz w:val="20"/>
          <w:szCs w:val="20"/>
          <w:color w:val="auto"/>
        </w:rPr>
      </w:pPr>
      <w:r>
        <w:rPr>
          <w:rFonts w:ascii="Arial" w:cs="Arial" w:eastAsia="Arial" w:hAnsi="Arial"/>
          <w:sz w:val="18"/>
          <w:szCs w:val="18"/>
          <w:color w:val="auto"/>
        </w:rPr>
        <w:t>only in certain limited instances. In addition, we treat any reduction in fees resulting from a down-sell of the same product or service as a cancellation to the extent of the reduction. We do not calculate Retention Rate for that portion of our Run Rate attributable to assets in index-linked investment products or futures and options contracts, in each case, linked to our indexes.</w:t>
      </w:r>
    </w:p>
    <w:p>
      <w:pPr>
        <w:spacing w:after="0" w:line="189" w:lineRule="exact"/>
        <w:rPr>
          <w:sz w:val="20"/>
          <w:szCs w:val="20"/>
          <w:color w:val="auto"/>
        </w:rPr>
      </w:pPr>
    </w:p>
    <w:p>
      <w:pPr>
        <w:ind w:right="400" w:firstLine="589"/>
        <w:spacing w:after="0" w:line="324" w:lineRule="auto"/>
        <w:rPr>
          <w:sz w:val="20"/>
          <w:szCs w:val="20"/>
          <w:color w:val="auto"/>
        </w:rPr>
      </w:pPr>
      <w:r>
        <w:rPr>
          <w:rFonts w:ascii="Arial" w:cs="Arial" w:eastAsia="Arial" w:hAnsi="Arial"/>
          <w:sz w:val="16"/>
          <w:szCs w:val="16"/>
          <w:color w:val="auto"/>
        </w:rPr>
        <w:t>For the year ended December 31, 2021, 29.0% of our cancellations occurred in the fourth quarter. In our product lines, Retention Rate is generally higher during the first three quarters and lower in the fourth quarter, as the fourth quarter is traditionally the largest renewal period in the year.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ind w:right="240" w:firstLine="589"/>
        <w:spacing w:after="0" w:line="284" w:lineRule="auto"/>
        <w:rPr>
          <w:sz w:val="20"/>
          <w:szCs w:val="20"/>
          <w:color w:val="auto"/>
        </w:rPr>
      </w:pPr>
      <w:r>
        <w:rPr>
          <w:rFonts w:ascii="Arial" w:cs="Arial" w:eastAsia="Arial" w:hAnsi="Arial"/>
          <w:sz w:val="16"/>
          <w:szCs w:val="16"/>
          <w:color w:val="auto"/>
        </w:rPr>
        <w:t>We require capital to fund ongoing operations, internal growth initiatives and acquisitions. Our primary sources of liquidity are cash flows generated from our operations, existing cash and cash equivalents and credit capacity under our existing credit facility. In addition, we believe we have access to additional funding in the public and private markets. We intend to use these sources of liquidity to, among other things, service our existing and future debt obligations, fund our working capital requirements for capital expenditures, investments, acquisitions and dividend payments, and make repurchases of our common stock. In connection with our business strategy, we regularly evaluate acquisition and strategic partnership opportunities. We believe our liquidity, along with other financing alternatives, will provide the necessary capital to fund these transactions and achieve our planned growth.</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Senior Notes and Credit Agreement</w:t>
      </w:r>
    </w:p>
    <w:p>
      <w:pPr>
        <w:spacing w:after="0" w:line="108" w:lineRule="exact"/>
        <w:rPr>
          <w:sz w:val="20"/>
          <w:szCs w:val="20"/>
          <w:color w:val="auto"/>
        </w:rPr>
      </w:pPr>
    </w:p>
    <w:p>
      <w:pPr>
        <w:ind w:right="60" w:firstLine="589"/>
        <w:spacing w:after="0" w:line="299" w:lineRule="auto"/>
        <w:rPr>
          <w:sz w:val="20"/>
          <w:szCs w:val="20"/>
          <w:color w:val="auto"/>
        </w:rPr>
      </w:pPr>
      <w:r>
        <w:rPr>
          <w:rFonts w:ascii="Arial" w:cs="Arial" w:eastAsia="Arial" w:hAnsi="Arial"/>
          <w:sz w:val="16"/>
          <w:szCs w:val="16"/>
          <w:color w:val="auto"/>
        </w:rPr>
        <w:t>We have an aggregate of $4,200.0 million in senior unsecured notes (collectively, the “Senior Notes”) outstanding and a $500.0 million undrawn Revolving Credit Agreement with a syndicate of banks as of December 31, 2021. See Note 6, “Commitments and Contingencies,” of the Notes to Consolidated Financial Statements included herein for additional information on the Senior Notes and Revolving Credit Agreement.</w:t>
      </w:r>
    </w:p>
    <w:p>
      <w:pPr>
        <w:spacing w:after="0" w:line="154" w:lineRule="exact"/>
        <w:rPr>
          <w:sz w:val="20"/>
          <w:szCs w:val="20"/>
          <w:color w:val="auto"/>
        </w:rPr>
      </w:pPr>
    </w:p>
    <w:p>
      <w:pPr>
        <w:ind w:firstLine="589"/>
        <w:spacing w:after="0" w:line="248" w:lineRule="auto"/>
        <w:rPr>
          <w:sz w:val="20"/>
          <w:szCs w:val="20"/>
          <w:color w:val="auto"/>
        </w:rPr>
      </w:pPr>
      <w:r>
        <w:rPr>
          <w:rFonts w:ascii="Arial" w:cs="Arial" w:eastAsia="Arial" w:hAnsi="Arial"/>
          <w:sz w:val="18"/>
          <w:szCs w:val="18"/>
          <w:color w:val="auto"/>
        </w:rPr>
        <w:t>The Senior Notes and the Revolving Credit Agreement are fully and unconditionally, and jointly and severally, guaranteed by our direct or indirect wholly owned domestic subsidiaries that account for more than 5% of our and our subsidiaries’ consolidated assets, other than certain excluded subsidiaries (the “subsidiary guarantors”). Amounts due under the Revolving Credit Agreement are our and the subsidiary guarantors’ senior unsecured obligations and rank equally with the Senior Notes and any of our other unsecured, unsubordinated debt, senior to any of our subordinated debt and effectively subordinated to our secured debt to the extent of the assets securing such debt.</w:t>
      </w:r>
    </w:p>
    <w:p>
      <w:pPr>
        <w:spacing w:after="0" w:line="192" w:lineRule="exact"/>
        <w:rPr>
          <w:sz w:val="20"/>
          <w:szCs w:val="20"/>
          <w:color w:val="auto"/>
        </w:rPr>
      </w:pPr>
    </w:p>
    <w:p>
      <w:pPr>
        <w:ind w:right="400" w:firstLine="589"/>
        <w:spacing w:after="0" w:line="315" w:lineRule="auto"/>
        <w:rPr>
          <w:sz w:val="20"/>
          <w:szCs w:val="20"/>
          <w:color w:val="auto"/>
        </w:rPr>
      </w:pPr>
      <w:r>
        <w:rPr>
          <w:rFonts w:ascii="Arial" w:cs="Arial" w:eastAsia="Arial" w:hAnsi="Arial"/>
          <w:sz w:val="15"/>
          <w:szCs w:val="15"/>
          <w:color w:val="auto"/>
        </w:rPr>
        <w:t xml:space="preserve">The indentures governing our Senior Notes (the “Indentures”) among us, each of the subsidiary guarantors, and Wells Fargo Bank, National Association, as trustee, contain covenants that limit our and certain of our subsidiaries’ ability to, among other things, incur liens, enter into sale/leaseback transactions and consolidate, merge or sell all or substantially all of our assets. In addition, the Indentures restrict our non-guarantor subsidiaries’ ability to create, assume, incur or guarantee additional indebtedness without such non-guarantor subsidiaries guaranteeing the Senior Notes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w:t>
      </w:r>
    </w:p>
    <w:p>
      <w:pPr>
        <w:spacing w:after="0" w:line="146" w:lineRule="exact"/>
        <w:rPr>
          <w:sz w:val="20"/>
          <w:szCs w:val="20"/>
          <w:color w:val="auto"/>
        </w:rPr>
      </w:pPr>
    </w:p>
    <w:p>
      <w:pPr>
        <w:ind w:right="420" w:firstLine="589"/>
        <w:spacing w:after="0" w:line="261" w:lineRule="auto"/>
        <w:rPr>
          <w:sz w:val="20"/>
          <w:szCs w:val="20"/>
          <w:color w:val="auto"/>
        </w:rPr>
      </w:pPr>
      <w:r>
        <w:rPr>
          <w:rFonts w:ascii="Arial" w:cs="Arial" w:eastAsia="Arial" w:hAnsi="Arial"/>
          <w:sz w:val="18"/>
          <w:szCs w:val="18"/>
          <w:color w:val="auto"/>
        </w:rPr>
        <w:t>The Revolving Credit Agreement contains affirmative and restrictive covenants that, among other things, limit our ability and/or the ability of our existing or future subsidiaries to:</w:t>
      </w:r>
    </w:p>
    <w:p>
      <w:pPr>
        <w:spacing w:after="0" w:line="76" w:lineRule="exact"/>
        <w:rPr>
          <w:sz w:val="20"/>
          <w:szCs w:val="20"/>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liens and further negative pledges;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additional indebtedness or prepay, redeem or repurchase indebtedness;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loans or hold investments;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merge, dissolve, liquidate, consolidate with or into another person;</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acquisition transactions;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disqualified capital stock;</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transfer or dispose of assets;</w:t>
      </w:r>
    </w:p>
    <w:p>
      <w:pPr>
        <w:spacing w:after="0" w:line="108" w:lineRule="exact"/>
        <w:rPr>
          <w:rFonts w:ascii="Arial" w:cs="Arial" w:eastAsia="Arial" w:hAnsi="Arial"/>
          <w:sz w:val="18"/>
          <w:szCs w:val="18"/>
          <w:color w:val="auto"/>
        </w:rPr>
      </w:pPr>
    </w:p>
    <w:p>
      <w:pPr>
        <w:ind w:left="1000" w:right="660" w:hanging="417"/>
        <w:spacing w:after="0" w:line="261"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our capital stock or engage in stock repurchases, redemptions and other restricted payments;</w:t>
      </w:r>
    </w:p>
    <w:p>
      <w:pPr>
        <w:spacing w:after="0" w:line="75" w:lineRule="exact"/>
        <w:rPr>
          <w:rFonts w:ascii="Arial" w:cs="Arial" w:eastAsia="Arial" w:hAnsi="Arial"/>
          <w:sz w:val="18"/>
          <w:szCs w:val="18"/>
          <w:color w:val="auto"/>
        </w:rPr>
      </w:pPr>
    </w:p>
    <w:p>
      <w:pPr>
        <w:ind w:left="1000" w:hanging="4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create new subsidiaries;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9" w:name="page60"/>
    <w:bookmarkEnd w:id="59"/>
    <w:p>
      <w:pPr>
        <w:ind w:left="1000" w:hanging="41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certain restrictions affecting our subsidiaries;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nature of our business, accounting policies or fiscal periods;</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any transactions with affiliates other than on an arm’s-length basis; and</w:t>
      </w:r>
    </w:p>
    <w:p>
      <w:pPr>
        <w:spacing w:after="0" w:line="108" w:lineRule="exact"/>
        <w:rPr>
          <w:rFonts w:ascii="Arial" w:cs="Arial" w:eastAsia="Arial" w:hAnsi="Arial"/>
          <w:sz w:val="18"/>
          <w:szCs w:val="18"/>
          <w:color w:val="auto"/>
        </w:rPr>
      </w:pPr>
    </w:p>
    <w:p>
      <w:pPr>
        <w:ind w:left="1000" w:hanging="41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 our organizational documents or amend, modify or change the terms of certain agreements relating to our indebtedness.</w:t>
      </w:r>
    </w:p>
    <w:p>
      <w:pPr>
        <w:spacing w:after="0" w:line="214" w:lineRule="exact"/>
        <w:rPr>
          <w:sz w:val="20"/>
          <w:szCs w:val="20"/>
          <w:color w:val="auto"/>
        </w:rPr>
      </w:pPr>
    </w:p>
    <w:p>
      <w:pPr>
        <w:ind w:right="200" w:firstLine="589"/>
        <w:spacing w:after="0" w:line="290" w:lineRule="auto"/>
        <w:rPr>
          <w:sz w:val="20"/>
          <w:szCs w:val="20"/>
          <w:color w:val="auto"/>
        </w:rPr>
      </w:pPr>
      <w:r>
        <w:rPr>
          <w:rFonts w:ascii="Arial" w:cs="Arial" w:eastAsia="Arial" w:hAnsi="Arial"/>
          <w:sz w:val="16"/>
          <w:szCs w:val="16"/>
          <w:color w:val="auto"/>
        </w:rPr>
        <w:t>The Revolving Credit Agreement and the Indentures also contain customary events of default, including those relating to non-payment, breach of representations, warranties or covenants, cross-default and cross-acceleration, and bankruptcy and insolvency events, and, in the case of the Revolving Credit Agreement, invalidity or impairment of loan documentation, change of control and customary ERISA defaults in addition to the foregoing. None of the restrictions above are expected to impact our ability to effectively operate the business.</w:t>
      </w:r>
    </w:p>
    <w:p>
      <w:pPr>
        <w:spacing w:after="0" w:line="162" w:lineRule="exact"/>
        <w:rPr>
          <w:sz w:val="20"/>
          <w:szCs w:val="20"/>
          <w:color w:val="auto"/>
        </w:rPr>
      </w:pPr>
    </w:p>
    <w:p>
      <w:pPr>
        <w:ind w:right="20" w:firstLine="589"/>
        <w:spacing w:after="0" w:line="246" w:lineRule="auto"/>
        <w:rPr>
          <w:sz w:val="20"/>
          <w:szCs w:val="20"/>
          <w:color w:val="auto"/>
        </w:rPr>
      </w:pPr>
      <w:r>
        <w:rPr>
          <w:rFonts w:ascii="Arial" w:cs="Arial" w:eastAsia="Arial" w:hAnsi="Arial"/>
          <w:sz w:val="18"/>
          <w:szCs w:val="18"/>
          <w:color w:val="auto"/>
        </w:rPr>
        <w:t>The Revolving Credit Agreement also requires us and our subsidiaries to achieve financial and operating results sufficient to maintain compliance with the following financial ratios on a consolidated basis through the termination of the Revolving Credit Agreement: (1) the maximum Consolidated Leverage Ratio (as defined in the Revolving Credit Agreement) measured quarterly on a rolling four-quarter basis shall not exceed 4.25:1.00 (or 4.50:1.00 for two fiscal quarters following a material acquisition) and (2) the minimum Consolidated Interest Coverage Ratio (as defined in the Revolving Credit Agreement) measured quarterly on a rolling four-quarter basis shall be at least 4.00:1.00. As of December 31, 2021, our Consolidated Leverage Ratio was 3.28:1.00 and our Consolidated Interest Coverage Ratio was 8.27:1.00. As of December 31, 2021, there were no amounts drawn and outstanding under the Revolving Credit Agreement.</w:t>
      </w:r>
    </w:p>
    <w:p>
      <w:pPr>
        <w:spacing w:after="0" w:line="197" w:lineRule="exact"/>
        <w:rPr>
          <w:sz w:val="20"/>
          <w:szCs w:val="20"/>
          <w:color w:val="auto"/>
        </w:rPr>
      </w:pPr>
    </w:p>
    <w:p>
      <w:pPr>
        <w:ind w:right="80" w:firstLine="589"/>
        <w:spacing w:after="0" w:line="284" w:lineRule="auto"/>
        <w:rPr>
          <w:sz w:val="20"/>
          <w:szCs w:val="20"/>
          <w:color w:val="auto"/>
        </w:rPr>
      </w:pPr>
      <w:r>
        <w:rPr>
          <w:rFonts w:ascii="Arial" w:cs="Arial" w:eastAsia="Arial" w:hAnsi="Arial"/>
          <w:sz w:val="16"/>
          <w:szCs w:val="16"/>
          <w:color w:val="auto"/>
        </w:rPr>
        <w:t>Our non-guarantor subsidiaries under the Senior Notes consist of: (i) domestic subsidiaries of the Company that account for 5% or less of consolidated assets of the Company and its subsidiaries and (ii) any foreign or domestic subsidiary of the Company that is deemed to be a controlled foreign corporation within the meaning of Section 957 of the Internal Revenue Code of 1986, as amended. Our non-guarantor subsidiaries as of December 31, 2021, accounted for approximately $1,258.4 million, or 61.6%, of our total revenue for the 12 months ended December 31, 2021, approximately $452.2 million, or 42.2%, of our consolidated operating income for the 12 months ended December 31, 2021, and approximately $2,334.9 million, or 42.4%, of our consolidated total assets (excluding intercompany assets) and $1,004.6 million, or 17.7%, of our consolidated total liabilities, in each case as of December 31, 2021.</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 Repurchases</w:t>
      </w:r>
    </w:p>
    <w:p>
      <w:pPr>
        <w:spacing w:after="0" w:line="108"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Our Board of Directors has approved a stock repurchase program for the purchase of shares of the Company’s common stock in the open market. See Note 11, “Shareholders’ Equity (Deficit),” of the Notes to Consolidated Financial Statements included herein for additional information on our stock repurchase program.</w:t>
      </w:r>
    </w:p>
    <w:p>
      <w:pPr>
        <w:spacing w:after="0" w:line="189" w:lineRule="exact"/>
        <w:rPr>
          <w:sz w:val="20"/>
          <w:szCs w:val="20"/>
          <w:color w:val="auto"/>
        </w:rPr>
      </w:pPr>
    </w:p>
    <w:p>
      <w:pPr>
        <w:ind w:right="460" w:firstLine="589"/>
        <w:spacing w:after="0" w:line="261" w:lineRule="auto"/>
        <w:rPr>
          <w:sz w:val="20"/>
          <w:szCs w:val="20"/>
          <w:color w:val="auto"/>
        </w:rPr>
      </w:pPr>
      <w:r>
        <w:rPr>
          <w:rFonts w:ascii="Arial" w:cs="Arial" w:eastAsia="Arial" w:hAnsi="Arial"/>
          <w:sz w:val="18"/>
          <w:szCs w:val="18"/>
          <w:color w:val="auto"/>
        </w:rPr>
        <w:t>As of trade date February 10, 2022, a total of $955.1 million remained available on the share repurchase authorization. This authorization may be modified, suspended or terminated by the Board of Directors at any time without prior notice.</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Cash Dividends</w:t>
      </w:r>
    </w:p>
    <w:p>
      <w:pPr>
        <w:spacing w:after="0" w:line="108" w:lineRule="exact"/>
        <w:rPr>
          <w:sz w:val="20"/>
          <w:szCs w:val="20"/>
          <w:color w:val="auto"/>
        </w:rPr>
      </w:pPr>
    </w:p>
    <w:p>
      <w:pPr>
        <w:ind w:right="80" w:firstLine="589"/>
        <w:spacing w:after="0" w:line="261" w:lineRule="auto"/>
        <w:rPr>
          <w:sz w:val="20"/>
          <w:szCs w:val="20"/>
          <w:color w:val="auto"/>
        </w:rPr>
      </w:pPr>
      <w:r>
        <w:rPr>
          <w:rFonts w:ascii="Arial" w:cs="Arial" w:eastAsia="Arial" w:hAnsi="Arial"/>
          <w:sz w:val="18"/>
          <w:szCs w:val="18"/>
          <w:color w:val="auto"/>
        </w:rPr>
        <w:t>On September 17, 2014, our Board of Directors approved a plan to initiate a regular quarterly cash dividend to our shareholders. On October 30, 2014, we began paying regular quarterly cash dividends and have paid such dividends each quarter thereafter.</w:t>
      </w:r>
    </w:p>
    <w:p>
      <w:pPr>
        <w:spacing w:after="0" w:line="181" w:lineRule="exact"/>
        <w:rPr>
          <w:sz w:val="20"/>
          <w:szCs w:val="20"/>
          <w:color w:val="auto"/>
        </w:rPr>
      </w:pPr>
    </w:p>
    <w:p>
      <w:pPr>
        <w:ind w:right="400" w:firstLine="589"/>
        <w:spacing w:after="0" w:line="261" w:lineRule="auto"/>
        <w:rPr>
          <w:sz w:val="20"/>
          <w:szCs w:val="20"/>
          <w:color w:val="auto"/>
        </w:rPr>
      </w:pPr>
      <w:r>
        <w:rPr>
          <w:rFonts w:ascii="Arial" w:cs="Arial" w:eastAsia="Arial" w:hAnsi="Arial"/>
          <w:sz w:val="18"/>
          <w:szCs w:val="18"/>
          <w:color w:val="auto"/>
        </w:rPr>
        <w:t>On January 24, 2022, the Board of Directors declared a quarterly dividend of $1.04 per share of common stock to be paid on February 28, 2022 to shareholders of record as of the close of trading on February 18, 2022.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Cash Flows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Company’s cash and cash equivalents as of the dates indicated: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1"/>
        </w:trPr>
        <w:tc>
          <w:tcPr>
            <w:tcW w:w="3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ind w:right="344"/>
              <w:spacing w:after="0" w:line="141" w:lineRule="exact"/>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12"/>
                <w:szCs w:val="12"/>
                <w:color w:val="auto"/>
              </w:rPr>
            </w:pPr>
          </w:p>
        </w:tc>
        <w:tc>
          <w:tcPr>
            <w:tcW w:w="1520" w:type="dxa"/>
            <w:vAlign w:val="bottom"/>
          </w:tcPr>
          <w:p>
            <w:pPr>
              <w:jc w:val="center"/>
              <w:ind w:right="326"/>
              <w:spacing w:after="0" w:line="141" w:lineRule="exact"/>
              <w:rPr>
                <w:sz w:val="20"/>
                <w:szCs w:val="20"/>
                <w:color w:val="auto"/>
              </w:rPr>
            </w:pPr>
            <w:r>
              <w:rPr>
                <w:rFonts w:ascii="Arial" w:cs="Arial" w:eastAsia="Arial" w:hAnsi="Arial"/>
                <w:sz w:val="14"/>
                <w:szCs w:val="14"/>
                <w:b w:val="1"/>
                <w:bCs w:val="1"/>
                <w:color w:val="auto"/>
                <w:w w:val="87"/>
              </w:rPr>
              <w:t>December 31,</w:t>
            </w:r>
          </w:p>
        </w:tc>
        <w:tc>
          <w:tcPr>
            <w:tcW w:w="420" w:type="dxa"/>
            <w:vAlign w:val="bottom"/>
          </w:tcPr>
          <w:p>
            <w:pPr>
              <w:spacing w:after="0"/>
              <w:rPr>
                <w:sz w:val="12"/>
                <w:szCs w:val="12"/>
                <w:color w:val="auto"/>
              </w:rPr>
            </w:pPr>
          </w:p>
        </w:tc>
        <w:tc>
          <w:tcPr>
            <w:tcW w:w="1360" w:type="dxa"/>
            <w:vAlign w:val="bottom"/>
          </w:tcPr>
          <w:p>
            <w:pPr>
              <w:jc w:val="center"/>
              <w:ind w:right="184"/>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r>
      <w:tr>
        <w:trPr>
          <w:trHeight w:val="167"/>
        </w:trPr>
        <w:tc>
          <w:tcPr>
            <w:tcW w:w="3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26"/>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1"/>
        </w:trPr>
        <w:tc>
          <w:tcPr>
            <w:tcW w:w="3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Pr>
          <w:p>
            <w:pPr>
              <w:jc w:val="center"/>
              <w:ind w:right="306"/>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104"/>
              <w:spacing w:after="0"/>
              <w:rPr>
                <w:sz w:val="20"/>
                <w:szCs w:val="20"/>
                <w:color w:val="auto"/>
              </w:rPr>
            </w:pPr>
            <w:r>
              <w:rPr>
                <w:rFonts w:ascii="Arial" w:cs="Arial" w:eastAsia="Arial" w:hAnsi="Arial"/>
                <w:sz w:val="18"/>
                <w:szCs w:val="18"/>
                <w:color w:val="auto"/>
              </w:rPr>
              <w:t>1,421,449</w:t>
            </w:r>
          </w:p>
        </w:tc>
        <w:tc>
          <w:tcPr>
            <w:tcW w:w="4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106"/>
              <w:spacing w:after="0"/>
              <w:rPr>
                <w:sz w:val="20"/>
                <w:szCs w:val="20"/>
                <w:color w:val="auto"/>
              </w:rPr>
            </w:pPr>
            <w:r>
              <w:rPr>
                <w:rFonts w:ascii="Arial" w:cs="Arial" w:eastAsia="Arial" w:hAnsi="Arial"/>
                <w:sz w:val="18"/>
                <w:szCs w:val="18"/>
                <w:color w:val="auto"/>
              </w:rPr>
              <w:t>1,300,521</w:t>
            </w:r>
          </w:p>
        </w:tc>
        <w:tc>
          <w:tcPr>
            <w:tcW w:w="4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1,506,567</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breakdown of the Company’s cash flows for the periods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7"/>
              </w:rPr>
              <w:t>% Change</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c>
          <w:tcPr>
            <w:tcW w:w="17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2021 to 2020</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2020 to 2019</w:t>
            </w: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936,069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811,109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709,523</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(1,035,713)</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(241,791)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(71,937)</w:t>
            </w:r>
          </w:p>
        </w:tc>
        <w:tc>
          <w:tcPr>
            <w:tcW w:w="1760" w:type="dxa"/>
            <w:vAlign w:val="bottom"/>
            <w:gridSpan w:val="3"/>
          </w:tcPr>
          <w:p>
            <w:pPr>
              <w:ind w:left="1000"/>
              <w:spacing w:after="0"/>
              <w:rPr>
                <w:sz w:val="20"/>
                <w:szCs w:val="20"/>
                <w:color w:val="auto"/>
              </w:rPr>
            </w:pPr>
            <w:r>
              <w:rPr>
                <w:rFonts w:ascii="Arial" w:cs="Arial" w:eastAsia="Arial" w:hAnsi="Arial"/>
                <w:sz w:val="18"/>
                <w:szCs w:val="18"/>
                <w:color w:val="auto"/>
              </w:rPr>
              <w:t>nm</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4"/>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Net cash provided by (used in) financing activities</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229,505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(779,038)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(36,667)</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Effect of exchange rate changes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(8,933)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1,472</w:t>
            </w:r>
          </w:p>
        </w:tc>
        <w:tc>
          <w:tcPr>
            <w:tcW w:w="260" w:type="dxa"/>
            <w:vAlign w:val="bottom"/>
          </w:tcPr>
          <w:p>
            <w:pPr>
              <w:spacing w:after="0"/>
              <w:rPr>
                <w:sz w:val="19"/>
                <w:szCs w:val="19"/>
                <w:color w:val="auto"/>
              </w:rPr>
            </w:pPr>
          </w:p>
        </w:tc>
        <w:tc>
          <w:tcPr>
            <w:tcW w:w="1760" w:type="dxa"/>
            <w:vAlign w:val="bottom"/>
            <w:gridSpan w:val="3"/>
          </w:tcPr>
          <w:p>
            <w:pPr>
              <w:ind w:left="1000"/>
              <w:spacing w:after="0"/>
              <w:rPr>
                <w:sz w:val="20"/>
                <w:szCs w:val="20"/>
                <w:color w:val="auto"/>
              </w:rPr>
            </w:pPr>
            <w:r>
              <w:rPr>
                <w:rFonts w:ascii="Arial" w:cs="Arial" w:eastAsia="Arial" w:hAnsi="Arial"/>
                <w:sz w:val="18"/>
                <w:szCs w:val="18"/>
                <w:color w:val="auto"/>
              </w:rPr>
              <w:t>nm</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158.7%</w:t>
            </w:r>
          </w:p>
        </w:tc>
        <w:tc>
          <w:tcPr>
            <w:tcW w:w="180" w:type="dxa"/>
            <w:vAlign w:val="bottom"/>
            <w:shd w:val="clear" w:color="auto" w:fill="CFF0FC"/>
          </w:tcPr>
          <w:p>
            <w:pPr>
              <w:spacing w:after="0" w:line="20" w:lineRule="exact"/>
              <w:rPr>
                <w:sz w:val="1"/>
                <w:szCs w:val="1"/>
                <w:color w:val="auto"/>
              </w:rPr>
            </w:pPr>
          </w:p>
        </w:tc>
        <w:tc>
          <w:tcPr>
            <w:tcW w:w="1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line="20" w:lineRule="exact"/>
              <w:rPr>
                <w:sz w:val="1"/>
                <w:szCs w:val="1"/>
                <w:color w:val="auto"/>
              </w:rPr>
            </w:pPr>
          </w:p>
        </w:tc>
      </w:tr>
      <w:tr>
        <w:trPr>
          <w:trHeight w:val="217"/>
        </w:trPr>
        <w:tc>
          <w:tcPr>
            <w:tcW w:w="380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120,928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(206,046)</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602,391</w:t>
            </w:r>
          </w:p>
        </w:tc>
        <w:tc>
          <w:tcPr>
            <w:tcW w:w="260" w:type="dxa"/>
            <w:vAlign w:val="bottom"/>
            <w:shd w:val="clear" w:color="auto" w:fill="CFF0FC"/>
          </w:tcPr>
          <w:p>
            <w:pPr>
              <w:spacing w:after="0"/>
              <w:rPr>
                <w:sz w:val="18"/>
                <w:szCs w:val="18"/>
                <w:color w:val="auto"/>
              </w:rPr>
            </w:pPr>
          </w:p>
        </w:tc>
        <w:tc>
          <w:tcPr>
            <w:tcW w:w="15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56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not meaningful</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Cash and Cash Equivalents</w:t>
      </w:r>
    </w:p>
    <w:p>
      <w:pPr>
        <w:spacing w:after="0" w:line="108" w:lineRule="exact"/>
        <w:rPr>
          <w:sz w:val="20"/>
          <w:szCs w:val="20"/>
          <w:color w:val="auto"/>
        </w:rPr>
      </w:pPr>
    </w:p>
    <w:p>
      <w:pPr>
        <w:ind w:right="180" w:firstLine="589"/>
        <w:spacing w:after="0" w:line="248" w:lineRule="auto"/>
        <w:rPr>
          <w:sz w:val="20"/>
          <w:szCs w:val="20"/>
          <w:color w:val="auto"/>
        </w:rPr>
      </w:pPr>
      <w:r>
        <w:rPr>
          <w:rFonts w:ascii="Arial" w:cs="Arial" w:eastAsia="Arial" w:hAnsi="Arial"/>
          <w:sz w:val="18"/>
          <w:szCs w:val="18"/>
          <w:color w:val="auto"/>
        </w:rPr>
        <w:t>We typically seek to maintain minimum cash balances globally of approximately $200.0 million to $250.0 million for general operating purposes. As of December 31, 2021 and 2020, $542.2 million and $423.4 million, respectively, of the cash and cash equivalents were held by foreign subsidiaries. Repatriation of some foreign cash may be subject to certain withholding taxes in local jurisdictions and other distribution restrictions. We believe the global cash and cash equivalent balances that are maintained will be available to meet our global needs whether for general corporate purposes or other needs, including acquisitions or expansion of our products.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08" w:lineRule="exact"/>
        <w:rPr>
          <w:sz w:val="20"/>
          <w:szCs w:val="20"/>
          <w:color w:val="auto"/>
        </w:rPr>
      </w:pPr>
    </w:p>
    <w:p>
      <w:pPr>
        <w:ind w:right="100" w:firstLine="589"/>
        <w:spacing w:after="0" w:line="252" w:lineRule="auto"/>
        <w:rPr>
          <w:sz w:val="20"/>
          <w:szCs w:val="20"/>
          <w:color w:val="auto"/>
        </w:rPr>
      </w:pPr>
      <w:r>
        <w:rPr>
          <w:rFonts w:ascii="Arial" w:cs="Arial" w:eastAsia="Arial" w:hAnsi="Arial"/>
          <w:sz w:val="18"/>
          <w:szCs w:val="18"/>
          <w:color w:val="auto"/>
        </w:rPr>
        <w:t>Cash flows from operating activities consist of net income adjusted for certain non-cash items and changes in assets and liabilities. The year-over-year increase for the year ended December 31, 2021 compared to the year ended December 31, 2020 was primarily driven by higher cash collections from customers, partially offset by higher payments for income taxes and cash expenses.</w:t>
      </w:r>
    </w:p>
    <w:p>
      <w:pPr>
        <w:spacing w:after="0" w:line="189" w:lineRule="exact"/>
        <w:rPr>
          <w:sz w:val="20"/>
          <w:szCs w:val="20"/>
          <w:color w:val="auto"/>
        </w:rPr>
      </w:pPr>
    </w:p>
    <w:p>
      <w:pPr>
        <w:ind w:right="220" w:firstLine="589"/>
        <w:spacing w:after="0" w:line="252" w:lineRule="auto"/>
        <w:rPr>
          <w:sz w:val="20"/>
          <w:szCs w:val="20"/>
          <w:color w:val="auto"/>
        </w:rPr>
      </w:pPr>
      <w:r>
        <w:rPr>
          <w:rFonts w:ascii="Arial" w:cs="Arial" w:eastAsia="Arial" w:hAnsi="Arial"/>
          <w:sz w:val="18"/>
          <w:szCs w:val="18"/>
          <w:color w:val="auto"/>
        </w:rPr>
        <w:t>Our primary uses of cash from operating activities are for the payment of cash compensation expenses, interest expenses, income taxes, technology costs, market data costs and office rent. Historically, the payment of cash for compensation and benefits is at its highest level in the first quarter when we pay discretionary employee compensation related to the previous fiscal year.</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08" w:lineRule="exact"/>
        <w:rPr>
          <w:sz w:val="20"/>
          <w:szCs w:val="20"/>
          <w:color w:val="auto"/>
        </w:rPr>
      </w:pPr>
    </w:p>
    <w:p>
      <w:pPr>
        <w:ind w:right="660" w:firstLine="589"/>
        <w:spacing w:after="0" w:line="261" w:lineRule="auto"/>
        <w:rPr>
          <w:sz w:val="20"/>
          <w:szCs w:val="20"/>
          <w:color w:val="auto"/>
        </w:rPr>
      </w:pPr>
      <w:r>
        <w:rPr>
          <w:rFonts w:ascii="Arial" w:cs="Arial" w:eastAsia="Arial" w:hAnsi="Arial"/>
          <w:sz w:val="18"/>
          <w:szCs w:val="18"/>
          <w:color w:val="auto"/>
        </w:rPr>
        <w:t>The year-over-year change for the year ended December 31, 2021 compared to the year ended December 31, 2020 was primarily driven by the acquisition of RCA, partially offset by the absence of the $190.8 million equity method investment in Burgiss.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08" w:lineRule="exact"/>
        <w:rPr>
          <w:sz w:val="20"/>
          <w:szCs w:val="20"/>
          <w:color w:val="auto"/>
        </w:rPr>
      </w:pPr>
    </w:p>
    <w:p>
      <w:pPr>
        <w:ind w:right="140" w:firstLine="589"/>
        <w:spacing w:after="0" w:line="324" w:lineRule="auto"/>
        <w:rPr>
          <w:sz w:val="20"/>
          <w:szCs w:val="20"/>
          <w:color w:val="auto"/>
        </w:rPr>
      </w:pPr>
      <w:r>
        <w:rPr>
          <w:rFonts w:ascii="Arial" w:cs="Arial" w:eastAsia="Arial" w:hAnsi="Arial"/>
          <w:sz w:val="16"/>
          <w:szCs w:val="16"/>
          <w:color w:val="auto"/>
        </w:rPr>
        <w:t>The year-over-year change for the year ended December 31, 2021 compared to the year ended December 31, 2020 was primarily driven by the impact of lower share repurchases and higher proceeds from the senior notes offerings made during the year ended December 31, 2021.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61" w:name="page62"/>
    <w:bookmarkEnd w:id="61"/>
    <w:p>
      <w:pPr>
        <w:ind w:right="40" w:firstLine="589"/>
        <w:spacing w:after="0" w:line="284" w:lineRule="auto"/>
        <w:rPr>
          <w:sz w:val="20"/>
          <w:szCs w:val="20"/>
          <w:color w:val="auto"/>
        </w:rPr>
      </w:pPr>
      <w:r>
        <w:rPr>
          <w:rFonts w:ascii="Arial" w:cs="Arial" w:eastAsia="Arial" w:hAnsi="Arial"/>
          <w:sz w:val="16"/>
          <w:szCs w:val="16"/>
          <w:color w:val="auto"/>
        </w:rPr>
        <w:t>We believe that global cash flows from operations, together with existing cash and cash equivalents and funds available under our existing revolving credit facility and our ability to access the debt and capital markets for additional funds, will continue to be sufficient to fund our global operating activities and cash commitments for investing and financing activities, such as material capital expenditures and share repurchases, for at least the 12 months following issuance of this Form 10-K and for the foreseeable future thereafter. In addition, we expect that foreign cash flows from operations, together with existing cash and cash equivalents, will continue to be sufficient to fund our foreign operating activities and cash commitments for investing activities, such as material capital expenditures, for at least the 12 months following issuance of this Form 10-K and for the foreseeable future thereafter.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4" w:lineRule="exact"/>
        <w:rPr>
          <w:sz w:val="20"/>
          <w:szCs w:val="20"/>
          <w:color w:val="auto"/>
        </w:rPr>
      </w:pPr>
    </w:p>
    <w:p>
      <w:pPr>
        <w:ind w:right="280" w:firstLine="589"/>
        <w:spacing w:after="0" w:line="252" w:lineRule="auto"/>
        <w:rPr>
          <w:sz w:val="20"/>
          <w:szCs w:val="20"/>
          <w:color w:val="auto"/>
        </w:rPr>
      </w:pPr>
      <w:r>
        <w:rPr>
          <w:rFonts w:ascii="Arial" w:cs="Arial" w:eastAsia="Arial" w:hAnsi="Arial"/>
          <w:sz w:val="18"/>
          <w:szCs w:val="18"/>
          <w:color w:val="auto"/>
        </w:rPr>
        <w:t>Our contractual obligations consist primarily of our debt obligations arising from the issuance of the Senior Notes, leases for office space, leases for equipment and other operating leases and obligations to vendors arising out of market data contracts. The following table summarizes our contractual obligations for the periods indicated as of 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6"/>
          </w:tcPr>
          <w:p>
            <w:pPr>
              <w:ind w:left="560"/>
              <w:spacing w:after="0"/>
              <w:rPr>
                <w:sz w:val="20"/>
                <w:szCs w:val="20"/>
                <w:color w:val="auto"/>
              </w:rPr>
            </w:pPr>
            <w:r>
              <w:rPr>
                <w:rFonts w:ascii="Arial" w:cs="Arial" w:eastAsia="Arial" w:hAnsi="Arial"/>
                <w:sz w:val="14"/>
                <w:szCs w:val="14"/>
                <w:b w:val="1"/>
                <w:bCs w:val="1"/>
                <w:color w:val="auto"/>
              </w:rPr>
              <w:t>Years Ending December 31,</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4"/>
                <w:szCs w:val="4"/>
                <w:color w:val="auto"/>
              </w:rPr>
            </w:pPr>
          </w:p>
        </w:tc>
        <w:tc>
          <w:tcPr>
            <w:tcW w:w="8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vMerge w:val="restart"/>
          </w:tcPr>
          <w:p>
            <w:pPr>
              <w:jc w:val="right"/>
              <w:ind w:right="46"/>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1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86"/>
              <w:spacing w:after="0" w:line="151"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87"/>
              <w:spacing w:after="0" w:line="151"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7"/>
              <w:spacing w:after="0" w:line="151"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86"/>
              <w:spacing w:after="0" w:line="151"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7"/>
              <w:spacing w:after="0" w:line="151" w:lineRule="exact"/>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Senior Notes </w:t>
            </w:r>
            <w:r>
              <w:rPr>
                <w:rFonts w:ascii="Arial" w:cs="Arial" w:eastAsia="Arial" w:hAnsi="Arial"/>
                <w:sz w:val="14"/>
                <w:szCs w:val="14"/>
                <w:color w:val="auto"/>
              </w:rPr>
              <w:t>(1)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5,660,948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155,875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155,875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155,875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155,875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155,875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4,881,573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198,325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28,271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29,427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22,717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73,539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Vendor obligations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201,628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72,818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43,196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18,796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14"/>
                <w:szCs w:val="14"/>
                <w:color w:val="auto"/>
              </w:rPr>
              <w:t>(2)</w:t>
            </w:r>
          </w:p>
        </w:tc>
        <w:tc>
          <w:tcPr>
            <w:tcW w:w="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19,392</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7,968</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9,959</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$ 6,080,293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256,964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229,963</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222,904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207,347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193,456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$ 4,969,659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56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580" w:right="180" w:hanging="575"/>
        <w:spacing w:after="0" w:line="216" w:lineRule="auto"/>
        <w:tabs>
          <w:tab w:leader="none" w:pos="580" w:val="left"/>
        </w:tabs>
        <w:numPr>
          <w:ilvl w:val="0"/>
          <w:numId w:val="38"/>
        </w:numPr>
        <w:rPr>
          <w:rFonts w:ascii="Arial" w:cs="Arial" w:eastAsia="Arial" w:hAnsi="Arial"/>
          <w:sz w:val="15"/>
          <w:szCs w:val="15"/>
          <w:color w:val="auto"/>
        </w:rPr>
      </w:pPr>
      <w:r>
        <w:rPr>
          <w:rFonts w:ascii="Arial" w:cs="Arial" w:eastAsia="Arial" w:hAnsi="Arial"/>
          <w:sz w:val="14"/>
          <w:szCs w:val="14"/>
          <w:color w:val="auto"/>
        </w:rPr>
        <w:t>Includes the impact of payments for the principal amount on the 2029 Senior Notes, the 2030 Senior Notes, the 3.875% Senior Notes due 2031, the 3.625% Senior Notes due 2031 and the 2033 Senior Notes plus interest based on the 4.000%, 3.625%, 3.875%, 3.625% and 3.250% coupon interest rates, respectively.</w:t>
      </w:r>
    </w:p>
    <w:p>
      <w:pPr>
        <w:spacing w:after="0" w:line="1" w:lineRule="exact"/>
        <w:rPr>
          <w:rFonts w:ascii="Arial" w:cs="Arial" w:eastAsia="Arial" w:hAnsi="Arial"/>
          <w:sz w:val="15"/>
          <w:szCs w:val="15"/>
          <w:color w:val="auto"/>
        </w:rPr>
      </w:pPr>
    </w:p>
    <w:p>
      <w:pPr>
        <w:ind w:left="580" w:hanging="575"/>
        <w:spacing w:after="0" w:line="224" w:lineRule="auto"/>
        <w:tabs>
          <w:tab w:leader="none" w:pos="580" w:val="left"/>
        </w:tabs>
        <w:numPr>
          <w:ilvl w:val="0"/>
          <w:numId w:val="38"/>
        </w:numPr>
        <w:rPr>
          <w:rFonts w:ascii="Arial" w:cs="Arial" w:eastAsia="Arial" w:hAnsi="Arial"/>
          <w:sz w:val="15"/>
          <w:szCs w:val="15"/>
          <w:color w:val="auto"/>
        </w:rPr>
      </w:pPr>
      <w:r>
        <w:rPr>
          <w:rFonts w:ascii="Arial" w:cs="Arial" w:eastAsia="Arial" w:hAnsi="Arial"/>
          <w:sz w:val="14"/>
          <w:szCs w:val="14"/>
          <w:color w:val="auto"/>
        </w:rPr>
        <w:t>Primarily includes amounts payable related to an estimated one-time tax on deemed repatriation of historic earnings of foreign subsidiaries (the “Toll Charge”) imposed after Tax Reform was enacted. The Toll Charge is included within “Other non-current liabilities” in our Consolidated Statements of Financial Condition.</w:t>
      </w:r>
    </w:p>
    <w:p>
      <w:pPr>
        <w:spacing w:after="0" w:line="182" w:lineRule="exact"/>
        <w:rPr>
          <w:sz w:val="20"/>
          <w:szCs w:val="20"/>
          <w:color w:val="auto"/>
        </w:rPr>
      </w:pPr>
    </w:p>
    <w:p>
      <w:pPr>
        <w:ind w:right="480" w:firstLine="589"/>
        <w:spacing w:after="0" w:line="261" w:lineRule="auto"/>
        <w:rPr>
          <w:sz w:val="20"/>
          <w:szCs w:val="20"/>
          <w:color w:val="auto"/>
        </w:rPr>
      </w:pPr>
      <w:r>
        <w:rPr>
          <w:rFonts w:ascii="Arial" w:cs="Arial" w:eastAsia="Arial" w:hAnsi="Arial"/>
          <w:sz w:val="18"/>
          <w:szCs w:val="18"/>
          <w:color w:val="auto"/>
        </w:rPr>
        <w:t>The obligations related to our uncertain tax positions, which are not considered material, have been excluded from the table above because of the uncertainty surrounding the timing and final amounts of any settlement.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Updates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See Note 2, “Recent Accounting Standards Updates,” of the Notes to the Consolidated Financial Statements included herein for further information.</w:t>
      </w:r>
    </w:p>
    <w:p>
      <w:pPr>
        <w:spacing w:after="0" w:line="3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8" w:lineRule="exact"/>
        <w:rPr>
          <w:sz w:val="20"/>
          <w:szCs w:val="20"/>
          <w:color w:val="auto"/>
        </w:rPr>
      </w:pPr>
    </w:p>
    <w:p>
      <w:pPr>
        <w:ind w:right="280" w:firstLine="589"/>
        <w:spacing w:after="0" w:line="252" w:lineRule="auto"/>
        <w:rPr>
          <w:sz w:val="20"/>
          <w:szCs w:val="20"/>
          <w:color w:val="auto"/>
        </w:rPr>
      </w:pPr>
      <w:r>
        <w:rPr>
          <w:rFonts w:ascii="Arial" w:cs="Arial" w:eastAsia="Arial" w:hAnsi="Arial"/>
          <w:sz w:val="18"/>
          <w:szCs w:val="18"/>
          <w:color w:val="auto"/>
        </w:rPr>
        <w:t>We are subject to foreign currency exchange fluctuation risk. Exchange rate movements can impact the U.S. dollar-reported value of our revenues, expenses, assets and liabilities denominated in non-U.S. dollar currencies or where the currency of such items is different than the functional currency of the entity where these items were recorded.</w:t>
      </w:r>
    </w:p>
    <w:p>
      <w:pPr>
        <w:spacing w:after="0" w:line="189" w:lineRule="exact"/>
        <w:rPr>
          <w:sz w:val="20"/>
          <w:szCs w:val="20"/>
          <w:color w:val="auto"/>
        </w:rPr>
      </w:pPr>
    </w:p>
    <w:p>
      <w:pPr>
        <w:ind w:right="120" w:firstLine="589"/>
        <w:spacing w:after="0" w:line="284" w:lineRule="auto"/>
        <w:rPr>
          <w:sz w:val="20"/>
          <w:szCs w:val="20"/>
          <w:color w:val="auto"/>
        </w:rPr>
      </w:pPr>
      <w:r>
        <w:rPr>
          <w:rFonts w:ascii="Arial" w:cs="Arial" w:eastAsia="Arial" w:hAnsi="Arial"/>
          <w:sz w:val="16"/>
          <w:szCs w:val="16"/>
          <w:color w:val="auto"/>
        </w:rPr>
        <w:t>We generally invoice our clients in U.S. dollars; however, we invoice a portion of our clients in Euros, British pounds sterling, Japanese yen and a limited number of other non-U.S. dollar currencies. For the years ended December 31, 2021 and 2020, 15.1% and 14.1%, respectively, of our revenues were subject to foreign currency exchange rate risk and primarily included clients billed in foreign currency as well as U.S. dollar exposures on non-U.S. dollar foreign operating entities. Of the 15.1% of non-U.S. dollar exposure for the year ended December 31, 2021, 41.6% was in Euros, 26.5% was in British pounds sterling and 23.8% was in Japanese yen. Of the 14.1% of non-U.S. dollar exposure for the year ended December 31, 2020, 40.2% was in Euros, 27.2% was in Japanese yen and 24.6% was in British pounds sterling.</w:t>
      </w:r>
    </w:p>
    <w:p>
      <w:pPr>
        <w:spacing w:after="0" w:line="166" w:lineRule="exact"/>
        <w:rPr>
          <w:sz w:val="20"/>
          <w:szCs w:val="20"/>
          <w:color w:val="auto"/>
        </w:rPr>
      </w:pPr>
    </w:p>
    <w:p>
      <w:pPr>
        <w:ind w:right="80" w:firstLine="589"/>
        <w:spacing w:after="0" w:line="252" w:lineRule="auto"/>
        <w:rPr>
          <w:sz w:val="20"/>
          <w:szCs w:val="20"/>
          <w:color w:val="auto"/>
        </w:rPr>
      </w:pPr>
      <w:r>
        <w:rPr>
          <w:rFonts w:ascii="Arial" w:cs="Arial" w:eastAsia="Arial" w:hAnsi="Arial"/>
          <w:sz w:val="18"/>
          <w:szCs w:val="18"/>
          <w:color w:val="auto"/>
        </w:rPr>
        <w:t>Revenues from asset-based fees represented 27.1% and 23.6% of operating revenues for the years ended December 31, 2021 and 2020, respectively. While a substantial portion of our asset-based fees are invoiced in U.S. dollars, the fees are based on the assets in investment products, of which approximately three-fifths are invested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2" w:name="page63"/>
    <w:bookmarkEnd w:id="62"/>
    <w:p>
      <w:pPr>
        <w:ind w:right="220"/>
        <w:spacing w:after="0" w:line="299" w:lineRule="auto"/>
        <w:rPr>
          <w:sz w:val="20"/>
          <w:szCs w:val="20"/>
          <w:color w:val="auto"/>
        </w:rPr>
      </w:pPr>
      <w:r>
        <w:rPr>
          <w:rFonts w:ascii="Arial" w:cs="Arial" w:eastAsia="Arial" w:hAnsi="Arial"/>
          <w:sz w:val="16"/>
          <w:szCs w:val="16"/>
          <w:color w:val="auto"/>
        </w:rPr>
        <w:t>securities denominated in currencies other than the U.S. dollar. Accordingly, declines in such other currencies against the U.S. dollar will decrease the fees payable to us under such licenses. In addition, declines in such currencies against the U.S. dollar could impact the attractiveness of such investment products resulting in net fund outflows, which would further reduce the fees payable under such licenses.</w:t>
      </w:r>
    </w:p>
    <w:p>
      <w:pPr>
        <w:spacing w:after="0" w:line="154" w:lineRule="exact"/>
        <w:rPr>
          <w:sz w:val="20"/>
          <w:szCs w:val="20"/>
          <w:color w:val="auto"/>
        </w:rPr>
      </w:pPr>
    </w:p>
    <w:p>
      <w:pPr>
        <w:jc w:val="both"/>
        <w:ind w:firstLine="589"/>
        <w:spacing w:after="0" w:line="299" w:lineRule="auto"/>
        <w:rPr>
          <w:sz w:val="20"/>
          <w:szCs w:val="20"/>
          <w:color w:val="auto"/>
        </w:rPr>
      </w:pPr>
      <w:r>
        <w:rPr>
          <w:rFonts w:ascii="Arial" w:cs="Arial" w:eastAsia="Arial" w:hAnsi="Arial"/>
          <w:sz w:val="16"/>
          <w:szCs w:val="16"/>
          <w:color w:val="auto"/>
        </w:rPr>
        <w:t>We are exposed to additional foreign currency risk in certain of our operating costs. Approximately 41.1% and 40.8% of our operating expenses for the years ended December 31, 2021 and 2020, respectively, were denominated in foreign currencies, the significant majority of which were denominated in British pounds sterling, Indian rupees, Hungarian forints, Euros, Swiss francs, Mexican pesos and Hong Kong dollars.</w:t>
      </w:r>
    </w:p>
    <w:p>
      <w:pPr>
        <w:spacing w:after="0" w:line="154" w:lineRule="exact"/>
        <w:rPr>
          <w:sz w:val="20"/>
          <w:szCs w:val="20"/>
          <w:color w:val="auto"/>
        </w:rPr>
      </w:pPr>
    </w:p>
    <w:p>
      <w:pPr>
        <w:ind w:right="40" w:firstLine="589"/>
        <w:spacing w:after="0" w:line="246" w:lineRule="auto"/>
        <w:rPr>
          <w:sz w:val="20"/>
          <w:szCs w:val="20"/>
          <w:color w:val="auto"/>
        </w:rPr>
      </w:pPr>
      <w:r>
        <w:rPr>
          <w:rFonts w:ascii="Arial" w:cs="Arial" w:eastAsia="Arial" w:hAnsi="Arial"/>
          <w:sz w:val="18"/>
          <w:szCs w:val="18"/>
          <w:color w:val="auto"/>
        </w:rPr>
        <w:t>We have certain monetary assets and liabilities denominated in currencies other than local functional amounts and when these balances are remeasured into their local functional currency, either a gain or a loss results from the change of the value of the functional currency as compared to the originating currencies. We manage foreign currency exchange rate risk, in part, through the use of derivative financial instruments comprised principally of forward contracts on foreign currency which are not designated as hedging instruments for accounting purposes. The objective of the derivative instruments is to minimize the impact on the income statement of the volatility of amounts denominated in certain foreign currencies. We recognized total foreign currency exchange losses of $1.9 million for the year ended December 31, 2021 and foreign currency exchange losses of $2.8 million for the year ended December 31, 2020.</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20" w:type="dxa"/>
            <w:vAlign w:val="bottom"/>
            <w:gridSpan w:val="8"/>
          </w:tcPr>
          <w:p>
            <w:pPr>
              <w:ind w:left="3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500" w:type="dxa"/>
            <w:vAlign w:val="bottom"/>
            <w:gridSpan w:val="7"/>
          </w:tcPr>
          <w:p>
            <w:pPr>
              <w:ind w:left="320"/>
              <w:spacing w:after="0"/>
              <w:rPr>
                <w:sz w:val="20"/>
                <w:szCs w:val="20"/>
                <w:color w:val="auto"/>
              </w:rPr>
            </w:pPr>
            <w:r>
              <w:rPr>
                <w:rFonts w:ascii="Arial" w:cs="Arial" w:eastAsia="Arial" w:hAnsi="Arial"/>
                <w:sz w:val="18"/>
                <w:szCs w:val="18"/>
                <w:b w:val="1"/>
                <w:bCs w:val="1"/>
                <w:color w:val="auto"/>
              </w:rPr>
              <w:t>INDEX TO CONSOLIDATED 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580" w:type="dxa"/>
            <w:vAlign w:val="bottom"/>
            <w:gridSpan w:val="9"/>
            <w:vMerge w:val="restart"/>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4"/>
        </w:trPr>
        <w:tc>
          <w:tcPr>
            <w:tcW w:w="10580" w:type="dxa"/>
            <w:vAlign w:val="bottom"/>
            <w:gridSpan w:val="9"/>
            <w:vMerge w:val="continue"/>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580" w:type="dxa"/>
            <w:vAlign w:val="bottom"/>
            <w:gridSpan w:val="9"/>
          </w:tcPr>
          <w:p>
            <w:pPr>
              <w:spacing w:after="0" w:line="190"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Financial Condition as of December 31, 2021 and December 31, 2020</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80" w:type="dxa"/>
            <w:vAlign w:val="bottom"/>
            <w:tcBorders>
              <w:bottom w:val="single" w:sz="8" w:color="0000EE"/>
            </w:tcBorders>
            <w:gridSpan w:val="5"/>
          </w:tcPr>
          <w:p>
            <w:pPr>
              <w:spacing w:after="0" w:line="190"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Consolidated Statements of Income for the Years Ended December 31, 2021, December 31, 2020, and December 31, 2019</w:t>
              </w:r>
            </w:hyperlink>
          </w:p>
        </w:tc>
        <w:tc>
          <w:tcPr>
            <w:tcW w:w="2000" w:type="dxa"/>
            <w:vAlign w:val="bottom"/>
            <w:gridSpan w:val="4"/>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0"/>
        </w:trPr>
        <w:tc>
          <w:tcPr>
            <w:tcW w:w="10580" w:type="dxa"/>
            <w:vAlign w:val="bottom"/>
            <w:gridSpan w:val="9"/>
          </w:tcPr>
          <w:p>
            <w:pPr>
              <w:spacing w:after="0" w:line="190"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Consolidated Statements of Comprehensive Income for the Years Ended December 31, 2021, December 31, 2020, and December 31, 2019</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580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580" w:type="dxa"/>
            <w:vAlign w:val="bottom"/>
            <w:gridSpan w:val="9"/>
          </w:tcPr>
          <w:p>
            <w:pPr>
              <w:spacing w:after="0" w:line="190"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Consolidated Statements of Shareholders’ Equity (Deficit) for the Years Ended December 31, 2021, December 31, 2020, and December 31, 2019</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0"/>
        </w:trPr>
        <w:tc>
          <w:tcPr>
            <w:tcW w:w="8880" w:type="dxa"/>
            <w:vAlign w:val="bottom"/>
            <w:tcBorders>
              <w:top w:val="single" w:sz="8" w:color="0000EE"/>
              <w:bottom w:val="single" w:sz="8" w:color="0000EE"/>
            </w:tcBorders>
            <w:gridSpan w:val="6"/>
          </w:tcPr>
          <w:p>
            <w:pPr>
              <w:spacing w:after="0" w:line="190"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Consolidated Statements of Cash Flows for the Years Ended December 31, 2021, December 31, 2020, and December 31, 2019</w:t>
              </w:r>
            </w:hyperlink>
          </w:p>
        </w:tc>
        <w:tc>
          <w:tcPr>
            <w:tcW w:w="1300" w:type="dxa"/>
            <w:vAlign w:val="bottom"/>
            <w:tcBorders>
              <w:top w:val="single" w:sz="8" w:color="0000EE"/>
            </w:tcBorders>
            <w:gridSpan w:val="2"/>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0"/>
        </w:trPr>
        <w:tc>
          <w:tcPr>
            <w:tcW w:w="3080" w:type="dxa"/>
            <w:vAlign w:val="bottom"/>
            <w:tcBorders>
              <w:bottom w:val="single" w:sz="8" w:color="0000EE"/>
            </w:tcBorders>
            <w:gridSpan w:val="2"/>
          </w:tcPr>
          <w:p>
            <w:pPr>
              <w:spacing w:after="0" w:line="190"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Notes to Consolidated Financial Statements</w:t>
              </w:r>
            </w:hyperlink>
          </w:p>
        </w:tc>
        <w:tc>
          <w:tcPr>
            <w:tcW w:w="7500" w:type="dxa"/>
            <w:vAlign w:val="bottom"/>
            <w:gridSpan w:val="7"/>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834"/>
        </w:trPr>
        <w:tc>
          <w:tcPr>
            <w:tcW w:w="860" w:type="dxa"/>
            <w:vAlign w:val="bottom"/>
          </w:tcPr>
          <w:p>
            <w:pPr>
              <w:spacing w:after="0"/>
              <w:rPr>
                <w:sz w:val="24"/>
                <w:szCs w:val="24"/>
                <w:color w:val="auto"/>
              </w:rPr>
            </w:pPr>
          </w:p>
        </w:tc>
        <w:tc>
          <w:tcPr>
            <w:tcW w:w="6020" w:type="dxa"/>
            <w:vAlign w:val="bottom"/>
            <w:gridSpan w:val="3"/>
          </w:tcPr>
          <w:p>
            <w:pPr>
              <w:jc w:val="right"/>
              <w:ind w:right="1160"/>
              <w:spacing w:after="0"/>
              <w:rPr>
                <w:sz w:val="20"/>
                <w:szCs w:val="20"/>
                <w:color w:val="auto"/>
              </w:rPr>
            </w:pPr>
            <w:r>
              <w:rPr>
                <w:rFonts w:ascii="Arial" w:cs="Arial" w:eastAsia="Arial" w:hAnsi="Arial"/>
                <w:sz w:val="18"/>
                <w:szCs w:val="18"/>
                <w:color w:val="auto"/>
              </w:rPr>
              <w:t>61</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6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64" w:name="page65"/>
    <w:bookmarkEnd w:id="64"/>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MSCI Inc.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5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We have audited the accompanying consolidated statements of financial condition of MSCI Inc. and its subsidiaries (the “Company”) as of December 31, 2021 and 2020, and the related consolidated statements of income, of comprehensive income, of shareholders' equity (deficit)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24"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5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As described in Management’s Annual Report On Internal Control Over Financial Reporting, management has excluded Real Capital Analytics, Inc. from its assessment of internal control over financial reporting as of December 31, 2021, because it was acquired by the Company in a purchase business combination during 2021. We have also excluded Real Capital Analytics, Inc. from our audit of internal control over financial reporting. Real Capital Analytics, Inc. is a wholly-owned subsidiary whose total assets and total operating revenues excluded from management’s assessment and our audit of internal control over financial reporting represent 0.9% and 1.1%, respectively, of the related consolidated financial statement amounts as of and for the year ended December 31, 2021.</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5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65" w:name="page66"/>
    <w:bookmarkEnd w:id="65"/>
    <w:p>
      <w:pPr>
        <w:spacing w:after="0" w:line="25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99"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Real Capital Analytics, Inc. - Valuation of Customer Relationships and Proprietary Data Intangible Assets</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described in Note 5 to the consolidated financial statements, the Company completed the acquisition of Real Capital Analytics, Inc. for an aggregate cash purchase price of $949 million in 2021, which resulted in $394 million of acquired intangible assets, including customer relationships of $176 million and proprietary data of $186 million, being recorded. The fair values of acquired intangible assets were determined using the relief from royalty method, the replacement cost method and multi-period excess earnings method. The significant assumptions used to estimate the fair value of the acquired intangible assets included, forecasted cash flows which were determined based on certain assumptions which included, among others, projected future revenues, and expected market royalty rate, technology obsolescence rates, and discount rates.</w:t>
      </w:r>
    </w:p>
    <w:p>
      <w:pPr>
        <w:spacing w:after="0" w:line="178"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The principal considerations for our determination that performing procedures relating to the valuation of customer relationships and proprietary data intangible assets acquired in the Real Capital Analytics, Inc. acquisition is a critical audit matter are (i) the significant judgment by management when developing the fair value of the customer relationships and proprietary data intangible assets acquired; (ii) a high degree of auditor judgment, subjectivity, and effort in performing procedures and evaluating management’s aforementioned significant assumptions related to forecasted cash flows, expected market royalty rate, technology obsolescence rates, and discount rates; and (iii) the audit effort involved the use of professionals with specialized skill and knowledge.</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and proprietary data intangible assets and controls over the development of the aforementioned significant assumptions related to forecasted cash flows, expected market royalty rate, technology obsolescence rates, and discount rates. These procedures also included, among others (i) reading the purchase agreement and (ii) testing management’s process for developing the fair value of the customer relationships and proprietary data intangible assets. Testing management’s process included (i) evaluating the appropriateness of the valuation methods; (ii) testing the completeness and accuracy of data provided by management; and (iii) evaluating the reasonableness of the aforementioned significant assumptions related to forecasted cash flows, expected market royalty rate, technology obsolescence rates, and discount rates for the customer relationships and proprietary data intangible assets. Evaluating the reasonableness of the forecasted cash flows involved considering company specific factors and the past performance of the acquired business and comparable businesses. Professionals with specialized skill and knowledge were used to assist in the evaluation of the appropriateness of the valuation methods and in the evaluation of the reasonableness of certain significant assumptions related to the forecasted cash flows as well as the expected market royalty rate, technology obsolescence rates, and discount rates.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11, 2022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MSCI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rPr>
              <w:t>As of</w:t>
            </w:r>
          </w:p>
        </w:tc>
        <w:tc>
          <w:tcPr>
            <w:tcW w:w="1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8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w w:val="96"/>
              </w:rPr>
              <w:t>(In thousands, except per share and share data)</w:t>
            </w: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1,421,449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1,300,521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Accounts receivable, net of allowances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664,511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558,569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Prepaid income taxes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Prepaid and other assets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51,499</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46,411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2,143,410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1,925,598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Property, equipment and leasehold improvements,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66,715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Right of use assets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144,584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153,330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2,236,386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1,566,022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593,341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234,748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Equity method investment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218,763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40,119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63,385</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5,506,703</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4,198,647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 (DEFICIT)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13,448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59,635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207,640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145,302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824,912</w:t>
            </w:r>
          </w:p>
        </w:tc>
        <w:tc>
          <w:tcPr>
            <w:tcW w:w="2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675,870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0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1,250,937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1,021,769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4,161,422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3,366,777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150,029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104,132</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5,670,170</w:t>
            </w:r>
          </w:p>
        </w:tc>
        <w:tc>
          <w:tcPr>
            <w:tcW w:w="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4,641,881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Commitments and Contingencies (see Note 6 and Note 10)</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 (deficit):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00" w:type="dxa"/>
            <w:vAlign w:val="bottom"/>
          </w:tcPr>
          <w:p>
            <w:pPr>
              <w:spacing w:after="0"/>
              <w:rPr>
                <w:sz w:val="20"/>
                <w:szCs w:val="20"/>
                <w:color w:val="auto"/>
              </w:rPr>
            </w:pPr>
            <w:r>
              <w:rPr>
                <w:rFonts w:ascii="Arial" w:cs="Arial" w:eastAsia="Arial" w:hAnsi="Arial"/>
                <w:sz w:val="16"/>
                <w:szCs w:val="16"/>
                <w:color w:val="auto"/>
              </w:rPr>
              <w:t>Preferred Stock (par value $0.01, 100,000,000 shares authorized,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00" w:type="dxa"/>
            <w:vAlign w:val="bottom"/>
          </w:tcPr>
          <w:p>
            <w:pPr>
              <w:ind w:left="120"/>
              <w:spacing w:after="0"/>
              <w:rPr>
                <w:sz w:val="20"/>
                <w:szCs w:val="20"/>
                <w:color w:val="auto"/>
              </w:rPr>
            </w:pPr>
            <w:r>
              <w:rPr>
                <w:rFonts w:ascii="Arial" w:cs="Arial" w:eastAsia="Arial" w:hAnsi="Arial"/>
                <w:sz w:val="16"/>
                <w:szCs w:val="16"/>
                <w:color w:val="auto"/>
              </w:rPr>
              <w:t>no shares issued)</w:t>
            </w:r>
          </w:p>
        </w:tc>
        <w:tc>
          <w:tcPr>
            <w:tcW w:w="260" w:type="dxa"/>
            <w:vAlign w:val="bottom"/>
          </w:tcPr>
          <w:p>
            <w:pPr>
              <w:spacing w:after="0"/>
              <w:rPr>
                <w:sz w:val="17"/>
                <w:szCs w:val="17"/>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Common stock (par value $0.01; 750,000,000 common shares authorized;</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133,162,178 and 132,829,175 common shares issued and 82,439,449</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82,573,407 common shares outstanding at December 31, 2021</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December 31, 2020, respectively)</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00" w:type="dxa"/>
            <w:vAlign w:val="bottom"/>
          </w:tcPr>
          <w:p>
            <w:pPr>
              <w:spacing w:after="0"/>
              <w:rPr>
                <w:sz w:val="20"/>
                <w:szCs w:val="20"/>
                <w:color w:val="auto"/>
              </w:rPr>
            </w:pPr>
            <w:r>
              <w:rPr>
                <w:rFonts w:ascii="Arial" w:cs="Arial" w:eastAsia="Arial" w:hAnsi="Arial"/>
                <w:sz w:val="16"/>
                <w:szCs w:val="16"/>
                <w:color w:val="auto"/>
              </w:rPr>
              <w:t>Treasury shares, at cost (50,722,729 and 50,255,768 common shares held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00" w:type="dxa"/>
            <w:vAlign w:val="bottom"/>
          </w:tcPr>
          <w:p>
            <w:pPr>
              <w:ind w:left="120"/>
              <w:spacing w:after="0"/>
              <w:rPr>
                <w:sz w:val="20"/>
                <w:szCs w:val="20"/>
                <w:color w:val="auto"/>
              </w:rPr>
            </w:pPr>
            <w:r>
              <w:rPr>
                <w:rFonts w:ascii="Arial" w:cs="Arial" w:eastAsia="Arial" w:hAnsi="Arial"/>
                <w:sz w:val="16"/>
                <w:szCs w:val="16"/>
                <w:color w:val="auto"/>
              </w:rPr>
              <w:t>at December 31, 2021 and December 31, 2020, respectively)</w:t>
            </w:r>
          </w:p>
        </w:tc>
        <w:tc>
          <w:tcPr>
            <w:tcW w:w="2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(4,540,144)</w:t>
            </w:r>
          </w:p>
        </w:tc>
        <w:tc>
          <w:tcPr>
            <w:tcW w:w="26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(4,342,535)</w:t>
            </w: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1,457,623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1,402,537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2,976,517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2,554,295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(58,795)</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(58,859)</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6"/>
                <w:szCs w:val="16"/>
                <w:b w:val="1"/>
                <w:bCs w:val="1"/>
                <w:color w:val="auto"/>
              </w:rPr>
              <w:t>Total shareholders' equity (deficit)</w:t>
            </w: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(163,467)</w:t>
            </w:r>
          </w:p>
        </w:tc>
        <w:tc>
          <w:tcPr>
            <w:tcW w:w="26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(443,234)</w:t>
            </w:r>
          </w:p>
        </w:tc>
        <w:tc>
          <w:tcPr>
            <w:tcW w:w="0" w:type="dxa"/>
            <w:vAlign w:val="bottom"/>
          </w:tcPr>
          <w:p>
            <w:pPr>
              <w:spacing w:after="0"/>
              <w:rPr>
                <w:sz w:val="1"/>
                <w:szCs w:val="1"/>
                <w:color w:val="auto"/>
              </w:rPr>
            </w:pPr>
          </w:p>
        </w:tc>
      </w:tr>
      <w:tr>
        <w:trPr>
          <w:trHeight w:val="203"/>
        </w:trPr>
        <w:tc>
          <w:tcPr>
            <w:tcW w:w="7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 and shareholders' equity (deficit)</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5,506,703</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4,198,647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MSCI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500"/>
              <w:spacing w:after="0" w:line="141" w:lineRule="exact"/>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2"/>
                <w:szCs w:val="12"/>
                <w:color w:val="auto"/>
              </w:rPr>
            </w:pPr>
          </w:p>
        </w:tc>
        <w:tc>
          <w:tcPr>
            <w:tcW w:w="13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ind w:right="174"/>
              <w:spacing w:after="0" w:line="141"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gridSpan w:val="8"/>
          </w:tcPr>
          <w:p>
            <w:pPr>
              <w:jc w:val="center"/>
              <w:ind w:right="74"/>
              <w:spacing w:after="0"/>
              <w:rPr>
                <w:sz w:val="20"/>
                <w:szCs w:val="20"/>
                <w:color w:val="auto"/>
              </w:rPr>
            </w:pPr>
            <w:r>
              <w:rPr>
                <w:rFonts w:ascii="Arial" w:cs="Arial" w:eastAsia="Arial" w:hAnsi="Arial"/>
                <w:sz w:val="16"/>
                <w:szCs w:val="16"/>
                <w:b w:val="1"/>
                <w:bCs w:val="1"/>
                <w:color w:val="auto"/>
                <w:w w:val="88"/>
              </w:rPr>
              <w:t>(In thousands, except per share data)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gridSpan w:val="2"/>
            <w:shd w:val="clear" w:color="auto" w:fill="CFF0FC"/>
          </w:tcPr>
          <w:p>
            <w:pPr>
              <w:jc w:val="right"/>
              <w:ind w:right="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2,043,544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1,695,390</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358,684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111,564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147,893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80,592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property, equipment and</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970,819</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810,626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802,095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1,072,725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(1,497)</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224"/>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expense (income), net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214,589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858,136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686,225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132,153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725,983</w:t>
            </w:r>
          </w:p>
        </w:tc>
        <w:tc>
          <w:tcPr>
            <w:tcW w:w="2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601,822</w:t>
            </w:r>
          </w:p>
        </w:tc>
        <w:tc>
          <w:tcPr>
            <w:tcW w:w="16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563,648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5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vMerge w:val="continue"/>
          </w:tcPr>
          <w:p>
            <w:pPr>
              <w:spacing w:after="0"/>
              <w:rPr>
                <w:sz w:val="21"/>
                <w:szCs w:val="21"/>
                <w:color w:val="auto"/>
              </w:rPr>
            </w:pPr>
          </w:p>
        </w:tc>
        <w:tc>
          <w:tcPr>
            <w:tcW w:w="300" w:type="dxa"/>
            <w:vAlign w:val="bottom"/>
            <w:gridSpan w:val="2"/>
          </w:tcPr>
          <w:p>
            <w:pPr>
              <w:jc w:val="right"/>
              <w:ind w:right="3"/>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8.70</w:t>
            </w:r>
          </w:p>
        </w:tc>
        <w:tc>
          <w:tcPr>
            <w:tcW w:w="240" w:type="dxa"/>
            <w:vAlign w:val="bottom"/>
          </w:tcPr>
          <w:p>
            <w:pPr>
              <w:spacing w:after="0"/>
              <w:rPr>
                <w:sz w:val="21"/>
                <w:szCs w:val="21"/>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7.12</w:t>
            </w:r>
          </w:p>
        </w:tc>
        <w:tc>
          <w:tcPr>
            <w:tcW w:w="160" w:type="dxa"/>
            <w:vAlign w:val="bottom"/>
          </w:tcPr>
          <w:p>
            <w:pPr>
              <w:spacing w:after="0"/>
              <w:rPr>
                <w:sz w:val="21"/>
                <w:szCs w:val="21"/>
                <w:color w:val="auto"/>
              </w:rPr>
            </w:pPr>
          </w:p>
        </w:tc>
        <w:tc>
          <w:tcPr>
            <w:tcW w:w="2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5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83,716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83,479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84,517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85,536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MSCI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Years Ended</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1"/>
        </w:trPr>
        <w:tc>
          <w:tcPr>
            <w:tcW w:w="5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500"/>
              <w:spacing w:after="0" w:line="141"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2"/>
                <w:szCs w:val="12"/>
                <w:color w:val="auto"/>
              </w:rPr>
            </w:pPr>
          </w:p>
        </w:tc>
        <w:tc>
          <w:tcPr>
            <w:tcW w:w="142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160" w:type="dxa"/>
            <w:vAlign w:val="bottom"/>
          </w:tcPr>
          <w:p>
            <w:pPr>
              <w:jc w:val="right"/>
              <w:ind w:right="176"/>
              <w:spacing w:after="0" w:line="141"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2"/>
                <w:szCs w:val="12"/>
                <w:color w:val="auto"/>
              </w:rPr>
            </w:pPr>
          </w:p>
        </w:tc>
      </w:tr>
      <w:tr>
        <w:trPr>
          <w:trHeight w:val="167"/>
        </w:trPr>
        <w:tc>
          <w:tcPr>
            <w:tcW w:w="5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1"/>
        </w:trPr>
        <w:tc>
          <w:tcPr>
            <w:tcW w:w="5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601,822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563,648</w:t>
            </w:r>
          </w:p>
        </w:tc>
        <w:tc>
          <w:tcPr>
            <w:tcW w:w="100" w:type="dxa"/>
            <w:vAlign w:val="bottom"/>
            <w:shd w:val="clear" w:color="auto" w:fill="CFF0FC"/>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5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(3,624)</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9"/>
                <w:szCs w:val="19"/>
                <w:color w:val="auto"/>
              </w:rPr>
            </w:pPr>
          </w:p>
        </w:tc>
      </w:tr>
      <w:tr>
        <w:trPr>
          <w:trHeight w:val="223"/>
        </w:trPr>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 effect</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(776)</w:t>
            </w:r>
          </w:p>
        </w:tc>
      </w:tr>
      <w:tr>
        <w:trPr>
          <w:trHeight w:val="217"/>
        </w:trPr>
        <w:tc>
          <w:tcPr>
            <w:tcW w:w="5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 net</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(2,681)</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FF0FC"/>
          </w:tcPr>
          <w:p>
            <w:pPr>
              <w:spacing w:after="0"/>
              <w:rPr>
                <w:sz w:val="19"/>
                <w:szCs w:val="19"/>
                <w:color w:val="auto"/>
              </w:rPr>
            </w:pPr>
          </w:p>
        </w:tc>
      </w:tr>
      <w:tr>
        <w:trPr>
          <w:trHeight w:val="217"/>
        </w:trPr>
        <w:tc>
          <w:tcPr>
            <w:tcW w:w="5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other post-retirement adjustments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(1,675)</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(6,477)</w:t>
            </w:r>
          </w:p>
        </w:tc>
      </w:tr>
      <w:tr>
        <w:trPr>
          <w:trHeight w:val="223"/>
        </w:trPr>
        <w:tc>
          <w:tcPr>
            <w:tcW w:w="5120" w:type="dxa"/>
            <w:vAlign w:val="bottom"/>
          </w:tcPr>
          <w:p>
            <w:pPr>
              <w:ind w:left="480"/>
              <w:spacing w:after="0"/>
              <w:rPr>
                <w:sz w:val="20"/>
                <w:szCs w:val="20"/>
                <w:color w:val="auto"/>
              </w:rPr>
            </w:pPr>
            <w:r>
              <w:rPr>
                <w:rFonts w:ascii="Arial" w:cs="Arial" w:eastAsia="Arial" w:hAnsi="Arial"/>
                <w:sz w:val="18"/>
                <w:szCs w:val="18"/>
                <w:color w:val="auto"/>
              </w:rPr>
              <w:t>Income tax effect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r>
      <w:tr>
        <w:trPr>
          <w:trHeight w:val="217"/>
        </w:trPr>
        <w:tc>
          <w:tcPr>
            <w:tcW w:w="512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Pension and other post-retirement adjustments, net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(989)</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(5,441)</w:t>
            </w:r>
          </w:p>
        </w:tc>
      </w:tr>
      <w:tr>
        <w:trPr>
          <w:trHeight w:val="217"/>
        </w:trPr>
        <w:tc>
          <w:tcPr>
            <w:tcW w:w="512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(4,180)</w:t>
            </w:r>
          </w:p>
        </w:tc>
      </w:tr>
      <w:tr>
        <w:trPr>
          <w:trHeight w:val="224"/>
        </w:trPr>
        <w:tc>
          <w:tcPr>
            <w:tcW w:w="5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Comprehensive income</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726,047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605,542</w:t>
            </w:r>
          </w:p>
        </w:tc>
        <w:tc>
          <w:tcPr>
            <w:tcW w:w="2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559,468</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9" w:name="page70"/>
    <w:bookmarkEnd w:id="69"/>
    <w:p>
      <w:pPr>
        <w:jc w:val="center"/>
        <w:ind w:right="-179"/>
        <w:spacing w:after="0"/>
        <w:rPr>
          <w:sz w:val="20"/>
          <w:szCs w:val="20"/>
          <w:color w:val="auto"/>
        </w:rPr>
      </w:pPr>
      <w:r>
        <w:rPr>
          <w:rFonts w:ascii="Arial" w:cs="Arial" w:eastAsia="Arial" w:hAnsi="Arial"/>
          <w:sz w:val="18"/>
          <w:szCs w:val="18"/>
          <w:b w:val="1"/>
          <w:bCs w:val="1"/>
          <w:color w:val="auto"/>
        </w:rPr>
        <w:t>MSCI INC.</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SHAREHOLDERS’ EQUITY (DEFICIT)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Treasury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8"/>
              </w:rPr>
              <w:t>Retained</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Earnings</w:t>
            </w:r>
          </w:p>
        </w:tc>
        <w:tc>
          <w:tcPr>
            <w:tcW w:w="11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Income (Loss)</w:t>
            </w:r>
          </w:p>
        </w:tc>
        <w:tc>
          <w:tcPr>
            <w:tcW w:w="16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r>
      <w:tr>
        <w:trPr>
          <w:trHeight w:val="151"/>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5"/>
          </w:tcPr>
          <w:p>
            <w:pPr>
              <w:jc w:val="right"/>
              <w:ind w:right="74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2018</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(3,272,774)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1,306,428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1,856,951</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(58,399)</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(166,494)</w:t>
            </w: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Net income</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563,648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563,648</w:t>
            </w:r>
          </w:p>
        </w:tc>
        <w:tc>
          <w:tcPr>
            <w:tcW w:w="100" w:type="dxa"/>
            <w:vAlign w:val="bottom"/>
          </w:tcPr>
          <w:p>
            <w:pPr>
              <w:spacing w:after="0"/>
              <w:rPr>
                <w:sz w:val="13"/>
                <w:szCs w:val="13"/>
                <w:color w:val="auto"/>
              </w:rPr>
            </w:pP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Dividends declared ($2.52 per common share)</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(221,305)</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(221,075)</w:t>
            </w: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Other comprehensive income (loss), net of tax</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(4,180)</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(4,180)</w:t>
            </w: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Shares withheld for tax withholding and exercises</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(189,994)</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(189,994)</w:t>
            </w: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Common stock issued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r>
      <w:tr>
        <w:trPr>
          <w:trHeight w:val="149"/>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Compensation payable in common stock</w:t>
            </w: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37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and options</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41,138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41,138</w:t>
            </w: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Common stock repurchased and held in treasury</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(102,081)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(102,081)</w:t>
            </w:r>
          </w:p>
        </w:tc>
      </w:tr>
      <w:tr>
        <w:trPr>
          <w:trHeight w:val="149"/>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Common stock issued to Directors and</w:t>
            </w: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37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(held in)/released from treasury</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(935)</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(935)</w:t>
            </w:r>
          </w:p>
        </w:tc>
      </w:tr>
      <w:tr>
        <w:trPr>
          <w:trHeight w:val="158"/>
        </w:trPr>
        <w:tc>
          <w:tcPr>
            <w:tcW w:w="37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Exercise of stock options</w:t>
            </w: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3,235</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3,236</w:t>
            </w:r>
          </w:p>
        </w:tc>
        <w:tc>
          <w:tcPr>
            <w:tcW w:w="100" w:type="dxa"/>
            <w:vAlign w:val="bottom"/>
            <w:tcBorders>
              <w:bottom w:val="single" w:sz="8" w:color="CFF0FC"/>
            </w:tcBorders>
          </w:tcPr>
          <w:p>
            <w:pPr>
              <w:spacing w:after="0"/>
              <w:rPr>
                <w:sz w:val="13"/>
                <w:szCs w:val="13"/>
                <w:color w:val="auto"/>
              </w:rPr>
            </w:pPr>
          </w:p>
        </w:tc>
      </w:tr>
      <w:tr>
        <w:trPr>
          <w:trHeight w:val="151"/>
        </w:trPr>
        <w:tc>
          <w:tcPr>
            <w:tcW w:w="37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Balance at December 31, 2019</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1,324</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(3,565,784)</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1,351,031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2,199,294</w:t>
            </w:r>
          </w:p>
        </w:tc>
        <w:tc>
          <w:tcPr>
            <w:tcW w:w="2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(62,579)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(76,714)</w:t>
            </w: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601,822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601,822</w:t>
            </w: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Cumulative-effect adjustment</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13"/>
                <w:szCs w:val="13"/>
                <w:color w:val="auto"/>
              </w:rPr>
            </w:pP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Dividends declared ($2.92 per common share)</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(247,452)</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(247,452)</w:t>
            </w: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Dividends paid in shares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3"/>
                <w:szCs w:val="13"/>
                <w:color w:val="auto"/>
              </w:rPr>
            </w:pP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 (loss), net of tax</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3,720</w:t>
            </w: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Shares withheld for tax withholding and exercises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(51,176)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(51,176)</w:t>
            </w: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Common stock issued</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Compensation payable in common stock</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51,320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51,320</w:t>
            </w:r>
          </w:p>
        </w:tc>
        <w:tc>
          <w:tcPr>
            <w:tcW w:w="100" w:type="dxa"/>
            <w:vAlign w:val="bottom"/>
          </w:tcPr>
          <w:p>
            <w:pPr>
              <w:spacing w:after="0"/>
              <w:rPr>
                <w:sz w:val="13"/>
                <w:szCs w:val="13"/>
                <w:color w:val="auto"/>
              </w:rPr>
            </w:pP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Common stock repurchased and held in treasury</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(727,343)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(727,343)</w:t>
            </w:r>
          </w:p>
        </w:tc>
      </w:tr>
      <w:tr>
        <w:trPr>
          <w:trHeight w:val="149"/>
        </w:trPr>
        <w:tc>
          <w:tcPr>
            <w:tcW w:w="3720" w:type="dxa"/>
            <w:vAlign w:val="bottom"/>
          </w:tcPr>
          <w:p>
            <w:pPr>
              <w:spacing w:after="0"/>
              <w:rPr>
                <w:sz w:val="20"/>
                <w:szCs w:val="20"/>
                <w:color w:val="auto"/>
              </w:rPr>
            </w:pPr>
            <w:r>
              <w:rPr>
                <w:rFonts w:ascii="Arial" w:cs="Arial" w:eastAsia="Arial" w:hAnsi="Arial"/>
                <w:sz w:val="13"/>
                <w:szCs w:val="13"/>
                <w:color w:val="auto"/>
              </w:rPr>
              <w:t>Common stock issued to Directors and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372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(held in)/released from treasury</w:t>
            </w: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1,768</w:t>
            </w:r>
          </w:p>
        </w:tc>
        <w:tc>
          <w:tcPr>
            <w:tcW w:w="100" w:type="dxa"/>
            <w:vAlign w:val="bottom"/>
            <w:tcBorders>
              <w:bottom w:val="single" w:sz="8" w:color="CFF0FC"/>
            </w:tcBorders>
          </w:tcPr>
          <w:p>
            <w:pPr>
              <w:spacing w:after="0"/>
              <w:rPr>
                <w:sz w:val="13"/>
                <w:szCs w:val="13"/>
                <w:color w:val="auto"/>
              </w:rPr>
            </w:pPr>
          </w:p>
        </w:tc>
      </w:tr>
      <w:tr>
        <w:trPr>
          <w:trHeight w:val="151"/>
        </w:trPr>
        <w:tc>
          <w:tcPr>
            <w:tcW w:w="37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Balance at December 31, 2020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1,328</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(4,342,535)</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1,402,537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2,554,295</w:t>
            </w:r>
          </w:p>
        </w:tc>
        <w:tc>
          <w:tcPr>
            <w:tcW w:w="2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(58,859)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(443,234)</w:t>
            </w: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725,983</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725,983</w:t>
            </w: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Dividends declared ($3.64 per common share)</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(303,761)</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(303,761)</w:t>
            </w: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Dividends paid in shares</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Other comprehensive income (loss), net of tax</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3"/>
                <w:szCs w:val="13"/>
                <w:color w:val="auto"/>
              </w:rPr>
            </w:pP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Shares withheld for tax withholding and exercises</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(58,794)</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(58,794)</w:t>
            </w: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Common stock issued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r>
      <w:tr>
        <w:trPr>
          <w:trHeight w:val="158"/>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Compensation payable in common stock</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54,958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54,958</w:t>
            </w: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Pr>
          <w:p>
            <w:pPr>
              <w:spacing w:after="0"/>
              <w:rPr>
                <w:sz w:val="20"/>
                <w:szCs w:val="20"/>
                <w:color w:val="auto"/>
              </w:rPr>
            </w:pPr>
            <w:r>
              <w:rPr>
                <w:rFonts w:ascii="Arial" w:cs="Arial" w:eastAsia="Arial" w:hAnsi="Arial"/>
                <w:sz w:val="13"/>
                <w:szCs w:val="13"/>
                <w:color w:val="auto"/>
              </w:rPr>
              <w:t>Common stock repurchased and held in treasury</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(139,580)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(139,580)</w:t>
            </w:r>
          </w:p>
        </w:tc>
      </w:tr>
      <w:tr>
        <w:trPr>
          <w:trHeight w:val="149"/>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Common stock issued to Directors and</w:t>
            </w: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37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(held in)/released from treasury</w:t>
            </w: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w:t>
            </w:r>
          </w:p>
        </w:tc>
        <w:tc>
          <w:tcPr>
            <w:tcW w:w="100" w:type="dxa"/>
            <w:vAlign w:val="bottom"/>
            <w:shd w:val="clear" w:color="auto" w:fill="CFF0FC"/>
          </w:tcPr>
          <w:p>
            <w:pPr>
              <w:spacing w:after="0"/>
              <w:rPr>
                <w:sz w:val="13"/>
                <w:szCs w:val="13"/>
                <w:color w:val="auto"/>
              </w:rPr>
            </w:pPr>
          </w:p>
        </w:tc>
      </w:tr>
      <w:tr>
        <w:trPr>
          <w:trHeight w:val="158"/>
        </w:trPr>
        <w:tc>
          <w:tcPr>
            <w:tcW w:w="37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151"/>
        </w:trPr>
        <w:tc>
          <w:tcPr>
            <w:tcW w:w="372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2021</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(4,540,144)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1,457,623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2,976,517</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(58,795)</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(163,467)</w:t>
            </w: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542" w:right="519" w:bottom="1440" w:gutter="0" w:footer="0" w:header="0"/>
        </w:sectPr>
      </w:pPr>
    </w:p>
    <w:bookmarkStart w:id="70" w:name="page71"/>
    <w:bookmarkEnd w:id="70"/>
    <w:p>
      <w:pPr>
        <w:jc w:val="center"/>
        <w:ind w:right="-159"/>
        <w:spacing w:after="0"/>
        <w:rPr>
          <w:sz w:val="20"/>
          <w:szCs w:val="20"/>
          <w:color w:val="auto"/>
        </w:rPr>
      </w:pPr>
      <w:r>
        <w:rPr>
          <w:rFonts w:ascii="Arial" w:cs="Arial" w:eastAsia="Arial" w:hAnsi="Arial"/>
          <w:sz w:val="18"/>
          <w:szCs w:val="18"/>
          <w:b w:val="1"/>
          <w:bCs w:val="1"/>
          <w:color w:val="auto"/>
        </w:rPr>
        <w:t>MSCI INC.</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3"/>
                <w:szCs w:val="13"/>
                <w:b w:val="1"/>
                <w:bCs w:val="1"/>
                <w:color w:val="auto"/>
              </w:rPr>
              <w:t>Years Ended</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5"/>
              </w:rPr>
              <w:t>(in thousands)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725,983</w:t>
            </w:r>
          </w:p>
        </w:tc>
        <w:tc>
          <w:tcPr>
            <w:tcW w:w="26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601,822</w:t>
            </w:r>
          </w:p>
        </w:tc>
        <w:tc>
          <w:tcPr>
            <w:tcW w:w="26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563,648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Amortization of intangible assets</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80,592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56,941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49,410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Stock-based compensation expense</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54,917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51,094</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Depreciation and amortization of property, equipment and leasehold improvements</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28,901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29,805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29,999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Amortization of right of use assets</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24,632</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24,049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Loss on impairment of right of use assets</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8,385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Amortization of debt origination fees</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4,923</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4,445</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Loss on extinguishment of debt</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59,103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44,930</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16,794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Deferred taxes</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(111,369)</w:t>
            </w:r>
          </w:p>
        </w:tc>
        <w:tc>
          <w:tcPr>
            <w:tcW w:w="1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(55,645)</w:t>
            </w: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(20,767)</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Other adjustments</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(146)</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1,744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spacing w:after="0"/>
              <w:rPr>
                <w:sz w:val="20"/>
                <w:szCs w:val="20"/>
                <w:color w:val="auto"/>
              </w:rPr>
            </w:pPr>
            <w:r>
              <w:rPr>
                <w:rFonts w:ascii="Arial" w:cs="Arial" w:eastAsia="Arial" w:hAnsi="Arial"/>
                <w:sz w:val="13"/>
                <w:szCs w:val="13"/>
                <w:color w:val="auto"/>
              </w:rPr>
              <w:t>Changes in assets and liabilities, net of the effect of acquisitions and dispositions:</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Accounts receivable</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(99,203)</w:t>
            </w: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(57,606)</w:t>
            </w:r>
          </w:p>
        </w:tc>
        <w:tc>
          <w:tcPr>
            <w:tcW w:w="16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(25,923)</w:t>
            </w: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Prepaid income taxes</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15,264</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11,608</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(13,200)</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Prepaid and other assets</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(4,240)</w:t>
            </w: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(410)</w:t>
            </w:r>
          </w:p>
        </w:tc>
        <w:tc>
          <w:tcPr>
            <w:tcW w:w="16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(7,698)</w:t>
            </w: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 non-current assets</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(35,445)</w:t>
            </w:r>
          </w:p>
        </w:tc>
        <w:tc>
          <w:tcPr>
            <w:tcW w:w="1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(3,792)</w:t>
            </w: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(2,195)</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7,482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Income taxes payable</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33,903</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9,576</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(2,240)</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Accrued compensation and related benefits</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42,719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(2,641)</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25,217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 accrued liabilities</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(9,249)</w:t>
            </w: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1,674</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116,863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98,330</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35,366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Long-term operating lease liabilities</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(22,078)</w:t>
            </w:r>
          </w:p>
        </w:tc>
        <w:tc>
          <w:tcPr>
            <w:tcW w:w="1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(22,497)</w:t>
            </w: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(20,244)</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Other non-current liabilities</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21,536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6,536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2,273</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3,664</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Net cash provided by operating activities</w:t>
            </w: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936,069</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811,109</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709,523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Acquisition of a business, net of cash acquired</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(948,989)</w:t>
            </w: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(18,177)</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Acquisition of equity method investment</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(26,361)</w:t>
            </w: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(190,816)</w:t>
            </w:r>
          </w:p>
        </w:tc>
        <w:tc>
          <w:tcPr>
            <w:tcW w:w="1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Acquisition of assets, net of cash acquired</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(6,512)</w:t>
            </w:r>
          </w:p>
        </w:tc>
        <w:tc>
          <w:tcPr>
            <w:tcW w:w="1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Capital expenditures</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(13,509)</w:t>
            </w: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(21,826)</w:t>
            </w:r>
          </w:p>
        </w:tc>
        <w:tc>
          <w:tcPr>
            <w:tcW w:w="16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(29,116)</w:t>
            </w: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Capitalized software development costs</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(39,285)</w:t>
            </w:r>
          </w:p>
        </w:tc>
        <w:tc>
          <w:tcPr>
            <w:tcW w:w="1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(29,149)</w:t>
            </w: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(24,654)</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(1,057)</w:t>
            </w:r>
          </w:p>
        </w:tc>
        <w:tc>
          <w:tcPr>
            <w:tcW w:w="160" w:type="dxa"/>
            <w:vAlign w:val="bottom"/>
          </w:tcPr>
          <w:p>
            <w:pPr>
              <w:spacing w:after="0"/>
              <w:rPr>
                <w:sz w:val="13"/>
                <w:szCs w:val="13"/>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(1,035,713)</w:t>
            </w:r>
          </w:p>
        </w:tc>
        <w:tc>
          <w:tcPr>
            <w:tcW w:w="1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(241,791)</w:t>
            </w: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(71,937)</w:t>
            </w:r>
          </w:p>
        </w:tc>
        <w:tc>
          <w:tcPr>
            <w:tcW w:w="0" w:type="dxa"/>
            <w:vAlign w:val="bottom"/>
          </w:tcPr>
          <w:p>
            <w:pPr>
              <w:spacing w:after="0"/>
              <w:rPr>
                <w:sz w:val="1"/>
                <w:szCs w:val="1"/>
                <w:color w:val="auto"/>
              </w:rPr>
            </w:pPr>
          </w:p>
        </w:tc>
      </w:tr>
      <w:tr>
        <w:trPr>
          <w:trHeight w:val="151"/>
        </w:trPr>
        <w:tc>
          <w:tcPr>
            <w:tcW w:w="6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Proceeds from borrowings, inclusive of premium</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1,803,750</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1,405,000</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Repayment of borrowings</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(1,051,810)</w:t>
            </w:r>
          </w:p>
        </w:tc>
        <w:tc>
          <w:tcPr>
            <w:tcW w:w="1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(1,142,382)</w:t>
            </w: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(513,125)</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Repurchase of common stock held in treasury</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(198,374)</w:t>
            </w: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(778,519)</w:t>
            </w:r>
          </w:p>
        </w:tc>
        <w:tc>
          <w:tcPr>
            <w:tcW w:w="16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(292,075)</w:t>
            </w: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Payment of dividends</w:t>
            </w:r>
          </w:p>
        </w:tc>
        <w:tc>
          <w:tcPr>
            <w:tcW w:w="1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(302,449)</w:t>
            </w:r>
          </w:p>
        </w:tc>
        <w:tc>
          <w:tcPr>
            <w:tcW w:w="1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(246,444)</w:t>
            </w: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(222,922)</w:t>
            </w: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Payment of debt issuance costs in connection with debt</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(21,612)</w:t>
            </w: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(16,693)</w:t>
            </w:r>
          </w:p>
        </w:tc>
        <w:tc>
          <w:tcPr>
            <w:tcW w:w="16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(11,781)</w:t>
            </w: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Proceeds from exercise of stock options</w:t>
            </w:r>
          </w:p>
        </w:tc>
        <w:tc>
          <w:tcPr>
            <w:tcW w:w="1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80" w:type="dxa"/>
            <w:vAlign w:val="bottom"/>
          </w:tcPr>
          <w:p>
            <w:pPr>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229,505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(779,038)</w:t>
            </w:r>
          </w:p>
        </w:tc>
        <w:tc>
          <w:tcPr>
            <w:tcW w:w="16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(36,667)</w:t>
            </w:r>
          </w:p>
        </w:tc>
        <w:tc>
          <w:tcPr>
            <w:tcW w:w="0" w:type="dxa"/>
            <w:vAlign w:val="bottom"/>
          </w:tcPr>
          <w:p>
            <w:pPr>
              <w:spacing w:after="0"/>
              <w:rPr>
                <w:sz w:val="1"/>
                <w:szCs w:val="1"/>
                <w:color w:val="auto"/>
              </w:rPr>
            </w:pPr>
          </w:p>
        </w:tc>
      </w:tr>
      <w:tr>
        <w:trPr>
          <w:trHeight w:val="151"/>
        </w:trPr>
        <w:tc>
          <w:tcPr>
            <w:tcW w:w="63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spacing w:after="0"/>
              <w:rPr>
                <w:sz w:val="20"/>
                <w:szCs w:val="20"/>
                <w:color w:val="auto"/>
              </w:rPr>
            </w:pPr>
            <w:r>
              <w:rPr>
                <w:rFonts w:ascii="Arial" w:cs="Arial" w:eastAsia="Arial" w:hAnsi="Arial"/>
                <w:sz w:val="13"/>
                <w:szCs w:val="13"/>
                <w:b w:val="1"/>
                <w:bCs w:val="1"/>
                <w:color w:val="auto"/>
              </w:rPr>
              <w:t>Effect of exchange rate changes</w:t>
            </w:r>
          </w:p>
        </w:tc>
        <w:tc>
          <w:tcPr>
            <w:tcW w:w="1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(8,933)</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3,674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Pr>
          <w:p>
            <w:pPr>
              <w:spacing w:after="0"/>
              <w:rPr>
                <w:sz w:val="20"/>
                <w:szCs w:val="20"/>
                <w:color w:val="auto"/>
              </w:rPr>
            </w:pPr>
            <w:r>
              <w:rPr>
                <w:rFonts w:ascii="Arial" w:cs="Arial" w:eastAsia="Arial" w:hAnsi="Arial"/>
                <w:sz w:val="13"/>
                <w:szCs w:val="13"/>
                <w:b w:val="1"/>
                <w:bCs w:val="1"/>
                <w:color w:val="auto"/>
              </w:rPr>
              <w:t>Net (decrease) increase in cash</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120,928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(206,046)</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602,391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and cash equivalent, beginning of period</w:t>
            </w:r>
          </w:p>
        </w:tc>
        <w:tc>
          <w:tcPr>
            <w:tcW w:w="1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1,300,521</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1,506,567</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904,176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3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Cash and cash equivalent, end of period</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1,421,449</w:t>
            </w:r>
          </w:p>
        </w:tc>
        <w:tc>
          <w:tcPr>
            <w:tcW w:w="2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1,300,521</w:t>
            </w:r>
          </w:p>
        </w:tc>
        <w:tc>
          <w:tcPr>
            <w:tcW w:w="2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1,506,567</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380" w:type="dxa"/>
            <w:vAlign w:val="bottom"/>
          </w:tcPr>
          <w:p>
            <w:pPr>
              <w:spacing w:after="0"/>
              <w:rPr>
                <w:sz w:val="20"/>
                <w:szCs w:val="20"/>
                <w:color w:val="auto"/>
              </w:rPr>
            </w:pPr>
            <w:r>
              <w:rPr>
                <w:rFonts w:ascii="Arial" w:cs="Arial" w:eastAsia="Arial" w:hAnsi="Arial"/>
                <w:sz w:val="13"/>
                <w:szCs w:val="13"/>
                <w:color w:val="auto"/>
              </w:rPr>
              <w:t>Supplemental disclosure of cash flow information:</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color w:val="auto"/>
              </w:rPr>
              <w:t>Cash paid for interest</w:t>
            </w:r>
          </w:p>
        </w:tc>
        <w:tc>
          <w:tcPr>
            <w:tcW w:w="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151,335</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163,391</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141,484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120"/>
              <w:spacing w:after="0"/>
              <w:rPr>
                <w:sz w:val="20"/>
                <w:szCs w:val="20"/>
                <w:color w:val="auto"/>
              </w:rPr>
            </w:pPr>
            <w:r>
              <w:rPr>
                <w:rFonts w:ascii="Arial" w:cs="Arial" w:eastAsia="Arial" w:hAnsi="Arial"/>
                <w:sz w:val="13"/>
                <w:szCs w:val="13"/>
                <w:color w:val="auto"/>
              </w:rPr>
              <w:t>Cash paid for income taxes, net of refunds received</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Borders>
              <w:bottom w:val="single" w:sz="8" w:color="CFF0FC"/>
            </w:tcBorders>
            <w:vMerge w:val="continue"/>
          </w:tcPr>
          <w:p>
            <w:pPr>
              <w:spacing w:after="0"/>
              <w:rPr>
                <w:sz w:val="15"/>
                <w:szCs w:val="15"/>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222,620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113,646</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72,935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380" w:type="dxa"/>
            <w:vAlign w:val="bottom"/>
            <w:shd w:val="clear" w:color="auto" w:fill="CFF0FC"/>
          </w:tcPr>
          <w:p>
            <w:pPr>
              <w:spacing w:after="0" w:line="138" w:lineRule="exact"/>
              <w:rPr>
                <w:sz w:val="20"/>
                <w:szCs w:val="20"/>
                <w:color w:val="auto"/>
              </w:rPr>
            </w:pPr>
            <w:r>
              <w:rPr>
                <w:rFonts w:ascii="Arial" w:cs="Arial" w:eastAsia="Arial" w:hAnsi="Arial"/>
                <w:sz w:val="13"/>
                <w:szCs w:val="13"/>
                <w:color w:val="auto"/>
              </w:rPr>
              <w:t>Supplemental disclosure of non-cash investing activities</w:t>
            </w: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380" w:type="dxa"/>
            <w:vAlign w:val="bottom"/>
            <w:tcBorders>
              <w:bottom w:val="single" w:sz="8" w:color="CFF0FC"/>
            </w:tcBorders>
          </w:tcPr>
          <w:p>
            <w:pPr>
              <w:ind w:left="120"/>
              <w:spacing w:after="0"/>
              <w:rPr>
                <w:sz w:val="20"/>
                <w:szCs w:val="20"/>
                <w:color w:val="auto"/>
              </w:rPr>
            </w:pPr>
            <w:r>
              <w:rPr>
                <w:rFonts w:ascii="Arial" w:cs="Arial" w:eastAsia="Arial" w:hAnsi="Arial"/>
                <w:sz w:val="13"/>
                <w:szCs w:val="13"/>
                <w:color w:val="auto"/>
              </w:rPr>
              <w:t>Property, equipment and leasehold improvements in other accrued liabilities</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3,498</w:t>
            </w: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3,061</w:t>
            </w: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380" w:type="dxa"/>
            <w:vAlign w:val="bottom"/>
            <w:shd w:val="clear" w:color="auto" w:fill="CFF0FC"/>
          </w:tcPr>
          <w:p>
            <w:pPr>
              <w:spacing w:after="0" w:line="138" w:lineRule="exact"/>
              <w:rPr>
                <w:sz w:val="20"/>
                <w:szCs w:val="20"/>
                <w:color w:val="auto"/>
              </w:rPr>
            </w:pPr>
            <w:r>
              <w:rPr>
                <w:rFonts w:ascii="Arial" w:cs="Arial" w:eastAsia="Arial" w:hAnsi="Arial"/>
                <w:sz w:val="13"/>
                <w:szCs w:val="13"/>
                <w:color w:val="auto"/>
              </w:rPr>
              <w:t>Supplemental disclosure of non-cash financing activities</w:t>
            </w: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380" w:type="dxa"/>
            <w:vAlign w:val="bottom"/>
          </w:tcPr>
          <w:p>
            <w:pPr>
              <w:ind w:left="120"/>
              <w:spacing w:after="0"/>
              <w:rPr>
                <w:sz w:val="20"/>
                <w:szCs w:val="20"/>
                <w:color w:val="auto"/>
              </w:rPr>
            </w:pPr>
            <w:r>
              <w:rPr>
                <w:rFonts w:ascii="Arial" w:cs="Arial" w:eastAsia="Arial" w:hAnsi="Arial"/>
                <w:sz w:val="13"/>
                <w:szCs w:val="13"/>
                <w:color w:val="auto"/>
              </w:rPr>
              <w:t>Cash dividends declared, but not yet paid</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2,599</w:t>
            </w:r>
          </w:p>
        </w:tc>
        <w:tc>
          <w:tcPr>
            <w:tcW w:w="260" w:type="dxa"/>
            <w:vAlign w:val="bottom"/>
          </w:tcPr>
          <w:p>
            <w:pPr>
              <w:spacing w:after="0"/>
              <w:rPr>
                <w:sz w:val="13"/>
                <w:szCs w:val="13"/>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1,438</w:t>
            </w:r>
          </w:p>
        </w:tc>
        <w:tc>
          <w:tcPr>
            <w:tcW w:w="260" w:type="dxa"/>
            <w:vAlign w:val="bottom"/>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542" w:right="49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MSCI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000" w:firstLine="5"/>
        <w:spacing w:after="0" w:line="369" w:lineRule="auto"/>
        <w:tabs>
          <w:tab w:leader="none" w:pos="17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BASIS OF PRESENTATION Organization</w:t>
      </w:r>
    </w:p>
    <w:p>
      <w:pPr>
        <w:ind w:right="40" w:firstLine="589"/>
        <w:spacing w:after="0" w:line="284" w:lineRule="auto"/>
        <w:rPr>
          <w:sz w:val="20"/>
          <w:szCs w:val="20"/>
          <w:color w:val="auto"/>
        </w:rPr>
      </w:pPr>
      <w:r>
        <w:rPr>
          <w:rFonts w:ascii="Arial" w:cs="Arial" w:eastAsia="Arial" w:hAnsi="Arial"/>
          <w:sz w:val="16"/>
          <w:szCs w:val="16"/>
          <w:color w:val="auto"/>
        </w:rPr>
        <w:t>MSCI Inc., together with its wholly owned subsidiaries (the “Company” or “MSCI”) is a leading provider of critical decision support tools and solutions for the global investment community. Our mission-critical offerings help investors address the challenges of a transforming investment landscape and power better investment decisions. Leveraging our knowledge of the global investment process and our expertise in research, data and technology, we enable our clients to understand and analyze key drivers of risk and return and confidently and efficiently build more effective portfolios. Our products and services include indexes; portfolio construction and risk management tools; environmental, social and governance (“ESG”) and climate solutions; and real estate market and transaction data and analysis.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4" w:lineRule="exact"/>
        <w:rPr>
          <w:sz w:val="20"/>
          <w:szCs w:val="20"/>
          <w:color w:val="auto"/>
        </w:rPr>
      </w:pPr>
    </w:p>
    <w:p>
      <w:pPr>
        <w:ind w:right="100" w:firstLine="589"/>
        <w:spacing w:after="0" w:line="324" w:lineRule="auto"/>
        <w:rPr>
          <w:sz w:val="20"/>
          <w:szCs w:val="20"/>
          <w:color w:val="auto"/>
        </w:rPr>
      </w:pPr>
      <w:r>
        <w:rPr>
          <w:rFonts w:ascii="Arial" w:cs="Arial" w:eastAsia="Arial" w:hAnsi="Arial"/>
          <w:sz w:val="16"/>
          <w:szCs w:val="16"/>
          <w:color w:val="auto"/>
        </w:rPr>
        <w:t>The consolidated financial statements and accompanying notes to financial statements, which include the accounts of MSCI Inc. and its wholly owned subsidiaries, are prepared in accordance with accounting principles generally accepted in the United States of America (“GAAP”).</w:t>
      </w:r>
    </w:p>
    <w:p>
      <w:pPr>
        <w:spacing w:after="0" w:line="29"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Certain prior period amounts have been reclassified to conform to the current period presentation. Effective January 1, 2021, the ESG and Climate operating segment is being presented as a separate reportable segment. The operating segments of Real Estate and The Burgiss Group, LLC (“Burgiss”) do not individually meet the segment reporting thresholds and have been combined and presented as part of the All Other – Private Assets reportable segment. As of December 31, 2021, the Company had an approximately $218.8 million equity method investment in Burgiss, representing a 33.6% equity ownership.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Financial Statements and Use of Estimates</w:t>
      </w:r>
    </w:p>
    <w:p>
      <w:pPr>
        <w:spacing w:after="0" w:line="108"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The Company makes certain estimates and judgments that can affect the reported amounts of assets and liabilities as of the date of the consolidated financial statements, as well as the reported amounts of operating revenues and expenses during the periods presented. Significant estimates and judgments made by management include such examples as assessment of impairment of goodwill and intangible assets and income taxes. The Company believes that estimates used in the preparation of these consolidated financial statements are reasonable; however, actual results could differ materially from these estimates. Inter-company balances and transactions are eliminated in consolidation.</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 and Transaction Price</w:t>
      </w:r>
    </w:p>
    <w:p>
      <w:pPr>
        <w:spacing w:after="0" w:line="114"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Company recognizes revenues for products and services when performance obligations are satisfied. For revenue arrangements containing multiple products or services, the Company accounts for the individual products or services as a separate performance obligation if they are distinct. A product or service is distinct if a client can benefit from it either on its own or together with other resources that are readily available to the client, and the Company’s promise to transfer the product or service to the client is separately identifiable from other promises in the contract. If both criteria are not met, the promised products or services are accounted for as a combined performance obligation.</w:t>
      </w:r>
    </w:p>
    <w:p>
      <w:pPr>
        <w:spacing w:after="0" w:line="166" w:lineRule="exact"/>
        <w:rPr>
          <w:sz w:val="20"/>
          <w:szCs w:val="20"/>
          <w:color w:val="auto"/>
        </w:rPr>
      </w:pPr>
    </w:p>
    <w:p>
      <w:pPr>
        <w:ind w:right="100" w:firstLine="589"/>
        <w:spacing w:after="0" w:line="247"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products or services to the client. The Company allocates the transaction price to each performance obligation identified in the contract based on the best estimate of a relative standalone selling price of each distinct product or service in the contract. To allocate the transaction price to each performance obligation on a relative standalone selling price basis, at contract inception the Company determines the standalone selling prices of the distinct products or services underlying each performance obligation in proportion to the total transaction price. This standalone selling price may be the contract price but is more often than not the best estimate of the price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2" w:name="page73"/>
    <w:bookmarkEnd w:id="72"/>
    <w:p>
      <w:pPr>
        <w:spacing w:after="0" w:line="252" w:lineRule="auto"/>
        <w:rPr>
          <w:sz w:val="20"/>
          <w:szCs w:val="20"/>
          <w:color w:val="auto"/>
        </w:rPr>
      </w:pPr>
      <w:r>
        <w:rPr>
          <w:rFonts w:ascii="Arial" w:cs="Arial" w:eastAsia="Arial" w:hAnsi="Arial"/>
          <w:sz w:val="18"/>
          <w:szCs w:val="18"/>
          <w:color w:val="auto"/>
        </w:rPr>
        <w:t>Company would receive for selling the product or service separately in similar circumstances and to other similar customers. A client can receive a discount for purchasing a bundle of products or services if the sum of the standalone selling price of those promised products or services in the contract exceeds the promised consideration in the contract.</w:t>
      </w:r>
    </w:p>
    <w:p>
      <w:pPr>
        <w:spacing w:after="0" w:line="189" w:lineRule="exact"/>
        <w:rPr>
          <w:sz w:val="20"/>
          <w:szCs w:val="20"/>
          <w:color w:val="auto"/>
        </w:rPr>
      </w:pPr>
    </w:p>
    <w:p>
      <w:pPr>
        <w:ind w:right="20" w:firstLine="589"/>
        <w:spacing w:after="0" w:line="249" w:lineRule="auto"/>
        <w:rPr>
          <w:sz w:val="20"/>
          <w:szCs w:val="20"/>
          <w:color w:val="auto"/>
        </w:rPr>
      </w:pPr>
      <w:r>
        <w:rPr>
          <w:rFonts w:ascii="Arial" w:cs="Arial" w:eastAsia="Arial" w:hAnsi="Arial"/>
          <w:sz w:val="18"/>
          <w:szCs w:val="18"/>
          <w:color w:val="auto"/>
        </w:rPr>
        <w:t>For services where the transaction price is variable based upon assets under management (“AUM”), volume of trades, fee levels or number of investments linked to MSCI’s indexes, the transaction price is based upon pricing models and is not allocated at the inception of the contract but rather falls within the sales and usage-based royalty exception under which the price and associated revenue are based upon actual known performance or best estimates of actual performance during the performance period.</w:t>
      </w:r>
    </w:p>
    <w:p>
      <w:pPr>
        <w:spacing w:after="0" w:line="192" w:lineRule="exact"/>
        <w:rPr>
          <w:sz w:val="20"/>
          <w:szCs w:val="20"/>
          <w:color w:val="auto"/>
        </w:rPr>
      </w:pPr>
    </w:p>
    <w:p>
      <w:pPr>
        <w:ind w:right="20" w:firstLine="589"/>
        <w:spacing w:after="0" w:line="327" w:lineRule="auto"/>
        <w:rPr>
          <w:sz w:val="20"/>
          <w:szCs w:val="20"/>
          <w:color w:val="auto"/>
        </w:rPr>
      </w:pPr>
      <w:r>
        <w:rPr>
          <w:rFonts w:ascii="Arial" w:cs="Arial" w:eastAsia="Arial" w:hAnsi="Arial"/>
          <w:sz w:val="15"/>
          <w:szCs w:val="15"/>
          <w:color w:val="auto"/>
        </w:rPr>
        <w:t>Revenue is recognized when a client obtains control of promised products or services in an amount that reflects the consideration the entity expects to receive in exchange for those products or services. Determining when control has transferred can sometimes require management’s judgment (</w:t>
      </w:r>
      <w:r>
        <w:rPr>
          <w:rFonts w:ascii="Arial" w:cs="Arial" w:eastAsia="Arial" w:hAnsi="Arial"/>
          <w:sz w:val="15"/>
          <w:szCs w:val="15"/>
          <w:i w:val="1"/>
          <w:iCs w:val="1"/>
          <w:color w:val="auto"/>
        </w:rPr>
        <w:t>e.g.</w:t>
      </w:r>
      <w:r>
        <w:rPr>
          <w:rFonts w:ascii="Arial" w:cs="Arial" w:eastAsia="Arial" w:hAnsi="Arial"/>
          <w:sz w:val="15"/>
          <w:szCs w:val="15"/>
          <w:color w:val="auto"/>
        </w:rPr>
        <w:t>, implementation services), which could affect the timing of revenue recognition. Revenue is recognized exclusive of any applicable sales or other indirect taxes.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14" w:lineRule="exact"/>
        <w:rPr>
          <w:sz w:val="20"/>
          <w:szCs w:val="20"/>
          <w:color w:val="auto"/>
        </w:rPr>
      </w:pPr>
    </w:p>
    <w:p>
      <w:pPr>
        <w:ind w:right="760" w:firstLine="589"/>
        <w:spacing w:after="0" w:line="261" w:lineRule="auto"/>
        <w:rPr>
          <w:sz w:val="20"/>
          <w:szCs w:val="20"/>
          <w:color w:val="auto"/>
        </w:rPr>
      </w:pPr>
      <w:r>
        <w:rPr>
          <w:rFonts w:ascii="Arial" w:cs="Arial" w:eastAsia="Arial" w:hAnsi="Arial"/>
          <w:sz w:val="18"/>
          <w:szCs w:val="18"/>
          <w:color w:val="auto"/>
        </w:rPr>
        <w:t>Revenues are characterized by type, which broadly reflects the nature of how they are recognized or earned. Our revenue types are recurring subscriptions, asset-based fees and non-recurring revenues. We also group our revenues by segment.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 By Type</w:t>
      </w:r>
    </w:p>
    <w:p>
      <w:pPr>
        <w:spacing w:after="0" w:line="114" w:lineRule="exact"/>
        <w:rPr>
          <w:sz w:val="20"/>
          <w:szCs w:val="20"/>
          <w:color w:val="auto"/>
        </w:rPr>
      </w:pPr>
    </w:p>
    <w:p>
      <w:pPr>
        <w:ind w:right="60" w:firstLine="589"/>
        <w:spacing w:after="0" w:line="249" w:lineRule="auto"/>
        <w:rPr>
          <w:sz w:val="20"/>
          <w:szCs w:val="20"/>
          <w:color w:val="auto"/>
        </w:rPr>
      </w:pPr>
      <w:r>
        <w:rPr>
          <w:rFonts w:ascii="Arial" w:cs="Arial" w:eastAsia="Arial" w:hAnsi="Arial"/>
          <w:sz w:val="18"/>
          <w:szCs w:val="18"/>
          <w:color w:val="auto"/>
        </w:rPr>
        <w:t>Recurring subscription revenues represent fees earned from clients primarily under renewable contracts or agreements and are generally paid annually or quarterly in advance and recognized in most cases ratably over the term of the license or service pursuant to the contract terms. Revenues from subscription agreements for the receipt of periodic benchmark reports, digests and other publications, which are most often associated with our real estate offerings, are generally billed and recognized upon delivery of such reports or data updates.</w:t>
      </w:r>
    </w:p>
    <w:p>
      <w:pPr>
        <w:spacing w:after="0" w:line="192" w:lineRule="exact"/>
        <w:rPr>
          <w:sz w:val="20"/>
          <w:szCs w:val="20"/>
          <w:color w:val="auto"/>
        </w:rPr>
      </w:pPr>
    </w:p>
    <w:p>
      <w:pPr>
        <w:ind w:firstLine="589"/>
        <w:spacing w:after="0" w:line="249" w:lineRule="auto"/>
        <w:rPr>
          <w:sz w:val="20"/>
          <w:szCs w:val="20"/>
          <w:color w:val="auto"/>
        </w:rPr>
      </w:pPr>
      <w:r>
        <w:rPr>
          <w:rFonts w:ascii="Arial" w:cs="Arial" w:eastAsia="Arial" w:hAnsi="Arial"/>
          <w:sz w:val="18"/>
          <w:szCs w:val="18"/>
          <w:color w:val="auto"/>
        </w:rPr>
        <w:t>Asset-based fees are principally recognized based on the estimated AUM linked to our indexes from independent third-party sources or the most recently reported information provided by the client. Asset-based fees also include revenues related to futures and options contracts linked to our indexes, which are primarily based on trading volumes and fee levels. Asset-based fees are generally variable based upon AUM or the volume of trades or fee levels and are generally billed quarterly in arrears.</w:t>
      </w:r>
    </w:p>
    <w:p>
      <w:pPr>
        <w:spacing w:after="0" w:line="192" w:lineRule="exact"/>
        <w:rPr>
          <w:sz w:val="20"/>
          <w:szCs w:val="20"/>
          <w:color w:val="auto"/>
        </w:rPr>
      </w:pPr>
    </w:p>
    <w:p>
      <w:pPr>
        <w:ind w:right="80" w:firstLine="589"/>
        <w:spacing w:after="0" w:line="327" w:lineRule="auto"/>
        <w:rPr>
          <w:sz w:val="20"/>
          <w:szCs w:val="20"/>
          <w:color w:val="auto"/>
        </w:rPr>
      </w:pPr>
      <w:r>
        <w:rPr>
          <w:rFonts w:ascii="Arial" w:cs="Arial" w:eastAsia="Arial" w:hAnsi="Arial"/>
          <w:sz w:val="15"/>
          <w:szCs w:val="15"/>
          <w:color w:val="auto"/>
        </w:rPr>
        <w:t>Non-recurring revenues primarily represent fees earned on products and services where we do not have renewal clauses within the contract and revenues for providing customized reports, historical data sets, certain derivative financial products and certain implementation and consulting services. Based on the nature of the services provided, non-recurring revenues are generally billed upon delivery and recognized upon delivery or over the service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 By Segment</w:t>
      </w:r>
    </w:p>
    <w:p>
      <w:pPr>
        <w:spacing w:after="0" w:line="114"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Index segment operating revenues consist of fees earned for licenses of index data subscriptions, performance obligations to deliver the data are satisfied over time and, accordingly, revenue is recognized ratably over the term of the agreement pursuant to the contract terms. With respect to licenses to create indexed investment products, such as ETFs, passively managed funds, or licenses which allow certain exchanges to use MSCI’s indexes as the basis for futures and options contracts, MSCI’s performance obligation allows customers to use the Company’s intellectual property (</w:t>
      </w:r>
      <w:r>
        <w:rPr>
          <w:rFonts w:ascii="Arial" w:cs="Arial" w:eastAsia="Arial" w:hAnsi="Arial"/>
          <w:sz w:val="16"/>
          <w:szCs w:val="16"/>
          <w:i w:val="1"/>
          <w:iCs w:val="1"/>
          <w:color w:val="auto"/>
        </w:rPr>
        <w:t>e.g.</w:t>
      </w:r>
      <w:r>
        <w:rPr>
          <w:rFonts w:ascii="Arial" w:cs="Arial" w:eastAsia="Arial" w:hAnsi="Arial"/>
          <w:sz w:val="16"/>
          <w:szCs w:val="16"/>
          <w:color w:val="auto"/>
        </w:rPr>
        <w:t>, the indexes) as the basis of the funds or other investment products the customers create over the term of the agreement. The fees earned for these rights are typically variable, in which case they are accrued under the sales and usage-based royalty exception pursuant to the level of performance achieved, which is measured based on AUM, volume of trades or other variable factors. The level of performance achieved is based on information obtained from independent third-party sources or best estimates taking into account the most recently reported information from the client.</w:t>
      </w:r>
    </w:p>
    <w:p>
      <w:pPr>
        <w:spacing w:after="0" w:line="169" w:lineRule="exact"/>
        <w:rPr>
          <w:sz w:val="20"/>
          <w:szCs w:val="20"/>
          <w:color w:val="auto"/>
        </w:rPr>
      </w:pPr>
    </w:p>
    <w:p>
      <w:pPr>
        <w:ind w:right="80" w:firstLine="589"/>
        <w:spacing w:after="0" w:line="299" w:lineRule="auto"/>
        <w:rPr>
          <w:sz w:val="20"/>
          <w:szCs w:val="20"/>
          <w:color w:val="auto"/>
        </w:rPr>
      </w:pPr>
      <w:r>
        <w:rPr>
          <w:rFonts w:ascii="Arial" w:cs="Arial" w:eastAsia="Arial" w:hAnsi="Arial"/>
          <w:sz w:val="16"/>
          <w:szCs w:val="16"/>
          <w:color w:val="auto"/>
        </w:rPr>
        <w:t>Analytics segment operating revenues are recognized as MSCI satisfies performance obligations through providing access to its proprietary models or hosted applications and, in some cases, delivery of managed services, which are typically satisfied over time, and accordingly, operating revenues are recognized ratably over the term of the service period. For implementation services, MSCI meets its performance obligation once the implementation is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73" w:name="page74"/>
    <w:bookmarkEnd w:id="73"/>
    <w:p>
      <w:pPr>
        <w:ind w:right="300"/>
        <w:spacing w:after="0" w:line="261" w:lineRule="auto"/>
        <w:rPr>
          <w:sz w:val="20"/>
          <w:szCs w:val="20"/>
          <w:color w:val="auto"/>
        </w:rPr>
      </w:pPr>
      <w:r>
        <w:rPr>
          <w:rFonts w:ascii="Arial" w:cs="Arial" w:eastAsia="Arial" w:hAnsi="Arial"/>
          <w:sz w:val="18"/>
          <w:szCs w:val="18"/>
          <w:color w:val="auto"/>
        </w:rPr>
        <w:t>complete and the related service is available for the client to use. Operating revenues are recognized at the point in time when the implementation service is completed.</w:t>
      </w:r>
    </w:p>
    <w:p>
      <w:pPr>
        <w:spacing w:after="0" w:line="181" w:lineRule="exact"/>
        <w:rPr>
          <w:sz w:val="20"/>
          <w:szCs w:val="20"/>
          <w:color w:val="auto"/>
        </w:rPr>
      </w:pPr>
    </w:p>
    <w:p>
      <w:pPr>
        <w:jc w:val="both"/>
        <w:ind w:right="460" w:firstLine="589"/>
        <w:spacing w:after="0" w:line="249" w:lineRule="auto"/>
        <w:rPr>
          <w:sz w:val="20"/>
          <w:szCs w:val="20"/>
          <w:color w:val="auto"/>
        </w:rPr>
      </w:pPr>
      <w:r>
        <w:rPr>
          <w:rFonts w:ascii="Arial" w:cs="Arial" w:eastAsia="Arial" w:hAnsi="Arial"/>
          <w:sz w:val="18"/>
          <w:szCs w:val="18"/>
          <w:color w:val="auto"/>
        </w:rPr>
        <w:t>ESG and Climate segment operating revenues are recognized as MSCI’s performance obligations to provide data to or update data for clients are satisfied. The majority of these performance obligations are satisfied over the term of the license period, with operating revenues recognized ratably. For custom ESG research data, the performance obligation is typically satisfied, and revenue is recognized, at the point in time when the data is updated and available to the client.</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All Other – Private Assets segment operating revenues are recognized based on performance obligations satisfied over time and at a point in</w:t>
      </w:r>
    </w:p>
    <w:p>
      <w:pPr>
        <w:spacing w:after="0" w:line="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time. Operating revenues for many Real Estate products including Market Information products and publications, subscriptions to Enterprise Analytics, Global Intel, and Income Analytics, Climate Value-at-Risk solutions and licenses to transaction and market insights data, are recognized over time as publications, analysis, insights and data are updated and made available to clients throughout the year. Operating revenues for select Real Estate products, including benchmark reports, are recognized at the point in time when the Company satisfies the performance obligation through delivery to the client.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8" w:lineRule="exact"/>
        <w:rPr>
          <w:sz w:val="20"/>
          <w:szCs w:val="20"/>
          <w:color w:val="auto"/>
        </w:rPr>
      </w:pPr>
    </w:p>
    <w:p>
      <w:pPr>
        <w:ind w:right="160" w:firstLine="589"/>
        <w:spacing w:after="0" w:line="249" w:lineRule="auto"/>
        <w:rPr>
          <w:sz w:val="20"/>
          <w:szCs w:val="20"/>
          <w:color w:val="auto"/>
        </w:rPr>
      </w:pPr>
      <w:r>
        <w:rPr>
          <w:rFonts w:ascii="Arial" w:cs="Arial" w:eastAsia="Arial" w:hAnsi="Arial"/>
          <w:sz w:val="18"/>
          <w:szCs w:val="18"/>
          <w:color w:val="auto"/>
        </w:rPr>
        <w:t>Certain of the Company’s employees have received share-based compensation under various compensation programs. The Company’s compensation expense reflects the fair value method of accounting for share-based payments under ASC Subtopic 718-10,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ASC Subtopic 718-10 requires measurement of compensation cost for equity-based awards at fair value and recognition of compensation cost over the service period, net of estimated forfeitures per the Company’s policy.</w:t>
      </w:r>
    </w:p>
    <w:p>
      <w:pPr>
        <w:spacing w:after="0" w:line="192" w:lineRule="exact"/>
        <w:rPr>
          <w:sz w:val="20"/>
          <w:szCs w:val="20"/>
          <w:color w:val="auto"/>
        </w:rPr>
      </w:pPr>
    </w:p>
    <w:p>
      <w:pPr>
        <w:ind w:right="40" w:firstLine="589"/>
        <w:spacing w:after="0" w:line="247" w:lineRule="auto"/>
        <w:rPr>
          <w:sz w:val="20"/>
          <w:szCs w:val="20"/>
          <w:color w:val="auto"/>
        </w:rPr>
      </w:pPr>
      <w:r>
        <w:rPr>
          <w:rFonts w:ascii="Arial" w:cs="Arial" w:eastAsia="Arial" w:hAnsi="Arial"/>
          <w:sz w:val="18"/>
          <w:szCs w:val="18"/>
          <w:color w:val="auto"/>
        </w:rPr>
        <w:t>The fair value of MSCI restricted stock units (“RSUs”) is measured using the price of MSCI’s common stock. Restricted stock units that are subject to the achievement of multi-year total shareholder return targets (“PSUs”) are performance awards with a market condition. The fair value of PSUs is determined using a Monte Carlo simulation model that creates a normal distribution of future stock prices, which is then used to value the awards based on their individual terms. From time to time, the Company awards restricted stock units subject to performance conditions that are not linked to a market condition but are based on performance measures that impact the amount of shares that each recipient will receive upon vesting. The fair value of such awards is measured using the price of MSCI’s common stock.</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8"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The Company accounts for research and development costs in accordance with several accounting pronouncements, including ASC Subtopic 730-10,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ASC Subtopic 730-10 requires that research and development costs generally be expensed as incurred. The majority of the Company’s research and development costs are incurred in developing, reviewing and enhancing the methodologies and data models offered within its product portfolio by monitoring investment trends and drivers globally, as well as analyzing product-specific needs in areas such as capitalization-weighted, factor and specialized indexes, and instrument valuation, risk modeling, portfolio construction, asset allocation and value-at-risk simulation.</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Internal Use Software</w:t>
      </w:r>
    </w:p>
    <w:p>
      <w:pPr>
        <w:spacing w:after="0" w:line="108" w:lineRule="exact"/>
        <w:rPr>
          <w:sz w:val="20"/>
          <w:szCs w:val="20"/>
          <w:color w:val="auto"/>
        </w:rPr>
      </w:pPr>
    </w:p>
    <w:p>
      <w:pPr>
        <w:ind w:firstLine="589"/>
        <w:spacing w:after="0" w:line="309" w:lineRule="auto"/>
        <w:rPr>
          <w:sz w:val="20"/>
          <w:szCs w:val="20"/>
          <w:color w:val="auto"/>
        </w:rPr>
      </w:pPr>
      <w:r>
        <w:rPr>
          <w:rFonts w:ascii="Arial" w:cs="Arial" w:eastAsia="Arial" w:hAnsi="Arial"/>
          <w:sz w:val="15"/>
          <w:szCs w:val="15"/>
          <w:color w:val="auto"/>
        </w:rPr>
        <w:t>The Company applies the provisions of ASC Subtopic 350-40, “</w:t>
      </w:r>
      <w:r>
        <w:rPr>
          <w:rFonts w:ascii="Arial" w:cs="Arial" w:eastAsia="Arial" w:hAnsi="Arial"/>
          <w:sz w:val="15"/>
          <w:szCs w:val="15"/>
          <w:i w:val="1"/>
          <w:iCs w:val="1"/>
          <w:color w:val="auto"/>
        </w:rPr>
        <w:t>Internal Use Software</w:t>
      </w:r>
      <w:r>
        <w:rPr>
          <w:rFonts w:ascii="Arial" w:cs="Arial" w:eastAsia="Arial" w:hAnsi="Arial"/>
          <w:sz w:val="15"/>
          <w:szCs w:val="15"/>
          <w:color w:val="auto"/>
        </w:rPr>
        <w:t>,” and accounts for the cost of computer software developed for internal use by capitalizing qualifying costs, which are substantially incurred during the application development stage. The amounts capitalized are included in Intangible Assets on the Consolidated Statement of Financial Condition and include external direct costs of services used in developing internal-use software and payroll and payroll-related costs of employees directly associated with the development activities. Additionally, costs incurred relating to upgrades and enhancements to the software are capitalized if it is determined that these upgrades or enhancements provide additional functionality to the software.</w:t>
      </w:r>
    </w:p>
    <w:p>
      <w:pPr>
        <w:spacing w:after="0" w:line="151" w:lineRule="exact"/>
        <w:rPr>
          <w:sz w:val="20"/>
          <w:szCs w:val="20"/>
          <w:color w:val="auto"/>
        </w:rPr>
      </w:pPr>
    </w:p>
    <w:p>
      <w:pPr>
        <w:ind w:right="240" w:firstLine="589"/>
        <w:spacing w:after="0" w:line="261" w:lineRule="auto"/>
        <w:rPr>
          <w:sz w:val="20"/>
          <w:szCs w:val="20"/>
          <w:color w:val="auto"/>
        </w:rPr>
      </w:pPr>
      <w:r>
        <w:rPr>
          <w:rFonts w:ascii="Arial" w:cs="Arial" w:eastAsia="Arial" w:hAnsi="Arial"/>
          <w:sz w:val="18"/>
          <w:szCs w:val="18"/>
          <w:color w:val="auto"/>
        </w:rPr>
        <w:t>Capitalized software development costs are typically amortized on a straight-line basis over the estimated useful life of the related product, which is typically three to five years, beginning with the date the software is placed into service.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74" w:name="page75"/>
    <w:bookmarkEnd w:id="74"/>
    <w:p>
      <w:pPr>
        <w:ind w:left="600"/>
        <w:spacing w:after="0"/>
        <w:rPr>
          <w:sz w:val="20"/>
          <w:szCs w:val="20"/>
          <w:color w:val="auto"/>
        </w:rPr>
      </w:pPr>
      <w:r>
        <w:rPr>
          <w:rFonts w:ascii="Arial" w:cs="Arial" w:eastAsia="Arial" w:hAnsi="Arial"/>
          <w:sz w:val="18"/>
          <w:szCs w:val="18"/>
          <w:color w:val="auto"/>
        </w:rPr>
        <w:t>Costs incurred in the preliminary and post-implementation stages of MSCI’s products are expensed as incurred.</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08"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Provision for income taxes is provided for using the asset and liability method, under which deferred tax assets and deferred tax liabilities are determined based on the temporary differences between the financial statement and income tax bases of assets and liabilities using currently enacted tax rates. The Company elects to account for Global Intangible Low-Taxed Income (“GILTI”) in the year the tax is incurred. The Company recognizes interest and penalties related to income tax matters within “Provision for income taxes” in the Consolidated Statement of Income.</w:t>
      </w:r>
    </w:p>
    <w:p>
      <w:pPr>
        <w:spacing w:after="0" w:line="162"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The Company regularly evaluates the likelihood of additional assessments in each of the taxing jurisdictions in which it is required to file income tax returns. The Company has recorded additional tax expense related to open tax years, which the Company’s management believes is adequate in relation to the potential for assessments. These amounts have been recorded in “Other non-current liabilities” on the Consolidated Statement of Financial Condition. The Company’s management believes the resolution of tax matters will not have a material effect on the Company’s consolidated financial condition. However, to the extent the Company is required to pay amounts in excess of its reserves, a resolution could have a material impact on its Consolidated Statement of Income for a particular future period. In addition, an unfavorable tax settlement could require use of cash and result in an increase in the effective tax rate in the period in which such resolution occurs.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08" w:lineRule="exact"/>
        <w:rPr>
          <w:sz w:val="20"/>
          <w:szCs w:val="20"/>
          <w:color w:val="auto"/>
        </w:rPr>
      </w:pPr>
    </w:p>
    <w:p>
      <w:pPr>
        <w:ind w:right="480" w:firstLine="589"/>
        <w:spacing w:after="0" w:line="252" w:lineRule="auto"/>
        <w:rPr>
          <w:sz w:val="20"/>
          <w:szCs w:val="20"/>
          <w:color w:val="auto"/>
        </w:rPr>
      </w:pPr>
      <w:r>
        <w:rPr>
          <w:rFonts w:ascii="Arial" w:cs="Arial" w:eastAsia="Arial" w:hAnsi="Arial"/>
          <w:sz w:val="18"/>
          <w:szCs w:val="18"/>
          <w:color w:val="auto"/>
        </w:rPr>
        <w:t>Deferred revenues represent both cash received and the amounts billed to clients for products and services in advance of satisfying performance obligations. Deferred revenue generally results in ratable recognition of operating revenues over the license or subscription period, as the performance obligations are satisfied.</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08" w:lineRule="exact"/>
        <w:rPr>
          <w:sz w:val="20"/>
          <w:szCs w:val="20"/>
          <w:color w:val="auto"/>
        </w:rPr>
      </w:pPr>
    </w:p>
    <w:p>
      <w:pPr>
        <w:jc w:val="both"/>
        <w:ind w:right="220" w:firstLine="589"/>
        <w:spacing w:after="0" w:line="299" w:lineRule="auto"/>
        <w:rPr>
          <w:sz w:val="20"/>
          <w:szCs w:val="20"/>
          <w:color w:val="auto"/>
        </w:rPr>
      </w:pPr>
      <w:r>
        <w:rPr>
          <w:rFonts w:ascii="Arial" w:cs="Arial" w:eastAsia="Arial" w:hAnsi="Arial"/>
          <w:sz w:val="16"/>
          <w:szCs w:val="16"/>
          <w:color w:val="auto"/>
        </w:rPr>
        <w:t>The Company’s clients generally pay subscription fees annually or quarterly in advance. MSCI’s policy is to record to a receivable when a client is billed. For products and services that are provided in advance of billing, such as for our asset-based fee products, unbilled revenue (or a “contract asset”) is included in Accounts Receivable on the Company’s Consolidated Statement of Financial Condition.</w:t>
      </w:r>
    </w:p>
    <w:p>
      <w:pPr>
        <w:spacing w:after="0" w:line="154" w:lineRule="exact"/>
        <w:rPr>
          <w:sz w:val="20"/>
          <w:szCs w:val="20"/>
          <w:color w:val="auto"/>
        </w:rPr>
      </w:pPr>
    </w:p>
    <w:p>
      <w:pPr>
        <w:ind w:right="260" w:firstLine="589"/>
        <w:spacing w:after="0" w:line="324" w:lineRule="auto"/>
        <w:rPr>
          <w:sz w:val="20"/>
          <w:szCs w:val="20"/>
          <w:color w:val="auto"/>
        </w:rPr>
      </w:pPr>
      <w:r>
        <w:rPr>
          <w:rFonts w:ascii="Arial" w:cs="Arial" w:eastAsia="Arial" w:hAnsi="Arial"/>
          <w:sz w:val="16"/>
          <w:szCs w:val="16"/>
          <w:color w:val="auto"/>
        </w:rPr>
        <w:t>The Company recognizes an allowance for doubtful accounts at the time invoices are sent to clients by applying an estimate of the uncollectable amount based on client profiles, credit considerations and historical write-offs. The Company does not require collateral from clients to mitigate credit risk.</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allowance for doubtful accounts from December 31, 2018 to December 31, 2021 were as follows:</w:t>
      </w:r>
    </w:p>
    <w:p>
      <w:pPr>
        <w:spacing w:after="0" w:line="72"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3810</wp:posOffset>
            </wp:positionV>
            <wp:extent cx="968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9"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3810</wp:posOffset>
            </wp:positionV>
            <wp:extent cx="5708650" cy="141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8650" cy="141605"/>
                    </a:xfrm>
                    <a:prstGeom prst="rect">
                      <a:avLst/>
                    </a:prstGeom>
                    <a:noFill/>
                  </pic:spPr>
                </pic:pic>
              </a:graphicData>
            </a:graphic>
          </wp:anchor>
        </w:drawing>
      </w:r>
    </w:p>
    <w:p>
      <w:pPr>
        <w:sectPr>
          <w:pgSz w:w="11900" w:h="16838" w:orient="portrait"/>
          <w:cols w:equalWidth="0" w:num="1">
            <w:col w:w="11160"/>
          </w:cols>
          <w:pgMar w:left="320" w:top="548" w:right="419" w:bottom="1440" w:gutter="0" w:footer="0" w:header="0"/>
        </w:sectPr>
      </w:pP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Balance as of December 31, 2018</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Addition (reduction) to credit loss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10160</wp:posOffset>
            </wp:positionV>
            <wp:extent cx="5708650" cy="141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8650" cy="14160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Write-offs, net of recoveries</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10160</wp:posOffset>
            </wp:positionV>
            <wp:extent cx="5708650" cy="141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8650" cy="14160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Addition (reduction) to credit loss expense</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Adjustments and 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10160</wp:posOffset>
            </wp:positionV>
            <wp:extent cx="5708650" cy="150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8650" cy="150495"/>
                    </a:xfrm>
                    <a:prstGeom prst="rect">
                      <a:avLst/>
                    </a:prstGeom>
                    <a:noFill/>
                  </pic:spPr>
                </pic:pic>
              </a:graphicData>
            </a:graphic>
          </wp:anchor>
        </w:drawing>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Balance as of December 31, 2020</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Addition (reduction) to credit loss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10160</wp:posOffset>
            </wp:positionV>
            <wp:extent cx="5708650" cy="141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8650" cy="14160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Adjustments and write-offs, net of recoveries</w:t>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Balance as of December 31, 2021</w:t>
      </w:r>
    </w:p>
    <w:p>
      <w:pPr>
        <w:spacing w:after="0" w:line="253" w:lineRule="exact"/>
        <w:rPr>
          <w:sz w:val="20"/>
          <w:szCs w:val="20"/>
          <w:color w:val="auto"/>
        </w:rPr>
      </w:pPr>
    </w:p>
    <w:p>
      <w:pPr>
        <w:jc w:val="right"/>
        <w:ind w:right="2076"/>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124" w:hanging="1124"/>
        <w:spacing w:after="0"/>
        <w:tabs>
          <w:tab w:leader="none" w:pos="11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1,027</w:t>
      </w:r>
    </w:p>
    <w:p>
      <w:pPr>
        <w:spacing w:after="0" w:line="2"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color w:val="auto"/>
        </w:rPr>
        <w:t>1,024</w:t>
      </w:r>
    </w:p>
    <w:p>
      <w:pPr>
        <w:spacing w:after="0" w:line="16" w:lineRule="exact"/>
        <w:rPr>
          <w:rFonts w:ascii="Arial" w:cs="Arial" w:eastAsia="Arial" w:hAnsi="Arial"/>
          <w:sz w:val="18"/>
          <w:szCs w:val="18"/>
          <w:color w:val="auto"/>
        </w:rPr>
      </w:pPr>
    </w:p>
    <w:p>
      <w:pPr>
        <w:ind w:left="1184"/>
        <w:spacing w:after="0"/>
        <w:rPr>
          <w:rFonts w:ascii="Arial" w:cs="Arial" w:eastAsia="Arial" w:hAnsi="Arial"/>
          <w:sz w:val="18"/>
          <w:szCs w:val="18"/>
          <w:color w:val="auto"/>
        </w:rPr>
      </w:pPr>
      <w:r>
        <w:rPr>
          <w:rFonts w:ascii="Arial" w:cs="Arial" w:eastAsia="Arial" w:hAnsi="Arial"/>
          <w:sz w:val="16"/>
          <w:szCs w:val="16"/>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9683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3" w:lineRule="exact"/>
        <w:rPr>
          <w:sz w:val="20"/>
          <w:szCs w:val="20"/>
          <w:color w:val="auto"/>
        </w:rPr>
      </w:pPr>
    </w:p>
    <w:p>
      <w:pPr>
        <w:ind w:left="1124" w:hanging="1124"/>
        <w:spacing w:after="0"/>
        <w:tabs>
          <w:tab w:leader="none" w:pos="11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1,715</w:t>
      </w:r>
    </w:p>
    <w:p>
      <w:pPr>
        <w:spacing w:after="0" w:line="16"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color w:val="auto"/>
        </w:rPr>
        <w:t>1,712</w:t>
      </w:r>
    </w:p>
    <w:p>
      <w:pPr>
        <w:spacing w:after="0" w:line="16"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(1,844)</w:t>
      </w:r>
    </w:p>
    <w:p>
      <w:pPr>
        <w:spacing w:after="0" w:line="30" w:lineRule="exact"/>
        <w:rPr>
          <w:sz w:val="20"/>
          <w:szCs w:val="20"/>
          <w:color w:val="auto"/>
        </w:rPr>
      </w:pPr>
    </w:p>
    <w:p>
      <w:pPr>
        <w:ind w:left="1124" w:hanging="1124"/>
        <w:spacing w:after="0"/>
        <w:tabs>
          <w:tab w:leader="none" w:pos="11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1,583</w:t>
      </w:r>
    </w:p>
    <w:p>
      <w:pPr>
        <w:spacing w:after="0" w:line="16"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color w:val="auto"/>
        </w:rPr>
        <w:t>1,210</w:t>
      </w:r>
    </w:p>
    <w:p>
      <w:pPr>
        <w:spacing w:after="0" w:line="16" w:lineRule="exact"/>
        <w:rPr>
          <w:rFonts w:ascii="Arial" w:cs="Arial" w:eastAsia="Arial" w:hAnsi="Arial"/>
          <w:sz w:val="18"/>
          <w:szCs w:val="18"/>
          <w:color w:val="auto"/>
        </w:rPr>
      </w:pPr>
    </w:p>
    <w:p>
      <w:pPr>
        <w:ind w:left="1184"/>
        <w:spacing w:after="0"/>
        <w:rPr>
          <w:rFonts w:ascii="Arial" w:cs="Arial" w:eastAsia="Arial" w:hAnsi="Arial"/>
          <w:sz w:val="18"/>
          <w:szCs w:val="18"/>
          <w:color w:val="auto"/>
        </w:rPr>
      </w:pPr>
      <w:r>
        <w:rPr>
          <w:rFonts w:ascii="Arial" w:cs="Arial" w:eastAsia="Arial" w:hAnsi="Arial"/>
          <w:sz w:val="16"/>
          <w:szCs w:val="16"/>
          <w:color w:val="auto"/>
        </w:rPr>
        <w:t>(456)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9683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3" w:lineRule="exact"/>
        <w:rPr>
          <w:sz w:val="20"/>
          <w:szCs w:val="20"/>
          <w:color w:val="auto"/>
        </w:rPr>
      </w:pPr>
    </w:p>
    <w:p>
      <w:pPr>
        <w:ind w:left="1124" w:hanging="1124"/>
        <w:spacing w:after="0"/>
        <w:tabs>
          <w:tab w:leader="none" w:pos="11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9683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9683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ectPr>
          <w:pgSz w:w="11900" w:h="16838" w:orient="portrait"/>
          <w:cols w:equalWidth="0" w:num="2">
            <w:col w:w="7796" w:space="720"/>
            <w:col w:w="2644"/>
          </w:cols>
          <w:pgMar w:left="320" w:top="548" w:right="419" w:bottom="1440" w:gutter="0" w:footer="0" w:header="0"/>
          <w:type w:val="continuous"/>
        </w:sectPr>
      </w:pPr>
    </w:p>
    <w:bookmarkStart w:id="75" w:name="page76"/>
    <w:bookmarkEnd w:id="75"/>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08" w:lineRule="exact"/>
        <w:rPr>
          <w:sz w:val="20"/>
          <w:szCs w:val="20"/>
          <w:color w:val="auto"/>
        </w:rPr>
      </w:pPr>
    </w:p>
    <w:p>
      <w:pPr>
        <w:ind w:right="60" w:firstLine="589"/>
        <w:spacing w:after="0" w:line="299" w:lineRule="auto"/>
        <w:rPr>
          <w:sz w:val="20"/>
          <w:szCs w:val="20"/>
          <w:color w:val="auto"/>
        </w:rPr>
      </w:pPr>
      <w:r>
        <w:rPr>
          <w:rFonts w:ascii="Arial" w:cs="Arial" w:eastAsia="Arial" w:hAnsi="Arial"/>
          <w:sz w:val="16"/>
          <w:szCs w:val="16"/>
          <w:color w:val="auto"/>
        </w:rPr>
        <w:t>Goodwill is recorded as part of the Company’s acquisitions of businesses when the purchase price exceeds the fair value of the net tangible and separately identifiable intangible assets acquired. The Company’s goodwill is not amortized, but rather is subject to an impairment test each year, or more often if conditions indicate impairment may have occurred, pursuant to ASC Subtopic 350-10,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w:t>
      </w:r>
    </w:p>
    <w:p>
      <w:pPr>
        <w:spacing w:after="0" w:line="153"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The Company tests goodwill for impairment on an annual basis on July 1</w:t>
      </w:r>
      <w:r>
        <w:rPr>
          <w:rFonts w:ascii="Arial" w:cs="Arial" w:eastAsia="Arial" w:hAnsi="Arial"/>
          <w:sz w:val="13"/>
          <w:szCs w:val="13"/>
          <w:color w:val="auto"/>
        </w:rPr>
        <w:t>st</w:t>
      </w:r>
      <w:r>
        <w:rPr>
          <w:rFonts w:ascii="Arial" w:cs="Arial" w:eastAsia="Arial" w:hAnsi="Arial"/>
          <w:sz w:val="16"/>
          <w:szCs w:val="16"/>
          <w:color w:val="auto"/>
        </w:rPr>
        <w:t xml:space="preserve"> and on an interim basis when certain events and circumstances exist. The test for impairment is performed at the reporting unit level. Goodwill impairment is determined by comparing the fair value of a reporting unit with its carrying value. If the estimated fair value exceeds the carrying value, goodwill at the reporting unit level is not deemed to be impaired. If the estimated fair value is below carrying value, an impairment charge will be recorded up to, but not more than, the total amount of goodwill allocated to the reporting unit.</w:t>
      </w:r>
    </w:p>
    <w:p>
      <w:pPr>
        <w:spacing w:after="0" w:line="160" w:lineRule="exact"/>
        <w:rPr>
          <w:sz w:val="20"/>
          <w:szCs w:val="20"/>
          <w:color w:val="auto"/>
        </w:rPr>
      </w:pPr>
    </w:p>
    <w:p>
      <w:pPr>
        <w:ind w:right="300" w:firstLine="589"/>
        <w:spacing w:after="0" w:line="252" w:lineRule="auto"/>
        <w:rPr>
          <w:sz w:val="20"/>
          <w:szCs w:val="20"/>
          <w:color w:val="auto"/>
        </w:rPr>
      </w:pPr>
      <w:r>
        <w:rPr>
          <w:rFonts w:ascii="Arial" w:cs="Arial" w:eastAsia="Arial" w:hAnsi="Arial"/>
          <w:sz w:val="18"/>
          <w:szCs w:val="18"/>
          <w:color w:val="auto"/>
        </w:rPr>
        <w:t>The Company completed its annual goodwill impairment test as of July 1, 2021 on its Index, Analytics, ESG and Climate and Real Estate reporting units, and no impairments were noted. The Company performed a quantitative test for impairment and determined that the estimated fair value of the Company’s reporting units substantially exceeded their respective carrying values.</w:t>
      </w:r>
    </w:p>
    <w:p>
      <w:pPr>
        <w:spacing w:after="0" w:line="189" w:lineRule="exact"/>
        <w:rPr>
          <w:sz w:val="20"/>
          <w:szCs w:val="20"/>
          <w:color w:val="auto"/>
        </w:rPr>
      </w:pPr>
    </w:p>
    <w:p>
      <w:pPr>
        <w:ind w:right="360" w:firstLine="589"/>
        <w:spacing w:after="0" w:line="261" w:lineRule="auto"/>
        <w:rPr>
          <w:sz w:val="20"/>
          <w:szCs w:val="20"/>
          <w:color w:val="auto"/>
        </w:rPr>
      </w:pPr>
      <w:r>
        <w:rPr>
          <w:rFonts w:ascii="Arial" w:cs="Arial" w:eastAsia="Arial" w:hAnsi="Arial"/>
          <w:sz w:val="18"/>
          <w:szCs w:val="18"/>
          <w:color w:val="auto"/>
        </w:rPr>
        <w:t>Based on the results of the annual goodwill impairment testing performed and given there were no impairment triggers identified as part of interim assessments, no impairment of goodwill was recorded during the years ended December 31, 2021, 2020 and 2019.</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8" w:lineRule="exact"/>
        <w:rPr>
          <w:sz w:val="20"/>
          <w:szCs w:val="20"/>
          <w:color w:val="auto"/>
        </w:rPr>
      </w:pPr>
    </w:p>
    <w:p>
      <w:pPr>
        <w:ind w:firstLine="589"/>
        <w:spacing w:after="0" w:line="247" w:lineRule="auto"/>
        <w:rPr>
          <w:sz w:val="20"/>
          <w:szCs w:val="20"/>
          <w:color w:val="auto"/>
        </w:rPr>
      </w:pPr>
      <w:r>
        <w:rPr>
          <w:rFonts w:ascii="Arial" w:cs="Arial" w:eastAsia="Arial" w:hAnsi="Arial"/>
          <w:sz w:val="18"/>
          <w:szCs w:val="18"/>
          <w:color w:val="auto"/>
        </w:rPr>
        <w:t>The Company amortizes definite-lived intangible assets over their estimated useful lives. Definite-lived intangible assets are reviewed for impairment whenever events or changes in circumstances indicate that the carrying value of the asset may not be recoverable. The Company also reviews the useful lives on a quarterly basis to determine if the period of economic benefit has changed. If the carrying value of an intangible asset exceeds its fair value, an impairment charge would be recognized in an amount equal to the amount by which the carrying value of the intangible asset exceeds its fair value. There were no events or changes in circumstances that would indicate that the carrying value of the definite-lived intangible assets may not be recoverable during the years ended December 31, 2021 and 2020.</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had no indefinite-lived intangible assets.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08" w:lineRule="exact"/>
        <w:rPr>
          <w:sz w:val="20"/>
          <w:szCs w:val="20"/>
          <w:color w:val="auto"/>
        </w:rPr>
      </w:pPr>
    </w:p>
    <w:p>
      <w:pPr>
        <w:ind w:right="120" w:firstLine="589"/>
        <w:spacing w:after="0" w:line="248" w:lineRule="auto"/>
        <w:rPr>
          <w:sz w:val="20"/>
          <w:szCs w:val="20"/>
          <w:color w:val="auto"/>
        </w:rPr>
      </w:pPr>
      <w:r>
        <w:rPr>
          <w:rFonts w:ascii="Arial" w:cs="Arial" w:eastAsia="Arial" w:hAnsi="Arial"/>
          <w:sz w:val="18"/>
          <w:szCs w:val="18"/>
          <w:color w:val="auto"/>
        </w:rPr>
        <w:t>Assets and liabilities of operations having non-U.S. dollar functional currencies are translated at year-end exchange rates, and income statement accounts are translated at weighted average exchange rates for the year. Gains or losses resulting from translating foreign currency financial statements, net of any related tax effects, are reflected in accumulated other comprehensive loss, a separate component of shareholders’ equity (deficit). Gains or losses resulting from foreign currency transactions incurred in currencies other than the local functional currency are included in non-operating “Other expense (income)” on the Consolidated Statement of Income.</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ind w:right="200" w:firstLine="535"/>
        <w:spacing w:after="0" w:line="261" w:lineRule="auto"/>
        <w:rPr>
          <w:sz w:val="20"/>
          <w:szCs w:val="20"/>
          <w:color w:val="auto"/>
        </w:rPr>
      </w:pPr>
      <w:r>
        <w:rPr>
          <w:rFonts w:ascii="Arial" w:cs="Arial" w:eastAsia="Arial" w:hAnsi="Arial"/>
          <w:sz w:val="18"/>
          <w:szCs w:val="18"/>
          <w:color w:val="auto"/>
        </w:rPr>
        <w:t>MSCI leases office space, data centers and certain equipment under non-cancellable operating lease agreements and determines if an arrangement is a lease at inception. The Company does not currently have any financing lease arrangements.</w:t>
      </w:r>
    </w:p>
    <w:p>
      <w:pPr>
        <w:spacing w:after="0" w:line="181"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Right of use assets represent the Company’s right to use an underlying asset for the lease term and lease liabilities represent the Company’s obligation to make lease payments arising from the lease. Right of use assets are recognized on the commencement date based on the present value of lease payments over the lease term adjusted for initial direct costs and lease incentives received or deemed probable of being received. MSCI uses its incremental borrowing rate based on the information available on the commencement date in determining the present value of lease payments. The lease terms include options to extend or terminate the lease when it is reasonably certain that the Company will exercise that option.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76" w:name="page77"/>
    <w:bookmarkEnd w:id="76"/>
    <w:p>
      <w:pPr>
        <w:ind w:right="160" w:firstLine="589"/>
        <w:spacing w:after="0" w:line="249" w:lineRule="auto"/>
        <w:rPr>
          <w:sz w:val="20"/>
          <w:szCs w:val="20"/>
          <w:color w:val="auto"/>
        </w:rPr>
      </w:pPr>
      <w:r>
        <w:rPr>
          <w:rFonts w:ascii="Arial" w:cs="Arial" w:eastAsia="Arial" w:hAnsi="Arial"/>
          <w:sz w:val="18"/>
          <w:szCs w:val="18"/>
          <w:color w:val="auto"/>
        </w:rPr>
        <w:t>Right of use assets and associated leasehold improvements are tested for impairment when there is a trigger for impairment testing at the appropriate asset group level. When a trigger exists, the asset group is tested for recoverability by comparing the estimated undiscounted cash flows to the asset group’s carrying value. If the asset group fails the recoverability test, the Company will measure impairment loss as the difference between the fair value and carrying value of the asset group.</w:t>
      </w:r>
    </w:p>
    <w:p>
      <w:pPr>
        <w:spacing w:after="0" w:line="192" w:lineRule="exact"/>
        <w:rPr>
          <w:sz w:val="20"/>
          <w:szCs w:val="20"/>
          <w:color w:val="auto"/>
        </w:rPr>
      </w:pPr>
    </w:p>
    <w:p>
      <w:pPr>
        <w:ind w:right="100" w:firstLine="589"/>
        <w:spacing w:after="0" w:line="299" w:lineRule="auto"/>
        <w:rPr>
          <w:sz w:val="20"/>
          <w:szCs w:val="20"/>
          <w:color w:val="auto"/>
        </w:rPr>
      </w:pPr>
      <w:r>
        <w:rPr>
          <w:rFonts w:ascii="Arial" w:cs="Arial" w:eastAsia="Arial" w:hAnsi="Arial"/>
          <w:sz w:val="16"/>
          <w:szCs w:val="16"/>
          <w:color w:val="auto"/>
        </w:rPr>
        <w:t>Lease expense is recognized on a straight-line basis over the lease term and is included in “Operating expenses” in the Consolidated Statement of Income. In situations where a right of use asset has been impaired, the subsequent amortization of the right of use asset is then recorded on a straight-line basis over the remaining lease term and is combined with accretion expense on the lease liability to result in single operating lease cost.</w:t>
      </w:r>
    </w:p>
    <w:p>
      <w:pPr>
        <w:spacing w:after="0" w:line="154" w:lineRule="exact"/>
        <w:rPr>
          <w:sz w:val="20"/>
          <w:szCs w:val="20"/>
          <w:color w:val="auto"/>
        </w:rPr>
      </w:pPr>
    </w:p>
    <w:p>
      <w:pPr>
        <w:ind w:right="40" w:firstLine="589"/>
        <w:spacing w:after="0" w:line="248" w:lineRule="auto"/>
        <w:rPr>
          <w:sz w:val="20"/>
          <w:szCs w:val="20"/>
          <w:color w:val="auto"/>
        </w:rPr>
      </w:pPr>
      <w:r>
        <w:rPr>
          <w:rFonts w:ascii="Arial" w:cs="Arial" w:eastAsia="Arial" w:hAnsi="Arial"/>
          <w:sz w:val="18"/>
          <w:szCs w:val="18"/>
          <w:color w:val="auto"/>
        </w:rPr>
        <w:t>Some of the Company’s lease agreements include rental payments adjusted periodically for inflation which are accounted for as variable lease amounts but are not reflected as a component of the Company’s lease liability. Certain leases also require the Company to pay real estate taxes, insurance, maintenance and other operating expenses associated with the leased premises or equipment which are also not reflected as a component of the Company’s lease liability. The Company also subleases a small portion of its leased office space to third parties and thereby applies sublessor accounting. Sublease income is presented in “Operating expenses” as an offset.</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Equipment and Leasehold Improvements</w:t>
      </w:r>
    </w:p>
    <w:p>
      <w:pPr>
        <w:spacing w:after="0" w:line="108" w:lineRule="exact"/>
        <w:rPr>
          <w:sz w:val="20"/>
          <w:szCs w:val="20"/>
          <w:color w:val="auto"/>
        </w:rPr>
      </w:pPr>
    </w:p>
    <w:p>
      <w:pPr>
        <w:ind w:right="200" w:firstLine="589"/>
        <w:spacing w:after="0" w:line="252" w:lineRule="auto"/>
        <w:rPr>
          <w:sz w:val="20"/>
          <w:szCs w:val="20"/>
          <w:color w:val="auto"/>
        </w:rPr>
      </w:pPr>
      <w:r>
        <w:rPr>
          <w:rFonts w:ascii="Arial" w:cs="Arial" w:eastAsia="Arial" w:hAnsi="Arial"/>
          <w:sz w:val="18"/>
          <w:szCs w:val="18"/>
          <w:color w:val="auto"/>
        </w:rPr>
        <w:t>Property, equipment and leasehold improvements are stated at cost less accumulated depreciation and amortization. Depreciation and amortization of furniture and fixtures, and computer and communications equipment are accounted for using the straight-line method over the estimated useful life, and for leasehold improvements, over the shorter of the estimated useful life or the lease term.</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Treasury Stock</w:t>
      </w:r>
    </w:p>
    <w:p>
      <w:pPr>
        <w:spacing w:after="0" w:line="108" w:lineRule="exact"/>
        <w:rPr>
          <w:sz w:val="20"/>
          <w:szCs w:val="20"/>
          <w:color w:val="auto"/>
        </w:rPr>
      </w:pPr>
    </w:p>
    <w:p>
      <w:pPr>
        <w:ind w:right="480" w:firstLine="589"/>
        <w:spacing w:after="0" w:line="261" w:lineRule="auto"/>
        <w:rPr>
          <w:sz w:val="20"/>
          <w:szCs w:val="20"/>
          <w:color w:val="auto"/>
        </w:rPr>
      </w:pPr>
      <w:r>
        <w:rPr>
          <w:rFonts w:ascii="Arial" w:cs="Arial" w:eastAsia="Arial" w:hAnsi="Arial"/>
          <w:sz w:val="18"/>
          <w:szCs w:val="18"/>
          <w:color w:val="auto"/>
        </w:rPr>
        <w:t>The Company holds repurchased shares of common stock as treasury stock. The Company accounts for treasury stock under the cost method and includes treasury stock as a component of shareholders’ equity (deficit).</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Accrued Compensation</w:t>
      </w:r>
    </w:p>
    <w:p>
      <w:pPr>
        <w:spacing w:after="0" w:line="108"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A significant portion of the Company’s employee incentive compensation programs are discretionary. The Company makes significant estimates in determining its accrued compensation and benefits expenses. Accrued cash incentive estimates reflect an assessment of performance versus targets and other key performance indicators at the Company, operating segment and employee level. The Company also reviews compensation and benefits expenses throughout the year to determine how overall performance compares to management’s expectations. These and other factors, including historical performance, are taken into account in accruing discretionary cash compensation estimates quarterly.</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08"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For the years ended December 31, 2021, 2020 and 2019, BlackRock, Inc. accounted for 12.7%, 11.0%, and 11.5% of the Company’s consolidated operating revenues, respectively. For the years ended December 31, 2021, 2020 and 2019, BlackRock, Inc. accounted for 20.4%, 18.0% and 18.9% of the Index segment’s operating revenues, respectively. No single customer accounted for 10.0% or more of operating revenues within the Analytics, ESG and Climate and All Other – Private Assets segments for the years ended December 31, 2021, 2020 and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 UPDATES</w:t>
      </w:r>
    </w:p>
    <w:p>
      <w:pPr>
        <w:spacing w:after="0" w:line="128" w:lineRule="exact"/>
        <w:rPr>
          <w:sz w:val="20"/>
          <w:szCs w:val="20"/>
          <w:color w:val="auto"/>
        </w:rPr>
      </w:pPr>
    </w:p>
    <w:p>
      <w:pPr>
        <w:ind w:firstLine="589"/>
        <w:spacing w:after="0" w:line="247" w:lineRule="auto"/>
        <w:rPr>
          <w:sz w:val="20"/>
          <w:szCs w:val="20"/>
          <w:color w:val="auto"/>
        </w:rPr>
      </w:pPr>
      <w:r>
        <w:rPr>
          <w:rFonts w:ascii="Arial" w:cs="Arial" w:eastAsia="Arial" w:hAnsi="Arial"/>
          <w:sz w:val="18"/>
          <w:szCs w:val="18"/>
          <w:color w:val="auto"/>
        </w:rPr>
        <w:t>In October 2021, the FASB issued Accounting Standards Update No. 2021-08, “Business Combinations (Topic 805): Accounting for Contract Assets and Contract Liabilities from Contracts with Customers,” or ASU 2021-08, which requires contract assets and contract liabilities acquired in a business combination to be recognized in accordance with ASC Topic 606. The Company early adopted ASU 2021-08 as of the issuance date and is therefore required to retrospectively apply the standard to business combinations which occurred this fiscal year. The Company’s adoption of the standard resulted in recognition of an additional $7.0 million in deferred revenue and a reduction in deferred tax liabilities of $1.8 million as of September 13, 2021, associated with the acquisition of Real Capital Analytics, Inc. (“RCA”).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3. REVENUE RECOGNITION</w:t>
      </w:r>
    </w:p>
    <w:p>
      <w:pPr>
        <w:spacing w:after="0" w:line="114" w:lineRule="exact"/>
        <w:rPr>
          <w:sz w:val="20"/>
          <w:szCs w:val="20"/>
          <w:color w:val="auto"/>
        </w:rPr>
      </w:pPr>
    </w:p>
    <w:p>
      <w:pPr>
        <w:ind w:right="160" w:firstLine="589"/>
        <w:spacing w:after="0" w:line="324" w:lineRule="auto"/>
        <w:rPr>
          <w:sz w:val="20"/>
          <w:szCs w:val="20"/>
          <w:color w:val="auto"/>
        </w:rPr>
      </w:pPr>
      <w:r>
        <w:rPr>
          <w:rFonts w:ascii="Arial" w:cs="Arial" w:eastAsia="Arial" w:hAnsi="Arial"/>
          <w:sz w:val="16"/>
          <w:szCs w:val="16"/>
          <w:color w:val="auto"/>
        </w:rPr>
        <w:t>MSCI’s operating revenues are reported by product type, which generally reflects the timing of recognition. The Company’s operating revenues types are recurring subscriptions, asset-based fees and non-recurring revenues. The Company also disaggregates operating revenues by segment.</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tables that follow present the disaggregated operating revenues for the periods indicated:</w:t>
      </w:r>
    </w:p>
    <w:p>
      <w:pPr>
        <w:sectPr>
          <w:pgSz w:w="11900" w:h="16838" w:orient="portrait"/>
          <w:cols w:equalWidth="0" w:num="1">
            <w:col w:w="11240"/>
          </w:cols>
          <w:pgMar w:left="320" w:top="6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Revenues Types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Recurring subscriptions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Asset-based fees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Non-recurring</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Revenues Types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Recurring subscriptions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Asset-based fees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Non-recurring</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Revenues Types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Recurring subscriptions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Asset-based fees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Non-recurring</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5319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31995"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11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Index</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Analytics</w:t>
            </w:r>
          </w:p>
        </w:tc>
        <w:tc>
          <w:tcPr>
            <w:tcW w:w="2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ESG and Climate</w:t>
            </w:r>
          </w:p>
        </w:tc>
        <w:tc>
          <w:tcPr>
            <w:tcW w:w="2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7"/>
              </w:rPr>
              <w:t>All Other -</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Private Assets</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650,629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533,178</w:t>
            </w:r>
          </w:p>
        </w:tc>
        <w:tc>
          <w:tcPr>
            <w:tcW w:w="260" w:type="dxa"/>
            <w:vAlign w:val="bottom"/>
          </w:tcPr>
          <w:p>
            <w:pPr>
              <w:spacing w:after="0"/>
              <w:rPr>
                <w:sz w:val="24"/>
                <w:szCs w:val="24"/>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162,609</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79,624</w:t>
            </w:r>
          </w:p>
        </w:tc>
        <w:tc>
          <w:tcPr>
            <w:tcW w:w="26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1,426,040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553,991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553,991</w:t>
            </w:r>
          </w:p>
        </w:tc>
        <w:tc>
          <w:tcPr>
            <w:tcW w:w="0" w:type="dxa"/>
            <w:vAlign w:val="bottom"/>
          </w:tcPr>
          <w:p>
            <w:pPr>
              <w:spacing w:after="0"/>
              <w:rPr>
                <w:sz w:val="1"/>
                <w:szCs w:val="1"/>
                <w:color w:val="auto"/>
              </w:rPr>
            </w:pPr>
          </w:p>
        </w:tc>
      </w:tr>
      <w:tr>
        <w:trPr>
          <w:trHeight w:val="224"/>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47,144</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63,513</w:t>
            </w:r>
          </w:p>
        </w:tc>
        <w:tc>
          <w:tcPr>
            <w:tcW w:w="0" w:type="dxa"/>
            <w:vAlign w:val="bottom"/>
          </w:tcPr>
          <w:p>
            <w:pPr>
              <w:spacing w:after="0"/>
              <w:rPr>
                <w:sz w:val="1"/>
                <w:szCs w:val="1"/>
                <w:color w:val="auto"/>
              </w:rPr>
            </w:pPr>
          </w:p>
        </w:tc>
      </w:tr>
      <w:tr>
        <w:trPr>
          <w:trHeight w:val="217"/>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1,251,764</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544,299</w:t>
            </w:r>
          </w:p>
        </w:tc>
        <w:tc>
          <w:tcPr>
            <w:tcW w:w="260" w:type="dxa"/>
            <w:vAlign w:val="bottom"/>
          </w:tcPr>
          <w:p>
            <w:pPr>
              <w:spacing w:after="0"/>
              <w:rPr>
                <w:sz w:val="18"/>
                <w:szCs w:val="18"/>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166,192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81,289</w:t>
            </w:r>
          </w:p>
        </w:tc>
        <w:tc>
          <w:tcPr>
            <w:tcW w:w="2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2,043,544</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 2020</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11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Index</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Analytics</w:t>
            </w:r>
          </w:p>
        </w:tc>
        <w:tc>
          <w:tcPr>
            <w:tcW w:w="2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ESG and Climate</w:t>
            </w:r>
          </w:p>
        </w:tc>
        <w:tc>
          <w:tcPr>
            <w:tcW w:w="2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7"/>
              </w:rPr>
              <w:t>All Other -</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Private Assets</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580,393</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506,301</w:t>
            </w:r>
          </w:p>
        </w:tc>
        <w:tc>
          <w:tcPr>
            <w:tcW w:w="260" w:type="dxa"/>
            <w:vAlign w:val="bottom"/>
          </w:tcPr>
          <w:p>
            <w:pPr>
              <w:spacing w:after="0"/>
              <w:rPr>
                <w:sz w:val="24"/>
                <w:szCs w:val="24"/>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109,945</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51,536</w:t>
            </w:r>
          </w:p>
        </w:tc>
        <w:tc>
          <w:tcPr>
            <w:tcW w:w="26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1,248,175</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399,771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399,771</w:t>
            </w:r>
          </w:p>
        </w:tc>
        <w:tc>
          <w:tcPr>
            <w:tcW w:w="0" w:type="dxa"/>
            <w:vAlign w:val="bottom"/>
          </w:tcPr>
          <w:p>
            <w:pPr>
              <w:spacing w:after="0"/>
              <w:rPr>
                <w:sz w:val="1"/>
                <w:szCs w:val="1"/>
                <w:color w:val="auto"/>
              </w:rPr>
            </w:pPr>
          </w:p>
        </w:tc>
      </w:tr>
      <w:tr>
        <w:trPr>
          <w:trHeight w:val="224"/>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47,444</w:t>
            </w:r>
          </w:p>
        </w:tc>
        <w:tc>
          <w:tcPr>
            <w:tcW w:w="0" w:type="dxa"/>
            <w:vAlign w:val="bottom"/>
          </w:tcPr>
          <w:p>
            <w:pPr>
              <w:spacing w:after="0"/>
              <w:rPr>
                <w:sz w:val="1"/>
                <w:szCs w:val="1"/>
                <w:color w:val="auto"/>
              </w:rPr>
            </w:pPr>
          </w:p>
        </w:tc>
      </w:tr>
      <w:tr>
        <w:trPr>
          <w:trHeight w:val="217"/>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1,016,495</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513,808</w:t>
            </w:r>
          </w:p>
        </w:tc>
        <w:tc>
          <w:tcPr>
            <w:tcW w:w="260" w:type="dxa"/>
            <w:vAlign w:val="bottom"/>
          </w:tcPr>
          <w:p>
            <w:pPr>
              <w:spacing w:after="0"/>
              <w:rPr>
                <w:sz w:val="18"/>
                <w:szCs w:val="18"/>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111,364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53,723</w:t>
            </w:r>
          </w:p>
        </w:tc>
        <w:tc>
          <w:tcPr>
            <w:tcW w:w="2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1,695,390</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 2019</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11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Index</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Analytics</w:t>
            </w:r>
          </w:p>
        </w:tc>
        <w:tc>
          <w:tcPr>
            <w:tcW w:w="2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ESG and Climate</w:t>
            </w:r>
          </w:p>
        </w:tc>
        <w:tc>
          <w:tcPr>
            <w:tcW w:w="2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7"/>
              </w:rPr>
              <w:t>All Other -</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Private Assets</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530,968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486,282</w:t>
            </w:r>
          </w:p>
        </w:tc>
        <w:tc>
          <w:tcPr>
            <w:tcW w:w="260" w:type="dxa"/>
            <w:vAlign w:val="bottom"/>
          </w:tcPr>
          <w:p>
            <w:pPr>
              <w:spacing w:after="0"/>
              <w:rPr>
                <w:sz w:val="24"/>
                <w:szCs w:val="24"/>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89,563</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47,227</w:t>
            </w:r>
          </w:p>
        </w:tc>
        <w:tc>
          <w:tcPr>
            <w:tcW w:w="26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1,154,040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361,927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361,927</w:t>
            </w:r>
          </w:p>
        </w:tc>
        <w:tc>
          <w:tcPr>
            <w:tcW w:w="0" w:type="dxa"/>
            <w:vAlign w:val="bottom"/>
          </w:tcPr>
          <w:p>
            <w:pPr>
              <w:spacing w:after="0"/>
              <w:rPr>
                <w:sz w:val="1"/>
                <w:szCs w:val="1"/>
                <w:color w:val="auto"/>
              </w:rPr>
            </w:pPr>
          </w:p>
        </w:tc>
      </w:tr>
      <w:tr>
        <w:trPr>
          <w:trHeight w:val="224"/>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41,829</w:t>
            </w:r>
          </w:p>
        </w:tc>
        <w:tc>
          <w:tcPr>
            <w:tcW w:w="0" w:type="dxa"/>
            <w:vAlign w:val="bottom"/>
          </w:tcPr>
          <w:p>
            <w:pPr>
              <w:spacing w:after="0"/>
              <w:rPr>
                <w:sz w:val="1"/>
                <w:szCs w:val="1"/>
                <w:color w:val="auto"/>
              </w:rPr>
            </w:pPr>
          </w:p>
        </w:tc>
      </w:tr>
      <w:tr>
        <w:trPr>
          <w:trHeight w:val="217"/>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920,937</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496,925</w:t>
            </w:r>
          </w:p>
        </w:tc>
        <w:tc>
          <w:tcPr>
            <w:tcW w:w="260" w:type="dxa"/>
            <w:vAlign w:val="bottom"/>
          </w:tcPr>
          <w:p>
            <w:pPr>
              <w:spacing w:after="0"/>
              <w:rPr>
                <w:sz w:val="18"/>
                <w:szCs w:val="18"/>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90,659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49,275</w:t>
            </w:r>
          </w:p>
        </w:tc>
        <w:tc>
          <w:tcPr>
            <w:tcW w:w="2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1,557,796</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-3154045</wp:posOffset>
            </wp:positionV>
            <wp:extent cx="7136130" cy="141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-2870200</wp:posOffset>
            </wp:positionV>
            <wp:extent cx="7136130" cy="158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15875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-3446145</wp:posOffset>
            </wp:positionV>
            <wp:extent cx="7136130" cy="150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15049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-1777365</wp:posOffset>
            </wp:positionV>
            <wp:extent cx="7136130" cy="141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-1493520</wp:posOffset>
            </wp:positionV>
            <wp:extent cx="7136130" cy="158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15875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-2069465</wp:posOffset>
            </wp:positionV>
            <wp:extent cx="7136130" cy="150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15049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-458470</wp:posOffset>
            </wp:positionV>
            <wp:extent cx="7136130" cy="141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-174625</wp:posOffset>
            </wp:positionV>
            <wp:extent cx="7136130" cy="158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15875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-750570</wp:posOffset>
            </wp:positionV>
            <wp:extent cx="7136130" cy="150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686" w:right="339" w:bottom="1440" w:gutter="0" w:footer="0" w:header="0"/>
          <w:type w:val="continuous"/>
        </w:sectPr>
      </w:pPr>
    </w:p>
    <w:p>
      <w:pPr>
        <w:spacing w:after="0" w:line="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that follows presents the change in accounts receivable and deferred revenue between the dates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Accounts receivable</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Opening (December 31, 2020)</w:t>
            </w:r>
          </w:p>
        </w:tc>
        <w:tc>
          <w:tcPr>
            <w:tcW w:w="4300" w:type="dxa"/>
            <w:vAlign w:val="bottom"/>
            <w:gridSpan w:val="2"/>
            <w:shd w:val="clear" w:color="auto" w:fill="CFF0FC"/>
          </w:tcPr>
          <w:p>
            <w:pPr>
              <w:jc w:val="right"/>
              <w:ind w:right="1604"/>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558,569</w:t>
            </w:r>
          </w:p>
        </w:tc>
        <w:tc>
          <w:tcPr>
            <w:tcW w:w="680" w:type="dxa"/>
            <w:vAlign w:val="bottom"/>
            <w:gridSpan w:val="2"/>
            <w:shd w:val="clear" w:color="auto" w:fill="CFF0FC"/>
          </w:tcPr>
          <w:p>
            <w:pPr>
              <w:jc w:val="right"/>
              <w:ind w:right="14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Closing (December 31, 2021)</w:t>
            </w:r>
          </w:p>
        </w:tc>
        <w:tc>
          <w:tcPr>
            <w:tcW w:w="2520" w:type="dxa"/>
            <w:vAlign w:val="bottom"/>
            <w:tcBorders>
              <w:bottom w:val="single" w:sz="8" w:color="CFF0FC"/>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664,511</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Increase/(decrease)</w:t>
            </w:r>
          </w:p>
        </w:tc>
        <w:tc>
          <w:tcPr>
            <w:tcW w:w="252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160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105,942</w:t>
            </w:r>
          </w:p>
        </w:tc>
        <w:tc>
          <w:tcPr>
            <w:tcW w:w="3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Accounts receivable</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Opening (December 31, 2019)</w:t>
            </w:r>
          </w:p>
        </w:tc>
        <w:tc>
          <w:tcPr>
            <w:tcW w:w="4300" w:type="dxa"/>
            <w:vAlign w:val="bottom"/>
            <w:gridSpan w:val="2"/>
            <w:shd w:val="clear" w:color="auto" w:fill="CFF0FC"/>
          </w:tcPr>
          <w:p>
            <w:pPr>
              <w:jc w:val="right"/>
              <w:ind w:right="1604"/>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499,268</w:t>
            </w:r>
          </w:p>
        </w:tc>
        <w:tc>
          <w:tcPr>
            <w:tcW w:w="680" w:type="dxa"/>
            <w:vAlign w:val="bottom"/>
            <w:gridSpan w:val="2"/>
            <w:shd w:val="clear" w:color="auto" w:fill="CFF0FC"/>
          </w:tcPr>
          <w:p>
            <w:pPr>
              <w:jc w:val="right"/>
              <w:ind w:right="14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Closing (December 31, 2020)</w:t>
            </w:r>
          </w:p>
        </w:tc>
        <w:tc>
          <w:tcPr>
            <w:tcW w:w="2520" w:type="dxa"/>
            <w:vAlign w:val="bottom"/>
            <w:tcBorders>
              <w:bottom w:val="single" w:sz="8" w:color="CFF0FC"/>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558,569</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Increase/(decrease)</w:t>
            </w:r>
          </w:p>
        </w:tc>
        <w:tc>
          <w:tcPr>
            <w:tcW w:w="4300" w:type="dxa"/>
            <w:vAlign w:val="bottom"/>
            <w:gridSpan w:val="2"/>
            <w:shd w:val="clear" w:color="auto" w:fill="CFF0FC"/>
          </w:tcPr>
          <w:p>
            <w:pPr>
              <w:jc w:val="right"/>
              <w:ind w:right="1604"/>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59,301</w:t>
            </w:r>
          </w:p>
        </w:tc>
        <w:tc>
          <w:tcPr>
            <w:tcW w:w="680" w:type="dxa"/>
            <w:vAlign w:val="bottom"/>
            <w:gridSpan w:val="2"/>
            <w:shd w:val="clear" w:color="auto" w:fill="CFF0FC"/>
          </w:tcPr>
          <w:p>
            <w:pPr>
              <w:jc w:val="right"/>
              <w:ind w:right="14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bottom w:val="single" w:sz="8" w:color="CFF0FC"/>
            </w:tcBorders>
            <w:vMerge w:val="restart"/>
          </w:tcPr>
          <w:p>
            <w:pPr>
              <w:jc w:val="right"/>
              <w:ind w:right="552"/>
              <w:spacing w:after="0"/>
              <w:rPr>
                <w:sz w:val="20"/>
                <w:szCs w:val="20"/>
                <w:color w:val="auto"/>
              </w:rPr>
            </w:pPr>
            <w:r>
              <w:rPr>
                <w:rFonts w:ascii="Arial" w:cs="Arial" w:eastAsia="Arial" w:hAnsi="Arial"/>
                <w:sz w:val="18"/>
                <w:szCs w:val="18"/>
                <w:color w:val="auto"/>
              </w:rPr>
              <w:t>75</w:t>
            </w:r>
          </w:p>
        </w:tc>
        <w:tc>
          <w:tcPr>
            <w:tcW w:w="1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38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4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78" w:name="page79"/>
    <w:bookmarkEnd w:id="78"/>
    <w:p>
      <w:pPr>
        <w:ind w:right="80" w:firstLine="589"/>
        <w:spacing w:after="0" w:line="286" w:lineRule="auto"/>
        <w:rPr>
          <w:sz w:val="20"/>
          <w:szCs w:val="20"/>
          <w:color w:val="auto"/>
        </w:rPr>
      </w:pPr>
      <w:r>
        <w:rPr>
          <w:rFonts w:ascii="Arial" w:cs="Arial" w:eastAsia="Arial" w:hAnsi="Arial"/>
          <w:sz w:val="16"/>
          <w:szCs w:val="16"/>
          <w:color w:val="auto"/>
        </w:rPr>
        <w:t>The amount of revenue recognized in the period that was included in the opening current deferred revenue, which reflects the contract liability amounts, was $672.5 million, $555.8 million and $522.7 million for the years ended December 31, 2021, 2020 and 2019 respectively. The difference between the opening and closing balances of the Company’s deferred revenue was primarily driven by an increase in billings, partially offset by an increase in amortization of deferred revenue to operating revenues. As of December 31, 2021, 2020 and 2019, the Company carried a long-term deferred revenue balance of $23.4 million, $7.1 million and $4.3 million, respectively, in “Other non-current liabilities” on the Consolidated Statement of Financial Condition.</w:t>
      </w:r>
    </w:p>
    <w:p>
      <w:pPr>
        <w:spacing w:after="0" w:line="205" w:lineRule="exact"/>
        <w:rPr>
          <w:sz w:val="20"/>
          <w:szCs w:val="20"/>
          <w:color w:val="auto"/>
        </w:rPr>
      </w:pPr>
    </w:p>
    <w:p>
      <w:pPr>
        <w:jc w:val="both"/>
        <w:ind w:right="120" w:firstLine="589"/>
        <w:spacing w:after="0" w:line="252" w:lineRule="auto"/>
        <w:rPr>
          <w:sz w:val="20"/>
          <w:szCs w:val="20"/>
          <w:color w:val="auto"/>
        </w:rPr>
      </w:pPr>
      <w:r>
        <w:rPr>
          <w:rFonts w:ascii="Arial" w:cs="Arial" w:eastAsia="Arial" w:hAnsi="Arial"/>
          <w:sz w:val="18"/>
          <w:szCs w:val="18"/>
          <w:color w:val="auto"/>
        </w:rPr>
        <w:t>For contracts that have a duration of one year or less, the Company has not disclosed either the remaining performance obligation as of the end of the reporting period or when the Company expects to recognize the revenue. The remaining performance obligations for contracts that have a duration of greater than one year and the periods in which they are expected to be recognized are as follows:</w:t>
      </w:r>
    </w:p>
    <w:p>
      <w:pPr>
        <w:sectPr>
          <w:pgSz w:w="11900" w:h="16838" w:orient="portrait"/>
          <w:cols w:equalWidth="0" w:num="1">
            <w:col w:w="11180"/>
          </w:cols>
          <w:pgMar w:left="320" w:top="5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First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-131445</wp:posOffset>
            </wp:positionV>
            <wp:extent cx="3563620" cy="141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63620" cy="141605"/>
                    </a:xfrm>
                    <a:prstGeom prst="rect">
                      <a:avLst/>
                    </a:prstGeom>
                    <a:noFill/>
                  </pic:spPr>
                </pic:pic>
              </a:graphicData>
            </a:graphic>
          </wp:anchor>
        </w:drawing>
      </w:r>
    </w:p>
    <w:p>
      <w:pPr>
        <w:ind w:left="2820"/>
        <w:spacing w:after="0"/>
        <w:rPr>
          <w:sz w:val="20"/>
          <w:szCs w:val="20"/>
          <w:color w:val="auto"/>
        </w:rPr>
      </w:pPr>
      <w:r>
        <w:rPr>
          <w:rFonts w:ascii="Arial" w:cs="Arial" w:eastAsia="Arial" w:hAnsi="Arial"/>
          <w:sz w:val="15"/>
          <w:szCs w:val="15"/>
          <w:color w:val="auto"/>
        </w:rPr>
        <w:t>Second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31750</wp:posOffset>
            </wp:positionV>
            <wp:extent cx="3563620" cy="141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63620" cy="141605"/>
                    </a:xfrm>
                    <a:prstGeom prst="rect">
                      <a:avLst/>
                    </a:prstGeom>
                    <a:noFill/>
                  </pic:spPr>
                </pic:pic>
              </a:graphicData>
            </a:graphic>
          </wp:anchor>
        </w:drawing>
      </w:r>
    </w:p>
    <w:p>
      <w:pPr>
        <w:spacing w:after="0" w:line="31"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Third 12-month period</w:t>
      </w:r>
    </w:p>
    <w:p>
      <w:pPr>
        <w:spacing w:after="0" w:line="3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Periods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10160</wp:posOffset>
            </wp:positionV>
            <wp:extent cx="3563620" cy="158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63620" cy="158750"/>
                    </a:xfrm>
                    <a:prstGeom prst="rect">
                      <a:avLst/>
                    </a:prstGeom>
                    <a:noFill/>
                  </pic:spPr>
                </pic:pic>
              </a:graphicData>
            </a:graphic>
          </wp:anchor>
        </w:drawing>
      </w:r>
    </w:p>
    <w:p>
      <w:pPr>
        <w:spacing w:after="0" w:line="1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COMMON SHARE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9931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December 31,</w:t>
      </w:r>
    </w:p>
    <w:p>
      <w:pPr>
        <w:spacing w:after="0" w:line="62" w:lineRule="exact"/>
        <w:rPr>
          <w:sz w:val="20"/>
          <w:szCs w:val="20"/>
          <w:color w:val="auto"/>
        </w:rPr>
      </w:pPr>
    </w:p>
    <w:p>
      <w:pPr>
        <w:jc w:val="center"/>
        <w:ind w:right="28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9931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6" w:lineRule="exact"/>
        <w:rPr>
          <w:sz w:val="20"/>
          <w:szCs w:val="20"/>
          <w:color w:val="auto"/>
        </w:rPr>
      </w:pPr>
    </w:p>
    <w:p>
      <w:pPr>
        <w:jc w:val="center"/>
        <w:ind w:right="2820"/>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ind w:left="980" w:hanging="980"/>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476,131</w:t>
      </w:r>
    </w:p>
    <w:p>
      <w:pPr>
        <w:spacing w:after="0" w:line="25"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273,355</w:t>
      </w:r>
    </w:p>
    <w:p>
      <w:pPr>
        <w:spacing w:after="0" w:line="39"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96,332</w:t>
      </w:r>
    </w:p>
    <w:p>
      <w:pPr>
        <w:spacing w:after="0" w:line="39"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40,901</w:t>
      </w:r>
    </w:p>
    <w:p>
      <w:pPr>
        <w:spacing w:after="0" w:line="53" w:lineRule="exact"/>
        <w:rPr>
          <w:sz w:val="20"/>
          <w:szCs w:val="20"/>
          <w:color w:val="auto"/>
        </w:rPr>
      </w:pPr>
    </w:p>
    <w:p>
      <w:pPr>
        <w:ind w:left="980" w:hanging="980"/>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886,719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9931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814" w:lineRule="exact"/>
        <w:rPr>
          <w:sz w:val="20"/>
          <w:szCs w:val="20"/>
          <w:color w:val="auto"/>
        </w:rPr>
      </w:pPr>
    </w:p>
    <w:p>
      <w:pPr>
        <w:sectPr>
          <w:pgSz w:w="11900" w:h="16838" w:orient="portrait"/>
          <w:cols w:equalWidth="0" w:num="2">
            <w:col w:w="6080" w:space="720"/>
            <w:col w:w="4380"/>
          </w:cols>
          <w:pgMar w:left="320" w:top="548" w:right="399" w:bottom="1440" w:gutter="0" w:footer="0" w:header="0"/>
          <w:type w:val="continuous"/>
        </w:sectPr>
      </w:pPr>
    </w:p>
    <w:p>
      <w:pPr>
        <w:ind w:right="200" w:firstLine="589"/>
        <w:spacing w:after="0" w:line="252" w:lineRule="auto"/>
        <w:rPr>
          <w:sz w:val="20"/>
          <w:szCs w:val="20"/>
          <w:color w:val="auto"/>
        </w:rPr>
      </w:pPr>
      <w:r>
        <w:rPr>
          <w:rFonts w:ascii="Arial" w:cs="Arial" w:eastAsia="Arial" w:hAnsi="Arial"/>
          <w:sz w:val="18"/>
          <w:szCs w:val="18"/>
          <w:color w:val="auto"/>
        </w:rPr>
        <w:t>Basic earnings per share (“EPS”) is computed by dividing net income by the weighted average number of common shares outstanding during the period. Common shares outstanding include common stock and vested restricted stock unit awards where recipients have satisfied the explicit vesting terms. Diluted EPS reflects the assumed conversion of all dilutive securities.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computation of basic and diluted EPS:</w:t>
      </w:r>
    </w:p>
    <w:p>
      <w:pPr>
        <w:spacing w:after="0" w:line="282"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Years Ended</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217"/>
              <w:spacing w:after="0" w:line="141" w:lineRule="exact"/>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38"/>
              <w:spacing w:after="0" w:line="141" w:lineRule="exact"/>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237"/>
              <w:spacing w:after="0" w:line="141" w:lineRule="exact"/>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8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3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725,983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601,822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563,648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gridSpan w:val="2"/>
          </w:tcPr>
          <w:p>
            <w:pPr>
              <w:spacing w:after="0"/>
              <w:rPr>
                <w:sz w:val="20"/>
                <w:szCs w:val="20"/>
                <w:color w:val="auto"/>
              </w:rPr>
            </w:pPr>
            <w:r>
              <w:rPr>
                <w:rFonts w:ascii="Arial" w:cs="Arial" w:eastAsia="Arial" w:hAnsi="Arial"/>
                <w:sz w:val="18"/>
                <w:szCs w:val="18"/>
                <w:color w:val="auto"/>
              </w:rPr>
              <w:t>Basic weighted average common shares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outstanding</w:t>
            </w:r>
          </w:p>
        </w:tc>
        <w:tc>
          <w:tcPr>
            <w:tcW w:w="6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82,508</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83,716</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Stock options, RSUs and PSUs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Diluted weighted average common shares</w:t>
            </w:r>
          </w:p>
        </w:tc>
        <w:tc>
          <w:tcPr>
            <w:tcW w:w="6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outstanding</w:t>
            </w:r>
          </w:p>
        </w:tc>
        <w:tc>
          <w:tcPr>
            <w:tcW w:w="6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83,479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84,517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85,536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basic common share</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diluted common share</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14" w:lineRule="exact"/>
        <w:rPr>
          <w:sz w:val="20"/>
          <w:szCs w:val="20"/>
          <w:color w:val="auto"/>
        </w:rPr>
      </w:pPr>
    </w:p>
    <w:p>
      <w:pPr>
        <w:ind w:firstLine="540"/>
        <w:spacing w:after="0" w:line="248" w:lineRule="auto"/>
        <w:rPr>
          <w:sz w:val="20"/>
          <w:szCs w:val="20"/>
          <w:color w:val="auto"/>
        </w:rPr>
      </w:pPr>
      <w:r>
        <w:rPr>
          <w:rFonts w:ascii="Arial" w:cs="Arial" w:eastAsia="Arial" w:hAnsi="Arial"/>
          <w:sz w:val="18"/>
          <w:szCs w:val="18"/>
          <w:color w:val="auto"/>
        </w:rPr>
        <w:t>On September 13, 2021, MSCI acquired all of the issued and outstanding preferred and common shares of RCA for an aggregate cash purchase price of $949.0 million. This acquisition expands MSCI’s suite of real estate solutions, providing the real estate industry with data, analytics, and support tools to manage investments and understand performance and risk, including climate risk, within their portfolios. RCA has been accounted for as a business combination using the acquisition method of accounting and has been integrated into the All Other – Private Assets reportable segment, as a component of the Real Estate operating segment. A portion of RCA’s client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48" w:right="399" w:bottom="1440" w:gutter="0" w:footer="0" w:header="0"/>
          <w:type w:val="continuous"/>
        </w:sectPr>
      </w:pPr>
    </w:p>
    <w:bookmarkStart w:id="79" w:name="page80"/>
    <w:bookmarkEnd w:id="79"/>
    <w:p>
      <w:pPr>
        <w:ind w:right="560"/>
        <w:spacing w:after="0" w:line="324" w:lineRule="auto"/>
        <w:rPr>
          <w:sz w:val="20"/>
          <w:szCs w:val="20"/>
          <w:color w:val="auto"/>
        </w:rPr>
      </w:pPr>
      <w:r>
        <w:rPr>
          <w:rFonts w:ascii="Arial" w:cs="Arial" w:eastAsia="Arial" w:hAnsi="Arial"/>
          <w:sz w:val="16"/>
          <w:szCs w:val="16"/>
          <w:color w:val="auto"/>
        </w:rPr>
        <w:t>agreements do not have automatic renewal clauses at the end of the subscription period. Due to the historically high retention rate and expectation that a substantial portion of the client agreements will be renewed, the associated revenue is recorded as recurring subscription revenue.</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the preliminary purchase price allocation were as follows:</w:t>
      </w:r>
    </w:p>
    <w:p>
      <w:pPr>
        <w:spacing w:after="0" w:line="30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Estimated</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Useful Life</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14"/>
              <w:spacing w:after="0" w:line="151"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leasehold</w:t>
            </w:r>
          </w:p>
        </w:tc>
        <w:tc>
          <w:tcPr>
            <w:tcW w:w="1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improvements, net</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(35,194)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(14,518)</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(85,196)</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Proprietary data</w:t>
            </w:r>
          </w:p>
        </w:tc>
        <w:tc>
          <w:tcPr>
            <w:tcW w:w="22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83"/>
              </w:rPr>
              <w:t>11 Years</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220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20 Years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Acquired technology and software</w:t>
            </w:r>
          </w:p>
        </w:tc>
        <w:tc>
          <w:tcPr>
            <w:tcW w:w="22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83"/>
              </w:rPr>
              <w:t>9 Years</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Arial" w:cs="Arial" w:eastAsia="Arial" w:hAnsi="Arial"/>
                <w:sz w:val="18"/>
                <w:szCs w:val="18"/>
                <w:color w:val="auto"/>
              </w:rPr>
              <w:t>Trademarks</w:t>
            </w:r>
          </w:p>
        </w:tc>
        <w:tc>
          <w:tcPr>
            <w:tcW w:w="220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2 Years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Purchase price, net of cash acquired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ind w:right="20" w:firstLine="540"/>
        <w:spacing w:after="0" w:line="299" w:lineRule="auto"/>
        <w:rPr>
          <w:sz w:val="20"/>
          <w:szCs w:val="20"/>
          <w:color w:val="auto"/>
        </w:rPr>
      </w:pPr>
      <w:r>
        <w:rPr>
          <w:rFonts w:ascii="Arial" w:cs="Arial" w:eastAsia="Arial" w:hAnsi="Arial"/>
          <w:sz w:val="16"/>
          <w:szCs w:val="16"/>
          <w:color w:val="auto"/>
        </w:rPr>
        <w:t>The purchase price allocation is based on preliminary valuations and assessments. The estimates and assumptions used may be subject to change within the measurement period, particularly for acquired intangible assets and deferred taxes. As discussed in Note 2, the Company early adopted ASU 2021-08 which resulted in an increase to deferred revenue and goodwill and a decrease in deferred tax liabilities recorded as of the opening balance sheet date.</w:t>
      </w:r>
    </w:p>
    <w:p>
      <w:pPr>
        <w:spacing w:after="0" w:line="48" w:lineRule="exact"/>
        <w:rPr>
          <w:sz w:val="20"/>
          <w:szCs w:val="20"/>
          <w:color w:val="auto"/>
        </w:rPr>
      </w:pPr>
    </w:p>
    <w:p>
      <w:pPr>
        <w:ind w:firstLine="540"/>
        <w:spacing w:after="0" w:line="290" w:lineRule="auto"/>
        <w:rPr>
          <w:sz w:val="20"/>
          <w:szCs w:val="20"/>
          <w:color w:val="auto"/>
        </w:rPr>
      </w:pPr>
      <w:r>
        <w:rPr>
          <w:rFonts w:ascii="Arial" w:cs="Arial" w:eastAsia="Arial" w:hAnsi="Arial"/>
          <w:sz w:val="16"/>
          <w:szCs w:val="16"/>
          <w:color w:val="auto"/>
        </w:rPr>
        <w:t>The Company, with the assistance of third-party valuation experts, utilized the following methodologies to estimate the fair values of acquired intangible assets: the relief from royalty method, the replacement cost method and the multi-period excess earnings method. The significant assumptions used to estimate the fair value of the acquired intangible assets included, forecasted cash flows which were determined based on certain assumptions which included, among others, projected future revenues, and expected market royalty rate, technology obsolescence rates and discount rates.</w:t>
      </w:r>
    </w:p>
    <w:p>
      <w:pPr>
        <w:spacing w:after="0" w:line="57" w:lineRule="exact"/>
        <w:rPr>
          <w:sz w:val="20"/>
          <w:szCs w:val="20"/>
          <w:color w:val="auto"/>
        </w:rPr>
      </w:pPr>
    </w:p>
    <w:p>
      <w:pPr>
        <w:ind w:right="40" w:firstLine="540"/>
        <w:spacing w:after="0" w:line="261" w:lineRule="auto"/>
        <w:rPr>
          <w:sz w:val="20"/>
          <w:szCs w:val="20"/>
          <w:color w:val="auto"/>
        </w:rPr>
      </w:pPr>
      <w:r>
        <w:rPr>
          <w:rFonts w:ascii="Arial" w:cs="Arial" w:eastAsia="Arial" w:hAnsi="Arial"/>
          <w:sz w:val="18"/>
          <w:szCs w:val="18"/>
          <w:color w:val="auto"/>
        </w:rPr>
        <w:t>The recorded goodwill is primarily attributable to the utilization of the acquired data as well as expanded market opportunities. Goodwill attributable to the acquisition is not deductible for income tax purposes.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Revenue of RCA recognized within the consolidated financial statements subsequent to the acquisition date was $22.1 million.</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 COMMITMENTS AND CONTINGENCIES</w:t>
      </w:r>
    </w:p>
    <w:p>
      <w:pPr>
        <w:spacing w:after="0" w:line="259" w:lineRule="exact"/>
        <w:rPr>
          <w:sz w:val="20"/>
          <w:szCs w:val="20"/>
          <w:color w:val="auto"/>
        </w:rPr>
      </w:pPr>
    </w:p>
    <w:p>
      <w:pPr>
        <w:ind w:right="120" w:firstLine="589"/>
        <w:spacing w:after="0" w:line="261" w:lineRule="auto"/>
        <w:rPr>
          <w:sz w:val="20"/>
          <w:szCs w:val="20"/>
          <w:color w:val="auto"/>
        </w:rPr>
      </w:pPr>
      <w:r>
        <w:rPr>
          <w:rFonts w:ascii="Arial" w:cs="Arial" w:eastAsia="Arial" w:hAnsi="Arial"/>
          <w:sz w:val="18"/>
          <w:szCs w:val="18"/>
          <w:b w:val="1"/>
          <w:bCs w:val="1"/>
          <w:i w:val="1"/>
          <w:iCs w:val="1"/>
          <w:color w:val="auto"/>
        </w:rPr>
        <w:t xml:space="preserve">Senior Unsecured Notes. </w:t>
      </w:r>
      <w:r>
        <w:rPr>
          <w:rFonts w:ascii="Arial" w:cs="Arial" w:eastAsia="Arial" w:hAnsi="Arial"/>
          <w:sz w:val="18"/>
          <w:szCs w:val="18"/>
          <w:color w:val="auto"/>
        </w:rPr>
        <w:t>The Company had an aggregate of $4,200.0 million in senior unsecured notes (collectively, the “Senior Notes”)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December 31, 2021, as presented in the table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2"/>
                <w:szCs w:val="12"/>
                <w:color w:val="auto"/>
              </w:rPr>
            </w:pPr>
          </w:p>
        </w:tc>
        <w:tc>
          <w:tcPr>
            <w:tcW w:w="840" w:type="dxa"/>
            <w:vAlign w:val="bottom"/>
            <w:gridSpan w:val="3"/>
          </w:tcPr>
          <w:p>
            <w:pPr>
              <w:jc w:val="center"/>
              <w:ind w:right="166"/>
              <w:spacing w:after="0" w:line="145"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3"/>
          </w:tcPr>
          <w:p>
            <w:pPr>
              <w:jc w:val="center"/>
              <w:ind w:right="580"/>
              <w:spacing w:after="0" w:line="145"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rPr>
              <w:t>Fair</w:t>
            </w:r>
          </w:p>
        </w:tc>
      </w:tr>
      <w:tr>
        <w:trPr>
          <w:trHeight w:val="158"/>
        </w:trPr>
        <w:tc>
          <w:tcPr>
            <w:tcW w:w="1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outstanding at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value at</w:t>
            </w:r>
          </w:p>
        </w:tc>
        <w:tc>
          <w:tcPr>
            <w:tcW w:w="240" w:type="dxa"/>
            <w:vAlign w:val="bottom"/>
          </w:tcPr>
          <w:p>
            <w:pPr>
              <w:spacing w:after="0"/>
              <w:rPr>
                <w:sz w:val="13"/>
                <w:szCs w:val="13"/>
                <w:color w:val="auto"/>
              </w:rPr>
            </w:pPr>
          </w:p>
        </w:tc>
        <w:tc>
          <w:tcPr>
            <w:tcW w:w="840" w:type="dxa"/>
            <w:vAlign w:val="bottom"/>
            <w:gridSpan w:val="3"/>
          </w:tcPr>
          <w:p>
            <w:pPr>
              <w:jc w:val="center"/>
              <w:ind w:right="166"/>
              <w:spacing w:after="0"/>
              <w:rPr>
                <w:sz w:val="20"/>
                <w:szCs w:val="20"/>
                <w:color w:val="auto"/>
              </w:rPr>
            </w:pPr>
            <w:r>
              <w:rPr>
                <w:rFonts w:ascii="Arial" w:cs="Arial" w:eastAsia="Arial" w:hAnsi="Arial"/>
                <w:sz w:val="13"/>
                <w:szCs w:val="13"/>
                <w:b w:val="1"/>
                <w:bCs w:val="1"/>
                <w:color w:val="auto"/>
                <w:w w:val="90"/>
              </w:rPr>
              <w:t>value at</w:t>
            </w:r>
          </w:p>
        </w:tc>
        <w:tc>
          <w:tcPr>
            <w:tcW w:w="160" w:type="dxa"/>
            <w:vAlign w:val="bottom"/>
          </w:tcPr>
          <w:p>
            <w:pPr>
              <w:spacing w:after="0"/>
              <w:rPr>
                <w:sz w:val="13"/>
                <w:szCs w:val="13"/>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2"/>
              </w:rPr>
              <w:t>Value at</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Value at</w:t>
            </w:r>
          </w:p>
        </w:tc>
      </w:tr>
      <w:tr>
        <w:trPr>
          <w:trHeight w:val="145"/>
        </w:trPr>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80" w:type="dxa"/>
            <w:vAlign w:val="bottom"/>
          </w:tcPr>
          <w:p>
            <w:pPr>
              <w:jc w:val="center"/>
              <w:ind w:right="14"/>
              <w:spacing w:after="0"/>
              <w:rPr>
                <w:sz w:val="20"/>
                <w:szCs w:val="20"/>
                <w:color w:val="auto"/>
              </w:rPr>
            </w:pPr>
            <w:r>
              <w:rPr>
                <w:rFonts w:ascii="Arial" w:cs="Arial" w:eastAsia="Arial" w:hAnsi="Arial"/>
                <w:sz w:val="13"/>
                <w:szCs w:val="13"/>
                <w:b w:val="1"/>
                <w:bCs w:val="1"/>
                <w:color w:val="auto"/>
                <w:w w:val="99"/>
              </w:rPr>
              <w:t>Maturity Date</w:t>
            </w:r>
          </w:p>
        </w:tc>
        <w:tc>
          <w:tcPr>
            <w:tcW w:w="10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December 31, 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December 31, 2020</w:t>
            </w:r>
          </w:p>
        </w:tc>
        <w:tc>
          <w:tcPr>
            <w:tcW w:w="160" w:type="dxa"/>
            <w:vAlign w:val="bottom"/>
          </w:tcPr>
          <w:p>
            <w:pPr>
              <w:spacing w:after="0"/>
              <w:rPr>
                <w:sz w:val="13"/>
                <w:szCs w:val="13"/>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0"/>
              </w:rPr>
              <w:t>December 31, 2021</w:t>
            </w:r>
          </w:p>
        </w:tc>
        <w:tc>
          <w:tcPr>
            <w:tcW w:w="11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December 31, 2020</w:t>
            </w:r>
          </w:p>
        </w:tc>
      </w:tr>
      <w:tr>
        <w:trPr>
          <w:trHeight w:val="151"/>
        </w:trPr>
        <w:tc>
          <w:tcPr>
            <w:tcW w:w="1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right"/>
              <w:ind w:right="14"/>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35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Long-term debt</w:t>
            </w:r>
          </w:p>
        </w:tc>
        <w:tc>
          <w:tcPr>
            <w:tcW w:w="1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8"/>
        </w:trPr>
        <w:tc>
          <w:tcPr>
            <w:tcW w:w="3560" w:type="dxa"/>
            <w:vAlign w:val="bottom"/>
            <w:gridSpan w:val="2"/>
          </w:tcPr>
          <w:p>
            <w:pPr>
              <w:ind w:left="120"/>
              <w:spacing w:after="0"/>
              <w:rPr>
                <w:sz w:val="20"/>
                <w:szCs w:val="20"/>
                <w:color w:val="auto"/>
              </w:rPr>
            </w:pPr>
            <w:r>
              <w:rPr>
                <w:rFonts w:ascii="Arial" w:cs="Arial" w:eastAsia="Arial" w:hAnsi="Arial"/>
                <w:sz w:val="13"/>
                <w:szCs w:val="13"/>
                <w:color w:val="auto"/>
              </w:rPr>
              <w:t>4.750% senior unsecured notes due 2026</w:t>
            </w:r>
          </w:p>
        </w:tc>
        <w:tc>
          <w:tcPr>
            <w:tcW w:w="1580" w:type="dxa"/>
            <w:vAlign w:val="bottom"/>
          </w:tcPr>
          <w:p>
            <w:pPr>
              <w:jc w:val="center"/>
              <w:ind w:right="14"/>
              <w:spacing w:after="0"/>
              <w:rPr>
                <w:sz w:val="20"/>
                <w:szCs w:val="20"/>
                <w:color w:val="auto"/>
              </w:rPr>
            </w:pPr>
            <w:r>
              <w:rPr>
                <w:rFonts w:ascii="Arial" w:cs="Arial" w:eastAsia="Arial" w:hAnsi="Arial"/>
                <w:sz w:val="13"/>
                <w:szCs w:val="13"/>
                <w:color w:val="auto"/>
                <w:w w:val="93"/>
              </w:rPr>
              <w:t>August 1, 2026</w:t>
            </w:r>
          </w:p>
        </w:tc>
        <w:tc>
          <w:tcPr>
            <w:tcW w:w="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496,257</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522,325</w:t>
            </w:r>
          </w:p>
        </w:tc>
        <w:tc>
          <w:tcPr>
            <w:tcW w:w="100" w:type="dxa"/>
            <w:vAlign w:val="bottom"/>
          </w:tcPr>
          <w:p>
            <w:pPr>
              <w:spacing w:after="0"/>
              <w:rPr>
                <w:sz w:val="13"/>
                <w:szCs w:val="13"/>
                <w:color w:val="auto"/>
              </w:rPr>
            </w:pPr>
          </w:p>
        </w:tc>
      </w:tr>
      <w:tr>
        <w:trPr>
          <w:trHeight w:val="158"/>
        </w:trPr>
        <w:tc>
          <w:tcPr>
            <w:tcW w:w="35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5.375% senior unsecured notes due 2027</w:t>
            </w:r>
          </w:p>
        </w:tc>
        <w:tc>
          <w:tcPr>
            <w:tcW w:w="158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w w:val="93"/>
              </w:rPr>
              <w:t>May 15, 2027</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495,819</w:t>
            </w: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538,100</w:t>
            </w:r>
          </w:p>
        </w:tc>
        <w:tc>
          <w:tcPr>
            <w:tcW w:w="100" w:type="dxa"/>
            <w:vAlign w:val="bottom"/>
            <w:shd w:val="clear" w:color="auto" w:fill="CFF0FC"/>
          </w:tcPr>
          <w:p>
            <w:pPr>
              <w:spacing w:after="0"/>
              <w:rPr>
                <w:sz w:val="13"/>
                <w:szCs w:val="13"/>
                <w:color w:val="auto"/>
              </w:rPr>
            </w:pPr>
          </w:p>
        </w:tc>
      </w:tr>
      <w:tr>
        <w:trPr>
          <w:trHeight w:val="158"/>
        </w:trPr>
        <w:tc>
          <w:tcPr>
            <w:tcW w:w="3560" w:type="dxa"/>
            <w:vAlign w:val="bottom"/>
            <w:gridSpan w:val="2"/>
          </w:tcPr>
          <w:p>
            <w:pPr>
              <w:ind w:left="120"/>
              <w:spacing w:after="0"/>
              <w:rPr>
                <w:sz w:val="20"/>
                <w:szCs w:val="20"/>
                <w:color w:val="auto"/>
              </w:rPr>
            </w:pPr>
            <w:r>
              <w:rPr>
                <w:rFonts w:ascii="Arial" w:cs="Arial" w:eastAsia="Arial" w:hAnsi="Arial"/>
                <w:sz w:val="13"/>
                <w:szCs w:val="13"/>
                <w:color w:val="auto"/>
              </w:rPr>
              <w:t>4.000% senior unsecured notes due 2029</w:t>
            </w:r>
          </w:p>
        </w:tc>
        <w:tc>
          <w:tcPr>
            <w:tcW w:w="1580" w:type="dxa"/>
            <w:vAlign w:val="bottom"/>
          </w:tcPr>
          <w:p>
            <w:pPr>
              <w:jc w:val="center"/>
              <w:ind w:right="14"/>
              <w:spacing w:after="0"/>
              <w:rPr>
                <w:sz w:val="20"/>
                <w:szCs w:val="20"/>
                <w:color w:val="auto"/>
              </w:rPr>
            </w:pPr>
            <w:r>
              <w:rPr>
                <w:rFonts w:ascii="Arial" w:cs="Arial" w:eastAsia="Arial" w:hAnsi="Arial"/>
                <w:sz w:val="13"/>
                <w:szCs w:val="13"/>
                <w:color w:val="auto"/>
                <w:w w:val="92"/>
              </w:rPr>
              <w:t>November 15, 2029</w:t>
            </w:r>
          </w:p>
        </w:tc>
        <w:tc>
          <w:tcPr>
            <w:tcW w:w="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991,455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990,364</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1,047,950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1,073,040</w:t>
            </w:r>
          </w:p>
        </w:tc>
        <w:tc>
          <w:tcPr>
            <w:tcW w:w="100" w:type="dxa"/>
            <w:vAlign w:val="bottom"/>
          </w:tcPr>
          <w:p>
            <w:pPr>
              <w:spacing w:after="0"/>
              <w:rPr>
                <w:sz w:val="13"/>
                <w:szCs w:val="13"/>
                <w:color w:val="auto"/>
              </w:rPr>
            </w:pPr>
          </w:p>
        </w:tc>
      </w:tr>
      <w:tr>
        <w:trPr>
          <w:trHeight w:val="158"/>
        </w:trPr>
        <w:tc>
          <w:tcPr>
            <w:tcW w:w="35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3.625% senior unsecured notes due 2030</w:t>
            </w:r>
          </w:p>
        </w:tc>
        <w:tc>
          <w:tcPr>
            <w:tcW w:w="158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w w:val="88"/>
              </w:rPr>
              <w:t>September 1, 2030</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900,000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894,263</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395,458</w:t>
            </w: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924,777</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419,428</w:t>
            </w:r>
          </w:p>
        </w:tc>
        <w:tc>
          <w:tcPr>
            <w:tcW w:w="100" w:type="dxa"/>
            <w:vAlign w:val="bottom"/>
            <w:shd w:val="clear" w:color="auto" w:fill="CFF0FC"/>
          </w:tcPr>
          <w:p>
            <w:pPr>
              <w:spacing w:after="0"/>
              <w:rPr>
                <w:sz w:val="13"/>
                <w:szCs w:val="13"/>
                <w:color w:val="auto"/>
              </w:rPr>
            </w:pPr>
          </w:p>
        </w:tc>
      </w:tr>
      <w:tr>
        <w:trPr>
          <w:trHeight w:val="158"/>
        </w:trPr>
        <w:tc>
          <w:tcPr>
            <w:tcW w:w="3560" w:type="dxa"/>
            <w:vAlign w:val="bottom"/>
            <w:gridSpan w:val="2"/>
          </w:tcPr>
          <w:p>
            <w:pPr>
              <w:ind w:left="120"/>
              <w:spacing w:after="0"/>
              <w:rPr>
                <w:sz w:val="20"/>
                <w:szCs w:val="20"/>
                <w:color w:val="auto"/>
              </w:rPr>
            </w:pPr>
            <w:r>
              <w:rPr>
                <w:rFonts w:ascii="Arial" w:cs="Arial" w:eastAsia="Arial" w:hAnsi="Arial"/>
                <w:sz w:val="13"/>
                <w:szCs w:val="13"/>
                <w:color w:val="auto"/>
              </w:rPr>
              <w:t>3.875% senior unsecured notes due 2031</w:t>
            </w:r>
          </w:p>
        </w:tc>
        <w:tc>
          <w:tcPr>
            <w:tcW w:w="1580" w:type="dxa"/>
            <w:vAlign w:val="bottom"/>
          </w:tcPr>
          <w:p>
            <w:pPr>
              <w:jc w:val="center"/>
              <w:ind w:right="14"/>
              <w:spacing w:after="0"/>
              <w:rPr>
                <w:sz w:val="20"/>
                <w:szCs w:val="20"/>
                <w:color w:val="auto"/>
              </w:rPr>
            </w:pPr>
            <w:r>
              <w:rPr>
                <w:rFonts w:ascii="Arial" w:cs="Arial" w:eastAsia="Arial" w:hAnsi="Arial"/>
                <w:sz w:val="13"/>
                <w:szCs w:val="13"/>
                <w:color w:val="auto"/>
                <w:w w:val="92"/>
              </w:rPr>
              <w:t>February 15, 2031</w:t>
            </w:r>
          </w:p>
        </w:tc>
        <w:tc>
          <w:tcPr>
            <w:tcW w:w="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989,973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988,879</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1,046,620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1,063,430</w:t>
            </w:r>
          </w:p>
        </w:tc>
        <w:tc>
          <w:tcPr>
            <w:tcW w:w="100" w:type="dxa"/>
            <w:vAlign w:val="bottom"/>
          </w:tcPr>
          <w:p>
            <w:pPr>
              <w:spacing w:after="0"/>
              <w:rPr>
                <w:sz w:val="13"/>
                <w:szCs w:val="13"/>
                <w:color w:val="auto"/>
              </w:rPr>
            </w:pPr>
          </w:p>
        </w:tc>
      </w:tr>
      <w:tr>
        <w:trPr>
          <w:trHeight w:val="158"/>
        </w:trPr>
        <w:tc>
          <w:tcPr>
            <w:tcW w:w="35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3.625% senior unsecured notes due 2031</w:t>
            </w:r>
          </w:p>
        </w:tc>
        <w:tc>
          <w:tcPr>
            <w:tcW w:w="158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w w:val="91"/>
              </w:rPr>
              <w:t>November 1, 2031</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600,000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593,538</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625,536</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r>
      <w:tr>
        <w:trPr>
          <w:trHeight w:val="158"/>
        </w:trPr>
        <w:tc>
          <w:tcPr>
            <w:tcW w:w="3560" w:type="dxa"/>
            <w:vAlign w:val="bottom"/>
            <w:tcBorders>
              <w:bottom w:val="single" w:sz="8" w:color="CFF0FC"/>
            </w:tcBorders>
            <w:gridSpan w:val="2"/>
          </w:tcPr>
          <w:p>
            <w:pPr>
              <w:ind w:left="120"/>
              <w:spacing w:after="0"/>
              <w:rPr>
                <w:sz w:val="20"/>
                <w:szCs w:val="20"/>
                <w:color w:val="auto"/>
              </w:rPr>
            </w:pPr>
            <w:r>
              <w:rPr>
                <w:rFonts w:ascii="Arial" w:cs="Arial" w:eastAsia="Arial" w:hAnsi="Arial"/>
                <w:sz w:val="13"/>
                <w:szCs w:val="13"/>
                <w:color w:val="auto"/>
              </w:rPr>
              <w:t>3.250% senior unsecured notes due 2033</w:t>
            </w:r>
          </w:p>
        </w:tc>
        <w:tc>
          <w:tcPr>
            <w:tcW w:w="1580" w:type="dxa"/>
            <w:vAlign w:val="bottom"/>
            <w:tcBorders>
              <w:bottom w:val="single" w:sz="8" w:color="CFF0FC"/>
            </w:tcBorders>
          </w:tcPr>
          <w:p>
            <w:pPr>
              <w:jc w:val="center"/>
              <w:ind w:right="14"/>
              <w:spacing w:after="0"/>
              <w:rPr>
                <w:sz w:val="20"/>
                <w:szCs w:val="20"/>
                <w:color w:val="auto"/>
              </w:rPr>
            </w:pPr>
            <w:r>
              <w:rPr>
                <w:rFonts w:ascii="Arial" w:cs="Arial" w:eastAsia="Arial" w:hAnsi="Arial"/>
                <w:sz w:val="13"/>
                <w:szCs w:val="13"/>
                <w:color w:val="auto"/>
                <w:w w:val="90"/>
              </w:rPr>
              <w:t>August 15, 2033</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700,000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692,193</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710,906</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r>
      <w:tr>
        <w:trPr>
          <w:trHeight w:val="151"/>
        </w:trPr>
        <w:tc>
          <w:tcPr>
            <w:tcW w:w="3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Total long-term debt</w:t>
            </w:r>
          </w:p>
        </w:tc>
        <w:tc>
          <w:tcPr>
            <w:tcW w:w="15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4,200,000</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4,161,422</w:t>
            </w:r>
          </w:p>
        </w:tc>
        <w:tc>
          <w:tcPr>
            <w:tcW w:w="1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3,366,777</w:t>
            </w:r>
          </w:p>
        </w:tc>
        <w:tc>
          <w:tcPr>
            <w:tcW w:w="16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ind w:right="274"/>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4,355,789</w:t>
            </w:r>
          </w:p>
        </w:tc>
        <w:tc>
          <w:tcPr>
            <w:tcW w:w="1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3,616,323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580" w:type="dxa"/>
            <w:vAlign w:val="bottom"/>
            <w:gridSpan w:val="10"/>
          </w:tcPr>
          <w:p>
            <w:pPr>
              <w:ind w:left="600"/>
              <w:spacing w:after="0"/>
              <w:rPr>
                <w:sz w:val="20"/>
                <w:szCs w:val="20"/>
                <w:color w:val="auto"/>
              </w:rPr>
            </w:pPr>
            <w:r>
              <w:rPr>
                <w:rFonts w:ascii="Arial" w:cs="Arial" w:eastAsia="Arial" w:hAnsi="Arial"/>
                <w:sz w:val="18"/>
                <w:szCs w:val="18"/>
                <w:color w:val="auto"/>
                <w:w w:val="93"/>
              </w:rPr>
              <w:t>Interest payments attributable to the Senior Notes are due as presented in the following table: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left="226"/>
              <w:spacing w:after="0"/>
              <w:rPr>
                <w:sz w:val="20"/>
                <w:szCs w:val="20"/>
                <w:color w:val="auto"/>
              </w:rPr>
            </w:pPr>
            <w:r>
              <w:rPr>
                <w:rFonts w:ascii="Arial" w:cs="Arial" w:eastAsia="Arial" w:hAnsi="Arial"/>
                <w:sz w:val="13"/>
                <w:szCs w:val="13"/>
                <w:b w:val="1"/>
                <w:bCs w:val="1"/>
                <w:color w:val="auto"/>
                <w:w w:val="87"/>
              </w:rPr>
              <w:t>Second semi-</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5"/>
        </w:trPr>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center"/>
              <w:ind w:left="14"/>
              <w:spacing w:after="0" w:line="145" w:lineRule="exact"/>
              <w:rPr>
                <w:sz w:val="20"/>
                <w:szCs w:val="20"/>
                <w:color w:val="auto"/>
              </w:rPr>
            </w:pPr>
            <w:r>
              <w:rPr>
                <w:rFonts w:ascii="Arial" w:cs="Arial" w:eastAsia="Arial" w:hAnsi="Arial"/>
                <w:sz w:val="13"/>
                <w:szCs w:val="13"/>
                <w:b w:val="1"/>
                <w:bCs w:val="1"/>
                <w:color w:val="auto"/>
                <w:w w:val="92"/>
              </w:rPr>
              <w:t>First semi-annual interest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left="206"/>
              <w:spacing w:after="0" w:line="145" w:lineRule="exact"/>
              <w:rPr>
                <w:sz w:val="20"/>
                <w:szCs w:val="20"/>
                <w:color w:val="auto"/>
              </w:rPr>
            </w:pPr>
            <w:r>
              <w:rPr>
                <w:rFonts w:ascii="Arial" w:cs="Arial" w:eastAsia="Arial" w:hAnsi="Arial"/>
                <w:sz w:val="13"/>
                <w:szCs w:val="13"/>
                <w:b w:val="1"/>
                <w:bCs w:val="1"/>
                <w:color w:val="auto"/>
                <w:w w:val="90"/>
              </w:rPr>
              <w:t>annual interest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700" w:type="dxa"/>
            <w:vAlign w:val="bottom"/>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payment date</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gridSpan w:val="3"/>
          </w:tcPr>
          <w:p>
            <w:pPr>
              <w:jc w:val="center"/>
              <w:ind w:left="206"/>
              <w:spacing w:after="0"/>
              <w:rPr>
                <w:sz w:val="20"/>
                <w:szCs w:val="20"/>
                <w:color w:val="auto"/>
              </w:rPr>
            </w:pPr>
            <w:r>
              <w:rPr>
                <w:rFonts w:ascii="Arial" w:cs="Arial" w:eastAsia="Arial" w:hAnsi="Arial"/>
                <w:sz w:val="13"/>
                <w:szCs w:val="13"/>
                <w:b w:val="1"/>
                <w:bCs w:val="1"/>
                <w:color w:val="auto"/>
                <w:w w:val="90"/>
              </w:rPr>
              <w:t>payment date</w:t>
            </w:r>
          </w:p>
        </w:tc>
        <w:tc>
          <w:tcPr>
            <w:tcW w:w="3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1700" w:type="dxa"/>
            <w:vAlign w:val="bottom"/>
          </w:tcPr>
          <w:p>
            <w:pPr>
              <w:spacing w:after="0"/>
              <w:rPr>
                <w:sz w:val="17"/>
                <w:szCs w:val="17"/>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Senior Notes</w:t>
            </w:r>
          </w:p>
        </w:tc>
        <w:tc>
          <w:tcPr>
            <w:tcW w:w="1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1700" w:type="dxa"/>
            <w:vAlign w:val="bottom"/>
          </w:tcPr>
          <w:p>
            <w:pPr>
              <w:spacing w:after="0"/>
              <w:rPr>
                <w:sz w:val="18"/>
                <w:szCs w:val="18"/>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4.000% senior unsecured notes due 2029</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5"/>
              </w:rPr>
              <w:t>May 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left="226"/>
              <w:spacing w:after="0"/>
              <w:rPr>
                <w:sz w:val="20"/>
                <w:szCs w:val="20"/>
                <w:color w:val="auto"/>
              </w:rPr>
            </w:pPr>
            <w:r>
              <w:rPr>
                <w:rFonts w:ascii="Arial" w:cs="Arial" w:eastAsia="Arial" w:hAnsi="Arial"/>
                <w:sz w:val="16"/>
                <w:szCs w:val="16"/>
                <w:color w:val="auto"/>
                <w:w w:val="89"/>
              </w:rPr>
              <w:t>November 15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1700" w:type="dxa"/>
            <w:vAlign w:val="bottom"/>
          </w:tcPr>
          <w:p>
            <w:pPr>
              <w:spacing w:after="0"/>
              <w:rPr>
                <w:sz w:val="18"/>
                <w:szCs w:val="18"/>
                <w:color w:val="auto"/>
              </w:rPr>
            </w:pPr>
          </w:p>
        </w:tc>
        <w:tc>
          <w:tcPr>
            <w:tcW w:w="34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3.625% senior unsecured notes due 2030</w:t>
            </w: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3"/>
              </w:rPr>
              <w:t>March 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center"/>
              <w:ind w:left="206"/>
              <w:spacing w:after="0"/>
              <w:rPr>
                <w:sz w:val="20"/>
                <w:szCs w:val="20"/>
                <w:color w:val="auto"/>
              </w:rPr>
            </w:pPr>
            <w:r>
              <w:rPr>
                <w:rFonts w:ascii="Arial" w:cs="Arial" w:eastAsia="Arial" w:hAnsi="Arial"/>
                <w:sz w:val="16"/>
                <w:szCs w:val="16"/>
                <w:color w:val="auto"/>
                <w:w w:val="87"/>
              </w:rPr>
              <w:t>September 1</w:t>
            </w:r>
          </w:p>
        </w:tc>
        <w:tc>
          <w:tcPr>
            <w:tcW w:w="32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1700" w:type="dxa"/>
            <w:vAlign w:val="bottom"/>
          </w:tcPr>
          <w:p>
            <w:pPr>
              <w:spacing w:after="0"/>
              <w:rPr>
                <w:sz w:val="18"/>
                <w:szCs w:val="18"/>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3.875% senior unsecured notes due 2031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87"/>
              </w:rPr>
              <w:t>June 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left="206"/>
              <w:spacing w:after="0"/>
              <w:rPr>
                <w:sz w:val="20"/>
                <w:szCs w:val="20"/>
                <w:color w:val="auto"/>
              </w:rPr>
            </w:pPr>
            <w:r>
              <w:rPr>
                <w:rFonts w:ascii="Arial" w:cs="Arial" w:eastAsia="Arial" w:hAnsi="Arial"/>
                <w:sz w:val="16"/>
                <w:szCs w:val="16"/>
                <w:color w:val="auto"/>
                <w:w w:val="87"/>
              </w:rPr>
              <w:t>December 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1700" w:type="dxa"/>
            <w:vAlign w:val="bottom"/>
          </w:tcPr>
          <w:p>
            <w:pPr>
              <w:spacing w:after="0"/>
              <w:rPr>
                <w:sz w:val="18"/>
                <w:szCs w:val="18"/>
                <w:color w:val="auto"/>
              </w:rPr>
            </w:pPr>
          </w:p>
        </w:tc>
        <w:tc>
          <w:tcPr>
            <w:tcW w:w="3440" w:type="dxa"/>
            <w:vAlign w:val="bottom"/>
            <w:gridSpan w:val="2"/>
            <w:shd w:val="clear" w:color="auto" w:fill="CFF0FC"/>
          </w:tcPr>
          <w:p>
            <w:pPr>
              <w:ind w:left="120"/>
              <w:spacing w:after="0" w:line="213" w:lineRule="exact"/>
              <w:rPr>
                <w:sz w:val="20"/>
                <w:szCs w:val="20"/>
                <w:color w:val="auto"/>
              </w:rPr>
            </w:pPr>
            <w:r>
              <w:rPr>
                <w:rFonts w:ascii="Arial" w:cs="Arial" w:eastAsia="Arial" w:hAnsi="Arial"/>
                <w:sz w:val="15"/>
                <w:szCs w:val="15"/>
                <w:color w:val="auto"/>
              </w:rPr>
              <w:t>3.625% senior unsecured notes due 2031</w:t>
            </w:r>
            <w:r>
              <w:rPr>
                <w:rFonts w:ascii="Arial" w:cs="Arial" w:eastAsia="Arial" w:hAnsi="Arial"/>
                <w:sz w:val="24"/>
                <w:szCs w:val="24"/>
                <w:color w:val="auto"/>
                <w:vertAlign w:val="superscript"/>
              </w:rPr>
              <w:t>(1)</w:t>
            </w: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6"/>
              </w:rPr>
              <w:t>May 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center"/>
              <w:ind w:left="226"/>
              <w:spacing w:after="0"/>
              <w:rPr>
                <w:sz w:val="20"/>
                <w:szCs w:val="20"/>
                <w:color w:val="auto"/>
              </w:rPr>
            </w:pPr>
            <w:r>
              <w:rPr>
                <w:rFonts w:ascii="Arial" w:cs="Arial" w:eastAsia="Arial" w:hAnsi="Arial"/>
                <w:sz w:val="16"/>
                <w:szCs w:val="16"/>
                <w:color w:val="auto"/>
                <w:w w:val="89"/>
              </w:rPr>
              <w:t>November 1</w:t>
            </w:r>
          </w:p>
        </w:tc>
        <w:tc>
          <w:tcPr>
            <w:tcW w:w="32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1"/>
        </w:trPr>
        <w:tc>
          <w:tcPr>
            <w:tcW w:w="1700" w:type="dxa"/>
            <w:vAlign w:val="bottom"/>
          </w:tcPr>
          <w:p>
            <w:pPr>
              <w:spacing w:after="0"/>
              <w:rPr>
                <w:sz w:val="24"/>
                <w:szCs w:val="24"/>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3.250% senior unsecured notes due 2033</w:t>
            </w:r>
            <w:r>
              <w:rPr>
                <w:rFonts w:ascii="Arial" w:cs="Arial" w:eastAsia="Arial" w:hAnsi="Arial"/>
                <w:sz w:val="26"/>
                <w:szCs w:val="26"/>
                <w:color w:val="auto"/>
                <w:vertAlign w:val="superscript"/>
              </w:rPr>
              <w:t>(2)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0"/>
              </w:rPr>
              <w:t>February 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left="226"/>
              <w:spacing w:after="0"/>
              <w:rPr>
                <w:sz w:val="20"/>
                <w:szCs w:val="20"/>
                <w:color w:val="auto"/>
              </w:rPr>
            </w:pPr>
            <w:r>
              <w:rPr>
                <w:rFonts w:ascii="Arial" w:cs="Arial" w:eastAsia="Arial" w:hAnsi="Arial"/>
                <w:sz w:val="16"/>
                <w:szCs w:val="16"/>
                <w:color w:val="auto"/>
                <w:w w:val="91"/>
              </w:rPr>
              <w:t>August 15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9931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 w:lineRule="exact"/>
        <w:rPr>
          <w:sz w:val="20"/>
          <w:szCs w:val="20"/>
          <w:color w:val="auto"/>
        </w:rPr>
      </w:pPr>
    </w:p>
    <w:p>
      <w:pPr>
        <w:ind w:left="780" w:hanging="775"/>
        <w:spacing w:after="0"/>
        <w:tabs>
          <w:tab w:leader="none" w:pos="780" w:val="left"/>
        </w:tabs>
        <w:numPr>
          <w:ilvl w:val="0"/>
          <w:numId w:val="46"/>
        </w:numPr>
        <w:rPr>
          <w:rFonts w:ascii="Arial" w:cs="Arial" w:eastAsia="Arial" w:hAnsi="Arial"/>
          <w:sz w:val="12"/>
          <w:szCs w:val="12"/>
          <w:color w:val="auto"/>
        </w:rPr>
      </w:pPr>
      <w:r>
        <w:rPr>
          <w:rFonts w:ascii="Arial" w:cs="Arial" w:eastAsia="Arial" w:hAnsi="Arial"/>
          <w:sz w:val="14"/>
          <w:szCs w:val="14"/>
          <w:color w:val="auto"/>
        </w:rPr>
        <w:t>The first payment occurred on November 1, 2021.</w:t>
      </w:r>
    </w:p>
    <w:p>
      <w:pPr>
        <w:spacing w:after="0" w:line="23" w:lineRule="exact"/>
        <w:rPr>
          <w:rFonts w:ascii="Arial" w:cs="Arial" w:eastAsia="Arial" w:hAnsi="Arial"/>
          <w:sz w:val="12"/>
          <w:szCs w:val="12"/>
          <w:color w:val="auto"/>
        </w:rPr>
      </w:pPr>
    </w:p>
    <w:p>
      <w:pPr>
        <w:ind w:left="780" w:hanging="775"/>
        <w:spacing w:after="0"/>
        <w:tabs>
          <w:tab w:leader="none" w:pos="780" w:val="left"/>
        </w:tabs>
        <w:numPr>
          <w:ilvl w:val="0"/>
          <w:numId w:val="46"/>
        </w:numPr>
        <w:rPr>
          <w:rFonts w:ascii="Arial" w:cs="Arial" w:eastAsia="Arial" w:hAnsi="Arial"/>
          <w:sz w:val="12"/>
          <w:szCs w:val="12"/>
          <w:color w:val="auto"/>
        </w:rPr>
      </w:pPr>
      <w:r>
        <w:rPr>
          <w:rFonts w:ascii="Arial" w:cs="Arial" w:eastAsia="Arial" w:hAnsi="Arial"/>
          <w:sz w:val="14"/>
          <w:szCs w:val="14"/>
          <w:color w:val="auto"/>
        </w:rPr>
        <w:t>The first payment occuring on February 15, 2022.</w:t>
      </w:r>
    </w:p>
    <w:p>
      <w:pPr>
        <w:spacing w:after="0" w:line="266"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The fair market value of the Company’s debt obligations represent Level 2 valuations. The Company utilizes the market approach and obtains security pricing from a vendor who uses broker quotes and third-party pricing services to determine fair values.</w:t>
      </w:r>
    </w:p>
    <w:p>
      <w:pPr>
        <w:spacing w:after="0" w:line="181"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The $1,000.0 million aggregate principal amount of 4.000% senior unsecured notes due 2029 (the “2029 Senior Notes”) are scheduled to mature and be paid in full on November 15, 2029. At any time prior to November 15, 2024, the Company may redeem all or part of the 2029 Senior Notes at a redemption price equal to the sum of (i) 100% of the principal amount thereof, plus (ii) a make-whole premium as of the date of redemption, plus (iii) accrued and unpaid interest and additional interest, if any, thereon, to the date of redemption. In addition, the Company may redeem all or part of the 2029 Senior Notes, together with accrued and unpaid interest, on or after November 15, 2024, at redemption prices set forth in the indenture governing the 2029 Senior Notes. At any time prior to November 15, 2022, the Company may use the proceeds of certain equity offerings to redeem up to 35% of the aggregate principal amount of the 2029 Senior Notes, including any permitted additional notes, at a redemption price equal to 104.000% of the principal amount plus accrued and unpaid interest, if any, to the redemption date, so long as at least 50% of the aggregate principal amount of all notes (excluding any additional notes, if any) issued under the indenture governing the 2029 Senior Notes remain outstanding after each such redemption occurs.</w:t>
      </w:r>
    </w:p>
    <w:p>
      <w:pPr>
        <w:spacing w:after="0" w:line="171"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The $1,000.0 million aggregate principal amount of 3.875% senior unsecured notes due 2031 (the “2031A Senior Notes”) are scheduled to mature and be paid in full on February 15, 2031. At any time prior to June 1, 2025, the Company may redeem all or part of the 2031A Senior Notes at a redemption price equal to the sum of (i) 100% of the principal amount thereof, plus (ii) a make-whole premium as of the date of redemption, plus (iii) accrued and unpaid interest, if any, to, but excluding, the redemption date. In addition, the Company may redeem all or part of the 2031A Senior Notes, together with accrued and unpaid interest, on or after June 1, 2025, at redemption prices set forth in the indenture governing the 2031A Senior Notes. At any time prior to June 1, 2023, the Company may use the proceeds of certain equity offerings to redeem up to 35% of the aggregate principal amount of the 2031A Senior Notes, including any permitted additional notes, at a redemption price equal to 103.875% of the principal amount plus accrued and unpaid interest, if any, to, but excluding, the redemption date, so long as at least 50% of the aggregate principal amount of all notes (excluding any additional notes, if any) issued under the indenture governing the 2031A Senior Notes remain outstanding after each such redemption occurs.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81" w:name="page82"/>
    <w:bookmarkEnd w:id="81"/>
    <w:p>
      <w:pPr>
        <w:ind w:right="40" w:firstLine="589"/>
        <w:spacing w:after="0" w:line="279" w:lineRule="auto"/>
        <w:rPr>
          <w:sz w:val="20"/>
          <w:szCs w:val="20"/>
          <w:color w:val="auto"/>
        </w:rPr>
      </w:pPr>
      <w:r>
        <w:rPr>
          <w:rFonts w:ascii="Arial" w:cs="Arial" w:eastAsia="Arial" w:hAnsi="Arial"/>
          <w:sz w:val="16"/>
          <w:szCs w:val="16"/>
          <w:color w:val="auto"/>
        </w:rPr>
        <w:t>On March 26, 2021, the Company issued $500.0 million aggregate principal amount of 3.625% senior unsecured notes due 2030 (the “Additional 2030 Senior Notes”) in a private offering that was exempt from the registration requirements of the Securities Act. The Additional 2030 Senior Notes constitute a further issuance of, are fully fungible with, rank equally with and form a single series with the $400.0 million aggregate principal amount of the 3.625% senior unsecured notes due 2030 issued by the Company on March 4, 2020 (the “Initial 2030 Senior Notes,” and together with the Additional 2030 Senior Notes, the “2030 Senior Notes”). In connection with the completion of the offering of the Additional 2030 Senior Notes, the Company announced that it intended to use a portion of the net proceeds from the offering, together with available cash, for the pre-maturity redemption of all $500.0 million aggregate principal amount outstanding of its 4.750% senior unsecured notes due 2026 (the “2026 Senior Notes”). On April 12, 2021 the Company completed the pre-maturity redemption of all of its 2026 Senior Notes. The pre-maturity redemption of the 2026 Senior Notes resulted in an approximately $21.8 million loss on extinguishment that was recorded in other expense (income), which includes an applicable premium of approximately $18.2 million (as set forth in the indenture governing the terms of the 2026 Senior Notes) and the write-off of approximately $3.6 million of unamortized debt issuance costs associated with the 2026 Senior Notes.</w:t>
      </w:r>
    </w:p>
    <w:p>
      <w:pPr>
        <w:spacing w:after="0" w:line="174" w:lineRule="exact"/>
        <w:rPr>
          <w:sz w:val="20"/>
          <w:szCs w:val="20"/>
          <w:color w:val="auto"/>
        </w:rPr>
      </w:pPr>
    </w:p>
    <w:p>
      <w:pPr>
        <w:ind w:right="60" w:firstLine="589"/>
        <w:spacing w:after="0" w:line="280" w:lineRule="auto"/>
        <w:rPr>
          <w:sz w:val="20"/>
          <w:szCs w:val="20"/>
          <w:color w:val="auto"/>
        </w:rPr>
      </w:pPr>
      <w:r>
        <w:rPr>
          <w:rFonts w:ascii="Arial" w:cs="Arial" w:eastAsia="Arial" w:hAnsi="Arial"/>
          <w:sz w:val="16"/>
          <w:szCs w:val="16"/>
          <w:color w:val="auto"/>
        </w:rPr>
        <w:t>The 2030 Senior Notes are scheduled to mature and be paid in full on September 1, 2030. At any time prior to March 1, 2025, the Company may redeem all or part of the 2030 Senior Notes at a redemption price equal to the sum of (i) 100% of the principal amount thereof, plus (ii) a make-whole premium as of the date of redemption, plus (iii) accrued and unpaid interest and additional interest, if any, thereon, to the date of redemption. In addition, the Company may redeem all or part of the 2030 Senior Notes, together with accrued and unpaid interest, on or after March 1, 2025, at redemption prices set forth in the indenture governing the 2030 Senior Notes. At any time prior to March 1, 2023, the Company may use the proceeds of certain equity offerings to redeem up to 35% of the aggregate principal amount of the 2030 Senior Notes, including any permitted additional notes, at a redemption price equal to 103.625% of the principal amount plus accrued and unpaid interest, if any, to the redemption date, so long as at least 50% of the aggregate principal amount of the Initial 2030 Senior Notes (excluding the Additional 2030 Senior Notes and any additional notes, if any) issued under the indenture governing the 2030 Senior Notes remain outstanding after each such redemption occurs.</w:t>
      </w:r>
    </w:p>
    <w:p>
      <w:pPr>
        <w:spacing w:after="0" w:line="171" w:lineRule="exact"/>
        <w:rPr>
          <w:sz w:val="20"/>
          <w:szCs w:val="20"/>
          <w:color w:val="auto"/>
        </w:rPr>
      </w:pPr>
    </w:p>
    <w:p>
      <w:pPr>
        <w:ind w:firstLine="589"/>
        <w:spacing w:after="0" w:line="279" w:lineRule="auto"/>
        <w:rPr>
          <w:sz w:val="20"/>
          <w:szCs w:val="20"/>
          <w:color w:val="auto"/>
        </w:rPr>
      </w:pPr>
      <w:r>
        <w:rPr>
          <w:rFonts w:ascii="Arial" w:cs="Arial" w:eastAsia="Arial" w:hAnsi="Arial"/>
          <w:sz w:val="16"/>
          <w:szCs w:val="16"/>
          <w:color w:val="auto"/>
        </w:rPr>
        <w:t>On May 14, 2021, the Company issued $600.0 million aggregate principal amount of 3.625% Senior Unsecured Notes due 2031 (the “2031B Senior Notes”) in a private offering that was exempt from the registration requirements of the Securities Act. The 2031B Senior Notes are scheduled to mature and be paid in full on November 1, 2031. At any time prior to November 1, 2026, the Company may redeem all or part of the 2031B Senior Notes at a redemption price equal to the sum of (i) 100% of the principal amount thereof, plus (ii) a make-whole premium as of the date of redemption, plus (iii) accrued and unpaid interest, if any, thereon, to the date of redemption. In addition, the Company may redeem all or part of the 2031B Senior Notes, together with accrued and unpaid interest, on or after November 1, 2026, at redemption prices set forth in the indenture governing the 2031B Senior Notes. At any time prior to November 1, 2024, the Company may use the proceeds of certain equity offerings to redeem up to 35% of the aggregate principal amount of the 2031B Senior Notes, including any permitted additional notes, at a redemption price equal to 103.625% of the principal amount plus accrued and unpaid interest, if any, to the redemption date, so long as at least 50% of the aggregate principal amount of all notes (excluding any additional notes, if any) issued under the indenture governing the 2031B Senior Notes remain outstanding after each such redemption occurs.</w:t>
      </w:r>
    </w:p>
    <w:p>
      <w:pPr>
        <w:spacing w:after="0" w:line="174" w:lineRule="exact"/>
        <w:rPr>
          <w:sz w:val="20"/>
          <w:szCs w:val="20"/>
          <w:color w:val="auto"/>
        </w:rPr>
      </w:pPr>
    </w:p>
    <w:p>
      <w:pPr>
        <w:ind w:right="40" w:firstLine="589"/>
        <w:spacing w:after="0" w:line="246" w:lineRule="auto"/>
        <w:rPr>
          <w:sz w:val="20"/>
          <w:szCs w:val="20"/>
          <w:color w:val="auto"/>
        </w:rPr>
      </w:pPr>
      <w:r>
        <w:rPr>
          <w:rFonts w:ascii="Arial" w:cs="Arial" w:eastAsia="Arial" w:hAnsi="Arial"/>
          <w:sz w:val="18"/>
          <w:szCs w:val="18"/>
          <w:color w:val="auto"/>
        </w:rPr>
        <w:t>On August 17, 2021, the Company issued $700.0 million aggregate principal amount of 3.250% Senior Unsecured Notes due 2033 (the “2033 Senior Notes”) in a private offering that was exempt from the registration requirements of the Securities Act. In connection with the completion of the offering, the Company announced that it intended to use a portion of the net proceeds from the offering for the pre-maturity redemption of all $500.0 million aggregate principal amount outstanding of its 5.375% senior unsecured notes due 2027 (the “2027 Senior Notes”). On September 2, 2021 the Company completed the pre-maturity redemption of all of its 2027 Senior Notes. The pre-maturity redemption of the 2027 Senior Notes resulted in an approximately $37.3 million loss on extinguishment that was recorded in other expense (income), which includes an applicable premium of approximately $33.6 million (as set forth in the indenture governing the terms of the 2027 Senior Notes) and the write-off of approximately $3.7 million of unamortized debt issuance costs associated with the 2027 Senior Notes.</w:t>
      </w:r>
    </w:p>
    <w:p>
      <w:pPr>
        <w:spacing w:after="0" w:line="195" w:lineRule="exact"/>
        <w:rPr>
          <w:sz w:val="20"/>
          <w:szCs w:val="20"/>
          <w:color w:val="auto"/>
        </w:rPr>
      </w:pPr>
    </w:p>
    <w:p>
      <w:pPr>
        <w:ind w:right="60" w:firstLine="589"/>
        <w:spacing w:after="0" w:line="299" w:lineRule="auto"/>
        <w:rPr>
          <w:sz w:val="20"/>
          <w:szCs w:val="20"/>
          <w:color w:val="auto"/>
        </w:rPr>
      </w:pPr>
      <w:r>
        <w:rPr>
          <w:rFonts w:ascii="Arial" w:cs="Arial" w:eastAsia="Arial" w:hAnsi="Arial"/>
          <w:sz w:val="16"/>
          <w:szCs w:val="16"/>
          <w:color w:val="auto"/>
        </w:rPr>
        <w:t>The 2033 Senior Notes are scheduled to mature and be paid in full on August 15, 2033. At any time prior to August 15, 2027, the Company may redeem all or part of the 2033 Senior Notes at a redemption price equal to the sum of (i) 100% of the principal amount thereof, plus (ii) a make-whole premium as of the date of redemption, plus (iii) accrued and unpaid interest and additional interest, if any, thereon, to the date of redemption. In addition,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2" w:name="page83"/>
    <w:bookmarkEnd w:id="82"/>
    <w:p>
      <w:pPr>
        <w:ind w:right="80"/>
        <w:spacing w:after="0" w:line="279" w:lineRule="auto"/>
        <w:rPr>
          <w:sz w:val="20"/>
          <w:szCs w:val="20"/>
          <w:color w:val="auto"/>
        </w:rPr>
      </w:pPr>
      <w:r>
        <w:rPr>
          <w:rFonts w:ascii="Arial" w:cs="Arial" w:eastAsia="Arial" w:hAnsi="Arial"/>
          <w:sz w:val="16"/>
          <w:szCs w:val="16"/>
          <w:color w:val="auto"/>
        </w:rPr>
        <w:t>Company may redeem all or part of the 2033 Senior Notes, together with accrued and unpaid interest, on or after August 15, 2027, at redemption prices set forth in the indenture governing the 2033 Senior Notes. At any time prior to August 15, 2024, the Company may use the proceeds of certain equity offerings to redeem up to 35% of the aggregate principal amount of the 2033 Senior Notes, including any permitted additional notes, at a redemption price equal to</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103.250% of the principal amount plus accrued and unpaid interest, if any, to the redemption date, so long as at least 50% of the aggregate principal amount of all notes (excluding any additional notes, if any) issued under the indenture governing the 2033 Senior Notes remain outstanding after each such redemption occurs.</w:t>
      </w:r>
    </w:p>
    <w:p>
      <w:pPr>
        <w:spacing w:after="0" w:line="195"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b w:val="1"/>
          <w:bCs w:val="1"/>
          <w:i w:val="1"/>
          <w:iCs w:val="1"/>
          <w:color w:val="auto"/>
        </w:rPr>
        <w:t xml:space="preserve">Revolver. </w:t>
      </w:r>
      <w:r>
        <w:rPr>
          <w:rFonts w:ascii="Arial" w:cs="Arial" w:eastAsia="Arial" w:hAnsi="Arial"/>
          <w:sz w:val="16"/>
          <w:szCs w:val="16"/>
          <w:color w:val="auto"/>
        </w:rPr>
        <w:t>Since November 20, 2014, the Company has maintained a revolving credit agreement with a syndicate of banks (as amended, the “Revolving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Agreement”). On March 29, 2021, the Company entered into Amendment No. 4 (the “Fourth Amendment”) to the Revolving Credit Agreement. The Fourth Amendment, among other things, (i) increased aggregate commitments available to be borrowed by $100.0 million to an aggregate of $500.0 million of availability thereunder until November 2024, at which point the aggregate commitments will be $467.5 million, and (ii) extended the term to March 2026. At December 31, 2021, the Revolving Credit Agreement was undrawn.</w:t>
      </w:r>
    </w:p>
    <w:p>
      <w:pPr>
        <w:spacing w:after="0" w:line="166" w:lineRule="exact"/>
        <w:rPr>
          <w:sz w:val="20"/>
          <w:szCs w:val="20"/>
          <w:color w:val="auto"/>
        </w:rPr>
      </w:pPr>
    </w:p>
    <w:p>
      <w:pPr>
        <w:ind w:right="340" w:firstLine="589"/>
        <w:spacing w:after="0" w:line="248" w:lineRule="auto"/>
        <w:rPr>
          <w:sz w:val="20"/>
          <w:szCs w:val="20"/>
          <w:color w:val="auto"/>
        </w:rPr>
      </w:pPr>
      <w:r>
        <w:rPr>
          <w:rFonts w:ascii="Arial" w:cs="Arial" w:eastAsia="Arial" w:hAnsi="Arial"/>
          <w:sz w:val="18"/>
          <w:szCs w:val="18"/>
          <w:color w:val="auto"/>
        </w:rPr>
        <w:t>In connection with the closings of the Senior Notes offerings, entry into the Revolving Credit Agreement and the subsequent amendments, the Company paid certain financing fees which, together with the existing fees related to prior credit facilities, are being amortized over their related lives. At December 31, 2021, $40.6 million of the deferred financing fees and premium remain unamortized, $0.5 million of which is included in “Prepaid and other assets,” $1.5 million of which is included in “Other non-current assets” and $38.6 million of which is included in “Long-term debt” on the Consolidated Statement of Financial Condition.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14" w:lineRule="exact"/>
        <w:rPr>
          <w:sz w:val="20"/>
          <w:szCs w:val="20"/>
          <w:color w:val="auto"/>
        </w:rPr>
      </w:pPr>
    </w:p>
    <w:p>
      <w:pPr>
        <w:ind w:right="40" w:firstLine="589"/>
        <w:spacing w:after="0" w:line="252" w:lineRule="auto"/>
        <w:rPr>
          <w:sz w:val="20"/>
          <w:szCs w:val="20"/>
          <w:color w:val="auto"/>
        </w:rPr>
      </w:pPr>
      <w:r>
        <w:rPr>
          <w:rFonts w:ascii="Arial" w:cs="Arial" w:eastAsia="Arial" w:hAnsi="Arial"/>
          <w:sz w:val="18"/>
          <w:szCs w:val="18"/>
          <w:color w:val="auto"/>
        </w:rPr>
        <w:t>The Company recognized $30.6 million, $32.8 million and $35.6 million of operating lease expenses for the years ended December 31, 2021, 2020 and 2019, respectively. The amounts associated with variable lease costs, short-term lease costs and sublease income were not material for any of the years ended December 31, 2021, 2020 and 2019.</w:t>
      </w:r>
    </w:p>
    <w:p>
      <w:pPr>
        <w:spacing w:after="0" w:line="84"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The Company’s leases have remaining lease terms of up to approximately 11 years. Some of these leases have options to extend which, if exercised, would extend the maximum term to approximately 25 years. Some of the leases also provide for early termination, the exercise of which would shorten the term of those leases by up to 5 years.</w:t>
      </w:r>
    </w:p>
    <w:p>
      <w:pPr>
        <w:spacing w:after="0" w:line="84" w:lineRule="exact"/>
        <w:rPr>
          <w:sz w:val="20"/>
          <w:szCs w:val="20"/>
          <w:color w:val="auto"/>
        </w:rPr>
      </w:pPr>
    </w:p>
    <w:p>
      <w:pPr>
        <w:ind w:right="420" w:firstLine="589"/>
        <w:spacing w:after="0" w:line="324" w:lineRule="auto"/>
        <w:rPr>
          <w:sz w:val="20"/>
          <w:szCs w:val="20"/>
          <w:color w:val="auto"/>
        </w:rPr>
      </w:pPr>
      <w:r>
        <w:rPr>
          <w:rFonts w:ascii="Arial" w:cs="Arial" w:eastAsia="Arial" w:hAnsi="Arial"/>
          <w:sz w:val="16"/>
          <w:szCs w:val="16"/>
          <w:color w:val="auto"/>
        </w:rPr>
        <w:t>The Company recorded pre-tax impairment charges for the year ended December 31, 2021 of $8.4 million associated with right of use assets. The impairment charges are included in General and administrative expenses within the consolidated statements of income.</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Future minimum commitments for the Company’s operating leases in place as of December 31, 2021, the interest and other relevant line items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Financial Condition are as follows:</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Maturity of Lease Liabilities</w:t>
            </w:r>
          </w:p>
        </w:tc>
        <w:tc>
          <w:tcPr>
            <w:tcW w:w="1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Operating</w:t>
            </w:r>
          </w:p>
        </w:tc>
      </w:tr>
      <w:tr>
        <w:trPr>
          <w:trHeight w:val="167"/>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Leases</w:t>
            </w:r>
          </w:p>
        </w:tc>
      </w:tr>
      <w:tr>
        <w:trPr>
          <w:trHeight w:val="203"/>
        </w:trPr>
        <w:tc>
          <w:tcPr>
            <w:tcW w:w="54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2022</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28,271</w:t>
            </w:r>
          </w:p>
        </w:tc>
        <w:tc>
          <w:tcPr>
            <w:tcW w:w="80" w:type="dxa"/>
            <w:vAlign w:val="bottom"/>
            <w:tcBorders>
              <w:top w:val="single" w:sz="8" w:color="CFF0FC"/>
            </w:tcBorders>
            <w:shd w:val="clear" w:color="auto" w:fill="CFF0FC"/>
          </w:tcPr>
          <w:p>
            <w:pPr>
              <w:spacing w:after="0"/>
              <w:rPr>
                <w:sz w:val="17"/>
                <w:szCs w:val="17"/>
                <w:color w:val="auto"/>
              </w:rPr>
            </w:pPr>
          </w:p>
        </w:tc>
      </w:tr>
      <w:tr>
        <w:trPr>
          <w:trHeight w:val="207"/>
        </w:trPr>
        <w:tc>
          <w:tcPr>
            <w:tcW w:w="5400" w:type="dxa"/>
            <w:vAlign w:val="bottom"/>
          </w:tcPr>
          <w:p>
            <w:pPr>
              <w:ind w:left="1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29,427</w:t>
            </w:r>
          </w:p>
        </w:tc>
        <w:tc>
          <w:tcPr>
            <w:tcW w:w="80" w:type="dxa"/>
            <w:vAlign w:val="bottom"/>
          </w:tcPr>
          <w:p>
            <w:pPr>
              <w:spacing w:after="0"/>
              <w:rPr>
                <w:sz w:val="18"/>
                <w:szCs w:val="18"/>
                <w:color w:val="auto"/>
              </w:rPr>
            </w:pPr>
          </w:p>
        </w:tc>
      </w:tr>
      <w:tr>
        <w:trPr>
          <w:trHeight w:val="214"/>
        </w:trPr>
        <w:tc>
          <w:tcPr>
            <w:tcW w:w="5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23,924</w:t>
            </w:r>
          </w:p>
        </w:tc>
        <w:tc>
          <w:tcPr>
            <w:tcW w:w="80" w:type="dxa"/>
            <w:vAlign w:val="bottom"/>
            <w:shd w:val="clear" w:color="auto" w:fill="CFF0FC"/>
          </w:tcPr>
          <w:p>
            <w:pPr>
              <w:spacing w:after="0"/>
              <w:rPr>
                <w:sz w:val="18"/>
                <w:szCs w:val="18"/>
                <w:color w:val="auto"/>
              </w:rPr>
            </w:pPr>
          </w:p>
        </w:tc>
      </w:tr>
      <w:tr>
        <w:trPr>
          <w:trHeight w:val="207"/>
        </w:trPr>
        <w:tc>
          <w:tcPr>
            <w:tcW w:w="5400" w:type="dxa"/>
            <w:vAlign w:val="bottom"/>
          </w:tcPr>
          <w:p>
            <w:pPr>
              <w:ind w:left="1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22,717</w:t>
            </w:r>
          </w:p>
        </w:tc>
        <w:tc>
          <w:tcPr>
            <w:tcW w:w="80" w:type="dxa"/>
            <w:vAlign w:val="bottom"/>
          </w:tcPr>
          <w:p>
            <w:pPr>
              <w:spacing w:after="0"/>
              <w:rPr>
                <w:sz w:val="18"/>
                <w:szCs w:val="18"/>
                <w:color w:val="auto"/>
              </w:rPr>
            </w:pPr>
          </w:p>
        </w:tc>
      </w:tr>
      <w:tr>
        <w:trPr>
          <w:trHeight w:val="214"/>
        </w:trPr>
        <w:tc>
          <w:tcPr>
            <w:tcW w:w="5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20,447</w:t>
            </w:r>
          </w:p>
        </w:tc>
        <w:tc>
          <w:tcPr>
            <w:tcW w:w="80" w:type="dxa"/>
            <w:vAlign w:val="bottom"/>
            <w:shd w:val="clear" w:color="auto" w:fill="CFF0FC"/>
          </w:tcPr>
          <w:p>
            <w:pPr>
              <w:spacing w:after="0"/>
              <w:rPr>
                <w:sz w:val="18"/>
                <w:szCs w:val="18"/>
                <w:color w:val="auto"/>
              </w:rPr>
            </w:pPr>
          </w:p>
        </w:tc>
      </w:tr>
      <w:tr>
        <w:trPr>
          <w:trHeight w:val="207"/>
        </w:trPr>
        <w:tc>
          <w:tcPr>
            <w:tcW w:w="55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73,539</w:t>
            </w:r>
          </w:p>
        </w:tc>
        <w:tc>
          <w:tcPr>
            <w:tcW w:w="80" w:type="dxa"/>
            <w:vAlign w:val="bottom"/>
            <w:tcBorders>
              <w:bottom w:val="single" w:sz="8" w:color="CFF0FC"/>
            </w:tcBorders>
          </w:tcPr>
          <w:p>
            <w:pPr>
              <w:spacing w:after="0"/>
              <w:rPr>
                <w:sz w:val="18"/>
                <w:szCs w:val="18"/>
                <w:color w:val="auto"/>
              </w:rPr>
            </w:pPr>
          </w:p>
        </w:tc>
      </w:tr>
      <w:tr>
        <w:trPr>
          <w:trHeight w:val="207"/>
        </w:trPr>
        <w:tc>
          <w:tcPr>
            <w:tcW w:w="5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lease payments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198,325</w:t>
            </w:r>
          </w:p>
        </w:tc>
        <w:tc>
          <w:tcPr>
            <w:tcW w:w="80" w:type="dxa"/>
            <w:vAlign w:val="bottom"/>
            <w:shd w:val="clear" w:color="auto" w:fill="CFF0FC"/>
          </w:tcPr>
          <w:p>
            <w:pPr>
              <w:spacing w:after="0"/>
              <w:rPr>
                <w:sz w:val="17"/>
                <w:szCs w:val="17"/>
                <w:color w:val="auto"/>
              </w:rPr>
            </w:pPr>
          </w:p>
        </w:tc>
      </w:tr>
      <w:tr>
        <w:trPr>
          <w:trHeight w:val="207"/>
        </w:trPr>
        <w:tc>
          <w:tcPr>
            <w:tcW w:w="5520" w:type="dxa"/>
            <w:vAlign w:val="bottom"/>
            <w:gridSpan w:val="2"/>
          </w:tcPr>
          <w:p>
            <w:pPr>
              <w:ind w:left="120"/>
              <w:spacing w:after="0"/>
              <w:rPr>
                <w:sz w:val="20"/>
                <w:szCs w:val="20"/>
                <w:color w:val="auto"/>
              </w:rPr>
            </w:pPr>
            <w:r>
              <w:rPr>
                <w:rFonts w:ascii="Arial" w:cs="Arial" w:eastAsia="Arial" w:hAnsi="Arial"/>
                <w:sz w:val="16"/>
                <w:szCs w:val="16"/>
                <w:color w:val="auto"/>
              </w:rPr>
              <w:t>Less: Interest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(24,972)</w:t>
            </w:r>
          </w:p>
        </w:tc>
      </w:tr>
      <w:tr>
        <w:trPr>
          <w:trHeight w:val="203"/>
        </w:trPr>
        <w:tc>
          <w:tcPr>
            <w:tcW w:w="552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173,353</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55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Other accrued liabilities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23,324</w:t>
            </w:r>
          </w:p>
        </w:tc>
        <w:tc>
          <w:tcPr>
            <w:tcW w:w="80" w:type="dxa"/>
            <w:vAlign w:val="bottom"/>
            <w:shd w:val="clear" w:color="auto" w:fill="CFF0FC"/>
          </w:tcPr>
          <w:p>
            <w:pPr>
              <w:spacing w:after="0"/>
              <w:rPr>
                <w:sz w:val="18"/>
                <w:szCs w:val="18"/>
                <w:color w:val="auto"/>
              </w:rPr>
            </w:pPr>
          </w:p>
        </w:tc>
      </w:tr>
      <w:tr>
        <w:trPr>
          <w:trHeight w:val="204"/>
        </w:trPr>
        <w:tc>
          <w:tcPr>
            <w:tcW w:w="5520" w:type="dxa"/>
            <w:vAlign w:val="bottom"/>
            <w:gridSpan w:val="2"/>
          </w:tcPr>
          <w:p>
            <w:pPr>
              <w:ind w:left="12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150,029</w:t>
            </w:r>
          </w:p>
        </w:tc>
        <w:tc>
          <w:tcPr>
            <w:tcW w:w="80" w:type="dxa"/>
            <w:vAlign w:val="bottom"/>
          </w:tcPr>
          <w:p>
            <w:pPr>
              <w:spacing w:after="0"/>
              <w:rPr>
                <w:sz w:val="17"/>
                <w:szCs w:val="17"/>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3" w:name="page84"/>
    <w:bookmarkEnd w:id="83"/>
    <w:p>
      <w:pPr>
        <w:ind w:left="600"/>
        <w:spacing w:after="0"/>
        <w:rPr>
          <w:sz w:val="20"/>
          <w:szCs w:val="20"/>
          <w:color w:val="auto"/>
        </w:rPr>
      </w:pPr>
      <w:r>
        <w:rPr>
          <w:rFonts w:ascii="Arial" w:cs="Arial" w:eastAsia="Arial" w:hAnsi="Arial"/>
          <w:sz w:val="15"/>
          <w:szCs w:val="15"/>
          <w:color w:val="auto"/>
        </w:rPr>
        <w:t>The following table presents the lease term and discount rate for the Company’s operating leases in place as of the periods indicated:</w:t>
      </w:r>
    </w:p>
    <w:p>
      <w:pPr>
        <w:sectPr>
          <w:pgSz w:w="11900" w:h="16838" w:orient="portrait"/>
          <w:cols w:equalWidth="0" w:num="1">
            <w:col w:w="11240"/>
          </w:cols>
          <w:pgMar w:left="320" w:top="66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3810</wp:posOffset>
            </wp:positionV>
            <wp:extent cx="4991100" cy="141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91100" cy="141605"/>
                    </a:xfrm>
                    <a:prstGeom prst="rect">
                      <a:avLst/>
                    </a:prstGeom>
                    <a:noFill/>
                  </pic:spPr>
                </pic:pic>
              </a:graphicData>
            </a:graphic>
          </wp:anchor>
        </w:drawing>
      </w:r>
    </w:p>
    <w:p>
      <w:pPr>
        <w:spacing w:after="0" w:line="2"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Weighted-average remaining lease term (years)</w:t>
      </w:r>
    </w:p>
    <w:p>
      <w:pPr>
        <w:spacing w:after="0" w:line="4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Weighted-average discount rate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527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3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r>
      <w:tr>
        <w:trPr>
          <w:trHeight w:val="216"/>
        </w:trPr>
        <w:tc>
          <w:tcPr>
            <w:tcW w:w="106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r>
      <w:tr>
        <w:trPr>
          <w:trHeight w:val="202"/>
        </w:trPr>
        <w:tc>
          <w:tcPr>
            <w:tcW w:w="1060" w:type="dxa"/>
            <w:vAlign w:val="bottom"/>
          </w:tcPr>
          <w:p>
            <w:pPr>
              <w:ind w:left="760"/>
              <w:spacing w:after="0"/>
              <w:rPr>
                <w:sz w:val="20"/>
                <w:szCs w:val="20"/>
                <w:color w:val="auto"/>
              </w:rPr>
            </w:pPr>
            <w:r>
              <w:rPr>
                <w:rFonts w:ascii="Arial" w:cs="Arial" w:eastAsia="Arial" w:hAnsi="Arial"/>
                <w:sz w:val="16"/>
                <w:szCs w:val="16"/>
                <w:color w:val="auto"/>
                <w:w w:val="89"/>
              </w:rPr>
              <w:t>8.16</w:t>
            </w:r>
          </w:p>
        </w:tc>
        <w:tc>
          <w:tcPr>
            <w:tcW w:w="140" w:type="dxa"/>
            <w:vAlign w:val="bottom"/>
          </w:tcPr>
          <w:p>
            <w:pPr>
              <w:spacing w:after="0"/>
              <w:rPr>
                <w:sz w:val="17"/>
                <w:szCs w:val="17"/>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w w:val="89"/>
              </w:rPr>
              <w:t>8.93</w:t>
            </w:r>
          </w:p>
        </w:tc>
        <w:tc>
          <w:tcPr>
            <w:tcW w:w="120" w:type="dxa"/>
            <w:vAlign w:val="bottom"/>
          </w:tcPr>
          <w:p>
            <w:pPr>
              <w:spacing w:after="0"/>
              <w:rPr>
                <w:sz w:val="17"/>
                <w:szCs w:val="17"/>
                <w:color w:val="auto"/>
              </w:rPr>
            </w:pPr>
          </w:p>
        </w:tc>
      </w:tr>
      <w:tr>
        <w:trPr>
          <w:trHeight w:val="210"/>
        </w:trPr>
        <w:tc>
          <w:tcPr>
            <w:tcW w:w="1200" w:type="dxa"/>
            <w:vAlign w:val="bottom"/>
            <w:gridSpan w:val="2"/>
          </w:tcPr>
          <w:p>
            <w:pPr>
              <w:ind w:left="760"/>
              <w:spacing w:after="0"/>
              <w:rPr>
                <w:sz w:val="20"/>
                <w:szCs w:val="20"/>
                <w:color w:val="auto"/>
              </w:rPr>
            </w:pPr>
            <w:r>
              <w:rPr>
                <w:rFonts w:ascii="Arial" w:cs="Arial" w:eastAsia="Arial" w:hAnsi="Arial"/>
                <w:sz w:val="16"/>
                <w:szCs w:val="16"/>
                <w:color w:val="auto"/>
                <w:w w:val="92"/>
              </w:rPr>
              <w:t>3.09%</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w w:val="88"/>
              </w:rPr>
              <w:t>3.34%</w:t>
            </w:r>
          </w:p>
        </w:tc>
      </w:tr>
    </w:tbl>
    <w:p>
      <w:pPr>
        <w:spacing w:after="0" w:line="200" w:lineRule="exact"/>
        <w:rPr>
          <w:sz w:val="20"/>
          <w:szCs w:val="20"/>
          <w:color w:val="auto"/>
        </w:rPr>
      </w:pPr>
    </w:p>
    <w:p>
      <w:pPr>
        <w:sectPr>
          <w:pgSz w:w="11900" w:h="16838" w:orient="portrait"/>
          <w:cols w:equalWidth="0" w:num="2">
            <w:col w:w="6300" w:space="720"/>
            <w:col w:w="4220"/>
          </w:cols>
          <w:pgMar w:left="320" w:top="666" w:right="339" w:bottom="1440" w:gutter="0" w:footer="0" w:header="0"/>
          <w:type w:val="continuous"/>
        </w:sectPr>
      </w:pPr>
    </w:p>
    <w:p>
      <w:pPr>
        <w:spacing w:after="0" w:line="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other information for the Company’s operating leases in place for the periods indicated:</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Years Ended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
        </w:trPr>
        <w:tc>
          <w:tcPr>
            <w:tcW w:w="5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9"/>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Other Information</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46"/>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46"/>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0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2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used for operating leases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30,972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30,061</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29,886</w:t>
            </w:r>
          </w:p>
        </w:tc>
        <w:tc>
          <w:tcPr>
            <w:tcW w:w="80" w:type="dxa"/>
            <w:vAlign w:val="bottom"/>
            <w:shd w:val="clear" w:color="auto" w:fill="CFF0FC"/>
          </w:tcPr>
          <w:p>
            <w:pPr>
              <w:spacing w:after="0"/>
              <w:rPr>
                <w:sz w:val="17"/>
                <w:szCs w:val="17"/>
                <w:color w:val="auto"/>
              </w:rPr>
            </w:pPr>
          </w:p>
        </w:tc>
      </w:tr>
      <w:tr>
        <w:trPr>
          <w:trHeight w:val="204"/>
        </w:trPr>
        <w:tc>
          <w:tcPr>
            <w:tcW w:w="5200" w:type="dxa"/>
            <w:vAlign w:val="bottom"/>
            <w:gridSpan w:val="2"/>
          </w:tcPr>
          <w:p>
            <w:pPr>
              <w:spacing w:after="0"/>
              <w:rPr>
                <w:sz w:val="20"/>
                <w:szCs w:val="20"/>
                <w:color w:val="auto"/>
              </w:rPr>
            </w:pPr>
            <w:r>
              <w:rPr>
                <w:rFonts w:ascii="Arial" w:cs="Arial" w:eastAsia="Arial" w:hAnsi="Arial"/>
                <w:sz w:val="16"/>
                <w:szCs w:val="16"/>
                <w:color w:val="auto"/>
                <w:w w:val="98"/>
              </w:rPr>
              <w:t>Right of use assets obtained in exchange for new operating lease liabilities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26,004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11,472</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210,784</w:t>
            </w:r>
          </w:p>
        </w:tc>
        <w:tc>
          <w:tcPr>
            <w:tcW w:w="80" w:type="dxa"/>
            <w:vAlign w:val="bottom"/>
          </w:tcPr>
          <w:p>
            <w:pPr>
              <w:spacing w:after="0"/>
              <w:rPr>
                <w:sz w:val="17"/>
                <w:szCs w:val="17"/>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EQUIPMENT AND LEASEHOLD IMPROVEMENTS, NET</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equipment and leasehold improvements, net at December 31, 2021 and 2020 consisted of the following:</w:t>
      </w:r>
    </w:p>
    <w:p>
      <w:pPr>
        <w:spacing w:after="0" w:line="282"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360"/>
              <w:spacing w:after="0" w:line="141"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156"/>
              <w:spacing w:after="0" w:line="141"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5"/>
          </w:tcPr>
          <w:p>
            <w:pPr>
              <w:jc w:val="right"/>
              <w:ind w:right="876"/>
              <w:spacing w:after="0" w:line="151"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Computer &amp; related equipment</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 to 5 years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179,557</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Furniture &amp; fixtures</w:t>
            </w: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7 years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 to 21 years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Subtotal</w:t>
            </w:r>
          </w:p>
        </w:tc>
        <w:tc>
          <w:tcPr>
            <w:tcW w:w="1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252,758</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261,595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(186,043)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(181,149)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Property, equipment and leasehold</w:t>
            </w:r>
          </w:p>
        </w:tc>
        <w:tc>
          <w:tcPr>
            <w:tcW w:w="1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improvements, net</w:t>
            </w:r>
          </w:p>
        </w:tc>
        <w:tc>
          <w:tcPr>
            <w:tcW w:w="13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66,715</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Depreciation and amortization expense of property, equipment and leasehold improvements was $28.9 million, $29.8 million and $30.0 million for the years ended December 31, 2021, 2020 and 2019, respectively.</w:t>
      </w:r>
    </w:p>
    <w:p>
      <w:pPr>
        <w:spacing w:after="0" w:line="359" w:lineRule="exact"/>
        <w:rPr>
          <w:sz w:val="20"/>
          <w:szCs w:val="20"/>
          <w:color w:val="auto"/>
        </w:rPr>
      </w:pPr>
    </w:p>
    <w:p>
      <w:pPr>
        <w:ind w:left="300" w:right="7320" w:hanging="295"/>
        <w:spacing w:after="0" w:line="369" w:lineRule="auto"/>
        <w:tabs>
          <w:tab w:leader="none" w:pos="181"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NET </w:t>
      </w:r>
      <w:r>
        <w:rPr>
          <w:rFonts w:ascii="Arial" w:cs="Arial" w:eastAsia="Arial" w:hAnsi="Arial"/>
          <w:sz w:val="18"/>
          <w:szCs w:val="18"/>
          <w:b w:val="1"/>
          <w:bCs w:val="1"/>
          <w:i w:val="1"/>
          <w:iCs w:val="1"/>
          <w:color w:val="auto"/>
        </w:rPr>
        <w:t>Goodwill</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goodwill by reportable segment: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Index</w:t>
            </w:r>
          </w:p>
        </w:tc>
        <w:tc>
          <w:tcPr>
            <w:tcW w:w="1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Analytics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ESG and Climate</w:t>
            </w:r>
          </w:p>
        </w:tc>
        <w:tc>
          <w:tcPr>
            <w:tcW w:w="240" w:type="dxa"/>
            <w:vAlign w:val="bottom"/>
            <w:vMerge w:val="restart"/>
          </w:tcPr>
          <w:p>
            <w:pPr>
              <w:spacing w:after="0"/>
              <w:rPr>
                <w:sz w:val="14"/>
                <w:szCs w:val="1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All Other - Private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 at December 31, 2019</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1,204,694</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290,976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20,586</w:t>
            </w:r>
          </w:p>
        </w:tc>
        <w:tc>
          <w:tcPr>
            <w:tcW w:w="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1,562,868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Foreign exchange translation adjustment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 at December 31, 2020</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1,205,758</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290,976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48,047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21,241</w:t>
            </w:r>
          </w:p>
        </w:tc>
        <w:tc>
          <w:tcPr>
            <w:tcW w:w="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1,566,022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670,874</w:t>
            </w:r>
          </w:p>
        </w:tc>
        <w:tc>
          <w:tcPr>
            <w:tcW w:w="80" w:type="dxa"/>
            <w:vAlign w:val="bottom"/>
          </w:tcPr>
          <w:p>
            <w:pPr>
              <w:spacing w:after="0"/>
              <w:rPr>
                <w:sz w:val="19"/>
                <w:szCs w:val="19"/>
                <w:color w:val="auto"/>
              </w:rPr>
            </w:pPr>
          </w:p>
        </w:tc>
        <w:tc>
          <w:tcPr>
            <w:tcW w:w="360" w:type="dxa"/>
            <w:vAlign w:val="bottom"/>
          </w:tcPr>
          <w:p>
            <w:pPr>
              <w:jc w:val="right"/>
              <w:ind w:right="76"/>
              <w:spacing w:after="0"/>
              <w:rPr>
                <w:sz w:val="20"/>
                <w:szCs w:val="20"/>
                <w:color w:val="auto"/>
              </w:rPr>
            </w:pPr>
            <w:r>
              <w:rPr>
                <w:rFonts w:ascii="Arial" w:cs="Arial" w:eastAsia="Arial" w:hAnsi="Arial"/>
                <w:sz w:val="15"/>
                <w:szCs w:val="15"/>
                <w:color w:val="auto"/>
                <w:w w:val="97"/>
              </w:rPr>
              <w:t>(1)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exchange translation adjustment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Goodwill at December 31, 2021</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vMerge w:val="continue"/>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1,205,443</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290,976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48,047</w:t>
            </w: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691,920</w:t>
            </w: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2,236,386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580" w:hanging="575"/>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8"/>
          <w:szCs w:val="18"/>
          <w:color w:val="auto"/>
        </w:rPr>
        <w:t>Reflects the impact of the acquisition of 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9931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84" w:name="page85"/>
    <w:bookmarkEnd w:id="84"/>
    <w:p>
      <w:pPr>
        <w:ind w:left="3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amount of amortization expense related to intangible assets by category for the periods indicated: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Years Ended</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6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r>
      <w:tr>
        <w:trPr>
          <w:trHeight w:val="141"/>
        </w:trPr>
        <w:tc>
          <w:tcPr>
            <w:tcW w:w="6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98"/>
              <w:spacing w:after="0" w:line="141" w:lineRule="exact"/>
              <w:rPr>
                <w:sz w:val="20"/>
                <w:szCs w:val="20"/>
                <w:color w:val="auto"/>
              </w:rPr>
            </w:pPr>
            <w:r>
              <w:rPr>
                <w:rFonts w:ascii="Arial" w:cs="Arial" w:eastAsia="Arial" w:hAnsi="Arial"/>
                <w:sz w:val="14"/>
                <w:szCs w:val="14"/>
                <w:b w:val="1"/>
                <w:bCs w:val="1"/>
                <w:color w:val="auto"/>
                <w:w w:val="98"/>
              </w:rPr>
              <w:t>December 31,</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98"/>
              <w:spacing w:after="0" w:line="141"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r>
      <w:tr>
        <w:trPr>
          <w:trHeight w:val="167"/>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17"/>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of acquired intangible assets</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42,242</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34,773</w:t>
            </w:r>
          </w:p>
        </w:tc>
        <w:tc>
          <w:tcPr>
            <w:tcW w:w="100" w:type="dxa"/>
            <w:vAlign w:val="bottom"/>
            <w:shd w:val="clear" w:color="auto" w:fill="CFF0FC"/>
          </w:tcPr>
          <w:p>
            <w:pPr>
              <w:spacing w:after="0"/>
              <w:rPr>
                <w:sz w:val="18"/>
                <w:szCs w:val="18"/>
                <w:color w:val="auto"/>
              </w:rPr>
            </w:pPr>
          </w:p>
        </w:tc>
      </w:tr>
      <w:tr>
        <w:trPr>
          <w:trHeight w:val="211"/>
        </w:trPr>
        <w:tc>
          <w:tcPr>
            <w:tcW w:w="6200" w:type="dxa"/>
            <w:vAlign w:val="bottom"/>
          </w:tcPr>
          <w:p>
            <w:pPr>
              <w:spacing w:after="0"/>
              <w:rPr>
                <w:sz w:val="20"/>
                <w:szCs w:val="20"/>
                <w:color w:val="auto"/>
              </w:rPr>
            </w:pPr>
            <w:r>
              <w:rPr>
                <w:rFonts w:ascii="Arial" w:cs="Arial" w:eastAsia="Arial" w:hAnsi="Arial"/>
                <w:sz w:val="18"/>
                <w:szCs w:val="18"/>
                <w:color w:val="auto"/>
              </w:rPr>
              <w:t>Amortization expense of internally developed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200" w:type="dxa"/>
            <w:vAlign w:val="bottom"/>
          </w:tcPr>
          <w:p>
            <w:pPr>
              <w:ind w:left="1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22,337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22,892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14,637</w:t>
            </w:r>
          </w:p>
        </w:tc>
        <w:tc>
          <w:tcPr>
            <w:tcW w:w="100" w:type="dxa"/>
            <w:vAlign w:val="bottom"/>
          </w:tcPr>
          <w:p>
            <w:pPr>
              <w:spacing w:after="0"/>
              <w:rPr>
                <w:sz w:val="19"/>
                <w:szCs w:val="19"/>
                <w:color w:val="auto"/>
              </w:rPr>
            </w:pPr>
          </w:p>
        </w:tc>
      </w:tr>
      <w:tr>
        <w:trPr>
          <w:trHeight w:val="224"/>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Write-off of internally developed capitalized software</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16,013</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Total amortization of intangible assets expense</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80,592</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56,941</w:t>
            </w:r>
          </w:p>
        </w:tc>
        <w:tc>
          <w:tcPr>
            <w:tcW w:w="3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49,410</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Following management’s decision to discontinue development and cease related sales activities of certain Analytics segment products and transition existing customers to other product offerings, the Company wrote off $16.0 million of certain internally developed capitalized software intangible assets (consisting of $46.3 million of gross intangible assets less $30.3 million of accumulated amortization) during the year ended December 31, 2021. The non-cash charge is recorded as a component of “Amortization of intangible assets” on the Consolidated Statement of Income.</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gross carrying and accumulated amortization amounts related to the Company’s intangible assets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6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54"/>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jc w:val="right"/>
              <w:ind w:right="674"/>
              <w:spacing w:after="0" w:line="151"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Gross intangible assets:</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8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13 to 21 years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532,400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356,700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Proprietary data</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11 to 13 years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Acquired technology and software</w:t>
            </w:r>
          </w:p>
        </w:tc>
        <w:tc>
          <w:tcPr>
            <w:tcW w:w="8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8 to 9 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209,220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177,720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Trademarks</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 to 21.5 years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207,300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Internally developed capitalized software</w:t>
            </w:r>
          </w:p>
        </w:tc>
        <w:tc>
          <w:tcPr>
            <w:tcW w:w="84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5"/>
              </w:rPr>
              <w:t>3 to 5 years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106,181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113,188</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Subtotal</w:t>
            </w:r>
          </w:p>
        </w:tc>
        <w:tc>
          <w:tcPr>
            <w:tcW w:w="8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1,276,630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883,535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Foreign exchange translation adjustment</w:t>
            </w: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(5,262)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 gross intangible assets</w:t>
            </w:r>
          </w:p>
        </w:tc>
        <w:tc>
          <w:tcPr>
            <w:tcW w:w="8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376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1,270,848</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878,273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1120"/>
              <w:spacing w:after="0"/>
              <w:rPr>
                <w:sz w:val="20"/>
                <w:szCs w:val="20"/>
                <w:color w:val="auto"/>
              </w:rPr>
            </w:pPr>
            <w:r>
              <w:rPr>
                <w:rFonts w:ascii="Arial" w:cs="Arial" w:eastAsia="Arial" w:hAnsi="Arial"/>
                <w:sz w:val="18"/>
                <w:szCs w:val="18"/>
                <w:color w:val="auto"/>
              </w:rPr>
              <w:t>Accumulated amortization:</w:t>
            </w: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Customer relationships</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(277,865)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(253,465)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Proprietary data</w:t>
            </w: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(22,678)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(15,730)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Acquired technology and software</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(175,718)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(174,032)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Trademarks</w:t>
            </w: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(152,468)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(143,207)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Internally developed capitalized software</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(49,394)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(57,464)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vMerge w:val="restart"/>
          </w:tcPr>
          <w:p>
            <w:pPr>
              <w:ind w:left="220"/>
              <w:spacing w:after="0"/>
              <w:rPr>
                <w:sz w:val="20"/>
                <w:szCs w:val="20"/>
                <w:color w:val="auto"/>
              </w:rPr>
            </w:pPr>
            <w:r>
              <w:rPr>
                <w:rFonts w:ascii="Arial" w:cs="Arial" w:eastAsia="Arial" w:hAnsi="Arial"/>
                <w:sz w:val="18"/>
                <w:szCs w:val="18"/>
                <w:color w:val="auto"/>
              </w:rPr>
              <w:t>Subtotal</w:t>
            </w: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(678,123)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(643,898)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exchange translation adjustment</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Total accumulated amortization</w:t>
            </w: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(677,507)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(643,525)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intangible assets:</w:t>
            </w:r>
          </w:p>
        </w:tc>
        <w:tc>
          <w:tcPr>
            <w:tcW w:w="8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254,535</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103,235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Proprietary data</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Acquired technology and software</w:t>
            </w: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Trademarks</w:t>
            </w:r>
          </w:p>
        </w:tc>
        <w:tc>
          <w:tcPr>
            <w:tcW w:w="8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Internally developed capitalized software</w:t>
            </w:r>
          </w:p>
        </w:tc>
        <w:tc>
          <w:tcPr>
            <w:tcW w:w="84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Subtotal</w:t>
            </w:r>
          </w:p>
        </w:tc>
        <w:tc>
          <w:tcPr>
            <w:tcW w:w="8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598,507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239,637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Foreign exchange translation adjustment</w:t>
            </w: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(4,889)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 net intangible assets</w:t>
            </w:r>
          </w:p>
        </w:tc>
        <w:tc>
          <w:tcPr>
            <w:tcW w:w="8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376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593,341</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234,748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82</w:t>
            </w:r>
          </w:p>
        </w:tc>
        <w:tc>
          <w:tcPr>
            <w:tcW w:w="1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85" w:name="page86"/>
    <w:bookmarkEnd w:id="85"/>
    <w:p>
      <w:pPr>
        <w:ind w:left="600"/>
        <w:spacing w:after="0"/>
        <w:rPr>
          <w:sz w:val="20"/>
          <w:szCs w:val="20"/>
          <w:color w:val="auto"/>
        </w:rPr>
      </w:pPr>
      <w:r>
        <w:rPr>
          <w:rFonts w:ascii="Arial" w:cs="Arial" w:eastAsia="Arial" w:hAnsi="Arial"/>
          <w:sz w:val="18"/>
          <w:szCs w:val="18"/>
          <w:color w:val="auto"/>
        </w:rPr>
        <w:t>Estimated amortization expense for succeeding years is presented below:</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67"/>
        </w:trPr>
        <w:tc>
          <w:tcPr>
            <w:tcW w:w="5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51"/>
        </w:trPr>
        <w:tc>
          <w:tcPr>
            <w:tcW w:w="5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38"/>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BENEFITS</w:t>
      </w:r>
    </w:p>
    <w:p>
      <w:pPr>
        <w:spacing w:after="0" w:line="114"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Company sponsors a 401(k) plan for eligible U.S. employees and defined contribution and defined benefit pension plans that cover substantially all of its non-U.S. employees. Eligible employees may participate in the MSCI 401(k) plan (or any other regional defined contribution plan sponsored by MSCI) immediately upon hire. Eligible employees receive 401(k) and other defined contribution plan matching contributions, which are subject to vesting and certain other limitations. Additionally, some non-US employees are eligible to participate in and receive contributions to defined benefit plans.</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reflects the employee benefits expense by cost, type and location in the Statement of Income for the periods indicated:</w:t>
      </w:r>
    </w:p>
    <w:p>
      <w:pPr>
        <w:spacing w:after="0" w:line="38" w:lineRule="exact"/>
        <w:rPr>
          <w:sz w:val="20"/>
          <w:szCs w:val="20"/>
          <w:color w:val="auto"/>
        </w:rPr>
      </w:pPr>
    </w:p>
    <w:tbl>
      <w:tblPr>
        <w:tblLayout w:type="fixed"/>
        <w:tblInd w:w="11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Years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Employee benefit cost type</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401(k) and other defined contribution plans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Pension related net period benefit expense</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31,525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26,475</w:t>
            </w:r>
          </w:p>
        </w:tc>
        <w:tc>
          <w:tcPr>
            <w:tcW w:w="24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49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Location in the Statement of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2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31,525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26,475</w:t>
            </w:r>
          </w:p>
        </w:tc>
        <w:tc>
          <w:tcPr>
            <w:tcW w:w="2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0" w:firstLine="589"/>
        <w:spacing w:after="0" w:line="250" w:lineRule="auto"/>
        <w:rPr>
          <w:sz w:val="20"/>
          <w:szCs w:val="20"/>
          <w:color w:val="auto"/>
        </w:rPr>
      </w:pPr>
      <w:r>
        <w:rPr>
          <w:rFonts w:ascii="Arial" w:cs="Arial" w:eastAsia="Arial" w:hAnsi="Arial"/>
          <w:sz w:val="18"/>
          <w:szCs w:val="18"/>
          <w:color w:val="auto"/>
        </w:rPr>
        <w:t>The Company uses a measurement date of December 31</w:t>
      </w:r>
      <w:r>
        <w:rPr>
          <w:rFonts w:ascii="Arial" w:cs="Arial" w:eastAsia="Arial" w:hAnsi="Arial"/>
          <w:sz w:val="14"/>
          <w:szCs w:val="14"/>
          <w:color w:val="auto"/>
        </w:rPr>
        <w:t>st</w:t>
      </w:r>
      <w:r>
        <w:rPr>
          <w:rFonts w:ascii="Arial" w:cs="Arial" w:eastAsia="Arial" w:hAnsi="Arial"/>
          <w:sz w:val="18"/>
          <w:szCs w:val="18"/>
          <w:color w:val="auto"/>
        </w:rPr>
        <w:t xml:space="preserve"> to calculate obligations under its pension and postretirement plans. As of December 31, 2021 and 2020, the Company carried a net liability of $34.5 million and $36.1 million, respectively, in “Other non-current liabilities” on the Consolidated Statement of Financial Condition related to its future pension obligations. The fair value of the defined benefit plan assets was $30.2 million and $28.5 million at December 31, 2021 and 2020, respectively.</w:t>
      </w:r>
    </w:p>
    <w:p>
      <w:pPr>
        <w:spacing w:after="0" w:line="190" w:lineRule="exact"/>
        <w:rPr>
          <w:sz w:val="20"/>
          <w:szCs w:val="20"/>
          <w:color w:val="auto"/>
        </w:rPr>
      </w:pPr>
    </w:p>
    <w:p>
      <w:pPr>
        <w:ind w:right="180" w:firstLine="589"/>
        <w:spacing w:after="0" w:line="261" w:lineRule="auto"/>
        <w:rPr>
          <w:sz w:val="20"/>
          <w:szCs w:val="20"/>
          <w:color w:val="auto"/>
        </w:rPr>
      </w:pPr>
      <w:r>
        <w:rPr>
          <w:rFonts w:ascii="Arial" w:cs="Arial" w:eastAsia="Arial" w:hAnsi="Arial"/>
          <w:sz w:val="18"/>
          <w:szCs w:val="18"/>
          <w:color w:val="auto"/>
        </w:rPr>
        <w:t>The Company’s retiree benefit plans include defined benefit plans for employees in Switzerland, as well as other countries where MSCI maintains an operating presence.</w:t>
      </w:r>
    </w:p>
    <w:p>
      <w:pPr>
        <w:spacing w:after="0" w:line="181" w:lineRule="exact"/>
        <w:rPr>
          <w:sz w:val="20"/>
          <w:szCs w:val="20"/>
          <w:color w:val="auto"/>
        </w:rPr>
      </w:pPr>
    </w:p>
    <w:p>
      <w:pPr>
        <w:ind w:right="220" w:firstLine="589"/>
        <w:spacing w:after="0" w:line="281" w:lineRule="auto"/>
        <w:rPr>
          <w:sz w:val="20"/>
          <w:szCs w:val="20"/>
          <w:color w:val="auto"/>
        </w:rPr>
      </w:pPr>
      <w:r>
        <w:rPr>
          <w:rFonts w:ascii="Arial" w:cs="Arial" w:eastAsia="Arial" w:hAnsi="Arial"/>
          <w:sz w:val="16"/>
          <w:szCs w:val="16"/>
          <w:color w:val="auto"/>
        </w:rPr>
        <w:t>Our Switzerland plans are government-mandated retirement funds that provide employees with a minimum investment return, which is determined annually by the Swiss government and was 1.0% in the years ended December 31, 2021, 2020 and 2019. Under the Switzerland plans, the Company and our employees are required to make contributions into a fund managed by an independent investment fiduciary. Employer contributions must be in an amount at least equal to the employee’s contribution. Employee contributions are based on the respective employee’s age, salary and chosen contribution scale. As of December 31, 2021 and 2020, the Switzerland plans had a gross pension liability of $34.0 million and $34.8 million, respectively, and plan assets that totaled $26.1 million and $24.6 million, respectively. In the years ended December 31, 2021, 2020 and 2019, we recognized net periodic benefit expense of $0.3 million, $0.5 million and $1.0 million, respectively, related to our Switzerland plans. The discount rate for the Switzerland defined benefit pension plan was 0.30% and 0.10%, respectively, as of December 31, 2021 and 2020.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86" w:name="page87"/>
    <w:bookmarkEnd w:id="86"/>
    <w:p>
      <w:pPr>
        <w:ind w:right="160" w:firstLine="589"/>
        <w:spacing w:after="0" w:line="248" w:lineRule="auto"/>
        <w:rPr>
          <w:sz w:val="20"/>
          <w:szCs w:val="20"/>
          <w:color w:val="auto"/>
        </w:rPr>
      </w:pPr>
      <w:r>
        <w:rPr>
          <w:rFonts w:ascii="Arial" w:cs="Arial" w:eastAsia="Arial" w:hAnsi="Arial"/>
          <w:sz w:val="18"/>
          <w:szCs w:val="18"/>
          <w:color w:val="auto"/>
        </w:rPr>
        <w:t>The investment strategies of the non-U.S. defined benefit plans vary according to the plan provisions and local laws. The majority of the assets in the non-U.S. plans are in the Switzerland plans. The Switzerland plans are associated with an insured collective retirement foundation, whereby assets are held in trust and the assets are comingled with those of other participating companies. Investment decisions are made by a board of the collective retirement foundation, comprised of participating company representatives and representatives from the insurer. The overall strategy is to manage risk while maximizing total returns.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 (DEFICIT)</w:t>
      </w:r>
    </w:p>
    <w:p>
      <w:pPr>
        <w:spacing w:after="0" w:line="114" w:lineRule="exact"/>
        <w:rPr>
          <w:sz w:val="20"/>
          <w:szCs w:val="20"/>
          <w:color w:val="auto"/>
        </w:rPr>
      </w:pPr>
    </w:p>
    <w:p>
      <w:pPr>
        <w:ind w:right="240" w:firstLine="589"/>
        <w:spacing w:after="0" w:line="261" w:lineRule="auto"/>
        <w:rPr>
          <w:sz w:val="20"/>
          <w:szCs w:val="20"/>
          <w:color w:val="auto"/>
        </w:rPr>
      </w:pPr>
      <w:r>
        <w:rPr>
          <w:rFonts w:ascii="Arial" w:cs="Arial" w:eastAsia="Arial" w:hAnsi="Arial"/>
          <w:sz w:val="18"/>
          <w:szCs w:val="18"/>
          <w:color w:val="auto"/>
        </w:rPr>
        <w:t>This note reflects the share repurchases and related activity as well as share-based compensation activity recognized by the Company, for all periods referenced.</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Return of capital</w:t>
      </w:r>
    </w:p>
    <w:p>
      <w:pPr>
        <w:spacing w:after="0" w:line="214" w:lineRule="exact"/>
        <w:rPr>
          <w:sz w:val="20"/>
          <w:szCs w:val="20"/>
          <w:color w:val="auto"/>
        </w:rPr>
      </w:pPr>
    </w:p>
    <w:p>
      <w:pPr>
        <w:jc w:val="both"/>
        <w:ind w:right="460" w:firstLine="589"/>
        <w:spacing w:after="0" w:line="252" w:lineRule="auto"/>
        <w:rPr>
          <w:sz w:val="20"/>
          <w:szCs w:val="20"/>
          <w:color w:val="auto"/>
        </w:rPr>
      </w:pPr>
      <w:r>
        <w:rPr>
          <w:rFonts w:ascii="Arial" w:cs="Arial" w:eastAsia="Arial" w:hAnsi="Arial"/>
          <w:sz w:val="18"/>
          <w:szCs w:val="18"/>
          <w:color w:val="auto"/>
        </w:rPr>
        <w:t>On October 29, 2020, the Board of Directors authorized a stock repurchase program for the purchase of up to $1,000.0 million worth of shares of MSCI’s common stock in addition to the $804.5 million of authorization then remaining under a previously existing share repurchase program (the “2020 Repurchase Program”) for a total of $1,804.5 million of stock repurchase authorization.</w:t>
      </w:r>
    </w:p>
    <w:p>
      <w:pPr>
        <w:spacing w:after="0" w:line="189" w:lineRule="exact"/>
        <w:rPr>
          <w:sz w:val="20"/>
          <w:szCs w:val="20"/>
          <w:color w:val="auto"/>
        </w:rPr>
      </w:pPr>
    </w:p>
    <w:p>
      <w:pPr>
        <w:jc w:val="both"/>
        <w:ind w:right="60" w:firstLine="589"/>
        <w:spacing w:after="0" w:line="299" w:lineRule="auto"/>
        <w:rPr>
          <w:sz w:val="20"/>
          <w:szCs w:val="20"/>
          <w:color w:val="auto"/>
        </w:rPr>
      </w:pPr>
      <w:r>
        <w:rPr>
          <w:rFonts w:ascii="Arial" w:cs="Arial" w:eastAsia="Arial" w:hAnsi="Arial"/>
          <w:sz w:val="16"/>
          <w:szCs w:val="16"/>
          <w:color w:val="auto"/>
        </w:rPr>
        <w:t>Share repurchases made pursuant to the 2020 Repurchase Program may take place in the open market or in privately negotiated transactions from time to time based on market and other conditions. This authorization may be modified, suspended or terminated by the Board of Directors at any time without prior notice. As of December 31, 2021, there was $1,589.2 million of available authorization remaining under the 2020 Repurchase Program.</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information with respect to repurchases of the Company’s common stock made on the open market: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Dollar</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Value of</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2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Year Ended</w:t>
            </w: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Paid Per</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Share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Repurchased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Repurchased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288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gridSpan w:val="6"/>
          </w:tcPr>
          <w:p>
            <w:pPr>
              <w:jc w:val="center"/>
              <w:ind w:right="102"/>
              <w:spacing w:after="0" w:line="151" w:lineRule="exact"/>
              <w:rPr>
                <w:sz w:val="20"/>
                <w:szCs w:val="20"/>
                <w:color w:val="auto"/>
              </w:rPr>
            </w:pPr>
            <w:r>
              <w:rPr>
                <w:rFonts w:ascii="Arial" w:cs="Arial" w:eastAsia="Arial" w:hAnsi="Arial"/>
                <w:sz w:val="14"/>
                <w:szCs w:val="14"/>
                <w:b w:val="1"/>
                <w:bCs w:val="1"/>
                <w:color w:val="auto"/>
                <w:w w:val="88"/>
              </w:rPr>
              <w:t>(in thousands, except per share data)</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139,580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20" w:type="dxa"/>
            <w:vAlign w:val="bottom"/>
            <w:gridSpan w:val="2"/>
            <w:vMerge w:val="restart"/>
          </w:tcPr>
          <w:p>
            <w:pPr>
              <w:ind w:left="1120"/>
              <w:spacing w:after="0"/>
              <w:rPr>
                <w:sz w:val="20"/>
                <w:szCs w:val="20"/>
                <w:color w:val="auto"/>
              </w:rPr>
            </w:pPr>
            <w:r>
              <w:rPr>
                <w:rFonts w:ascii="Arial" w:cs="Arial" w:eastAsia="Arial" w:hAnsi="Arial"/>
                <w:sz w:val="18"/>
                <w:szCs w:val="18"/>
                <w:color w:val="auto"/>
              </w:rPr>
              <w:t>December 31, 2020</w:t>
            </w: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2"/>
            <w:vMerge w:val="continue"/>
          </w:tcPr>
          <w:p>
            <w:pPr>
              <w:spacing w:after="0"/>
              <w:rPr>
                <w:sz w:val="19"/>
                <w:szCs w:val="19"/>
                <w:color w:val="auto"/>
              </w:rPr>
            </w:pPr>
          </w:p>
        </w:tc>
        <w:tc>
          <w:tcPr>
            <w:tcW w:w="260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291.76</w:t>
            </w:r>
          </w:p>
        </w:tc>
        <w:tc>
          <w:tcPr>
            <w:tcW w:w="200" w:type="dxa"/>
            <w:vAlign w:val="bottom"/>
          </w:tcPr>
          <w:p>
            <w:pPr>
              <w:spacing w:after="0"/>
              <w:rPr>
                <w:sz w:val="19"/>
                <w:szCs w:val="19"/>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2,493</w:t>
            </w:r>
          </w:p>
        </w:tc>
        <w:tc>
          <w:tcPr>
            <w:tcW w:w="3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727,344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2880" w:type="dxa"/>
            <w:vAlign w:val="bottom"/>
            <w:vMerge w:val="continue"/>
            <w:shd w:val="clear" w:color="auto" w:fill="CFF0FC"/>
          </w:tcPr>
          <w:p>
            <w:pPr>
              <w:spacing w:after="0"/>
              <w:rPr>
                <w:sz w:val="17"/>
                <w:szCs w:val="17"/>
                <w:color w:val="auto"/>
              </w:rPr>
            </w:pPr>
          </w:p>
        </w:tc>
        <w:tc>
          <w:tcPr>
            <w:tcW w:w="2600" w:type="dxa"/>
            <w:vAlign w:val="bottom"/>
            <w:gridSpan w:val="3"/>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147.97</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690</w:t>
            </w:r>
          </w:p>
        </w:tc>
        <w:tc>
          <w:tcPr>
            <w:tcW w:w="3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102,081</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bottom w:val="single" w:sz="8" w:color="CFF0FC"/>
            </w:tcBorders>
            <w:vMerge w:val="restart"/>
          </w:tcPr>
          <w:p>
            <w:pPr>
              <w:jc w:val="right"/>
              <w:ind w:right="532"/>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7" w:name="page88"/>
    <w:bookmarkEnd w:id="87"/>
    <w:p>
      <w:pPr>
        <w:ind w:left="600"/>
        <w:spacing w:after="0"/>
        <w:rPr>
          <w:sz w:val="20"/>
          <w:szCs w:val="20"/>
          <w:color w:val="auto"/>
        </w:rPr>
      </w:pPr>
      <w:r>
        <w:rPr>
          <w:rFonts w:ascii="Arial" w:cs="Arial" w:eastAsia="Arial" w:hAnsi="Arial"/>
          <w:sz w:val="15"/>
          <w:szCs w:val="15"/>
          <w:color w:val="auto"/>
        </w:rPr>
        <w:t>The following table presents dividends declared per common share as well as total amounts declared, distributed and deferred for the periods indicated</w:t>
      </w:r>
    </w:p>
    <w:p>
      <w:pPr>
        <w:spacing w:after="0" w:line="31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89"/>
              </w:rPr>
              <w:t>Dividends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Declared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0"/>
              </w:rPr>
              <w:t>(Released)/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2021</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217"/>
        </w:trPr>
        <w:tc>
          <w:tcPr>
            <w:tcW w:w="40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7"/>
          </w:tcPr>
          <w:p>
            <w:pPr>
              <w:jc w:val="center"/>
              <w:ind w:left="15"/>
              <w:spacing w:after="0"/>
              <w:rPr>
                <w:sz w:val="20"/>
                <w:szCs w:val="20"/>
                <w:color w:val="auto"/>
              </w:rPr>
            </w:pPr>
            <w:r>
              <w:rPr>
                <w:rFonts w:ascii="Arial" w:cs="Arial" w:eastAsia="Arial" w:hAnsi="Arial"/>
                <w:sz w:val="14"/>
                <w:szCs w:val="14"/>
                <w:b w:val="1"/>
                <w:bCs w:val="1"/>
                <w:color w:val="auto"/>
                <w:w w:val="88"/>
              </w:rPr>
              <w:t>(in thousands, except per share data)</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March 31,</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65,947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66,153</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Three Months Ended June 30,</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September 30,</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Three Months Ended December 31,</w:t>
            </w:r>
          </w:p>
        </w:tc>
        <w:tc>
          <w:tcPr>
            <w:tcW w:w="15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86,475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303,761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302,576</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2020</w:t>
            </w:r>
          </w:p>
        </w:tc>
        <w:tc>
          <w:tcPr>
            <w:tcW w:w="1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March 31,</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Three Months Ended June 30,</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September 30,</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Three Months Ended December 31,</w:t>
            </w:r>
          </w:p>
        </w:tc>
        <w:tc>
          <w:tcPr>
            <w:tcW w:w="15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247,452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246,630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2019</w:t>
            </w:r>
          </w:p>
        </w:tc>
        <w:tc>
          <w:tcPr>
            <w:tcW w:w="1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March 31,</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57,988</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Three Months Ended June 30,</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September 30,</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57,882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Three Months Ended December 31,</w:t>
            </w:r>
          </w:p>
        </w:tc>
        <w:tc>
          <w:tcPr>
            <w:tcW w:w="15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221,304</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223,151</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Common Stock</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activity related to shares of common stock issued and repurchased for the periods indicated:</w:t>
      </w:r>
    </w:p>
    <w:p>
      <w:pPr>
        <w:spacing w:after="0" w:line="243" w:lineRule="exact"/>
        <w:rPr>
          <w:sz w:val="20"/>
          <w:szCs w:val="20"/>
          <w:color w:val="auto"/>
        </w:rPr>
      </w:pPr>
    </w:p>
    <w:tbl>
      <w:tblPr>
        <w:tblLayout w:type="fixed"/>
        <w:tblInd w:w="70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Common</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Treasury</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Common Stock</w:t>
            </w:r>
          </w:p>
        </w:tc>
        <w:tc>
          <w:tcPr>
            <w:tcW w:w="0" w:type="dxa"/>
            <w:vAlign w:val="bottom"/>
          </w:tcPr>
          <w:p>
            <w:pPr>
              <w:spacing w:after="0"/>
              <w:rPr>
                <w:sz w:val="1"/>
                <w:szCs w:val="1"/>
                <w:color w:val="auto"/>
              </w:rPr>
            </w:pPr>
          </w:p>
        </w:tc>
      </w:tr>
      <w:tr>
        <w:trPr>
          <w:trHeight w:val="181"/>
        </w:trPr>
        <w:tc>
          <w:tcPr>
            <w:tcW w:w="586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Stock Issued</w:t>
            </w:r>
          </w:p>
        </w:tc>
        <w:tc>
          <w:tcPr>
            <w:tcW w:w="22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130,029,926</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(45,855,788)</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84,174,138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Dividend payable/paid</w:t>
            </w:r>
          </w:p>
        </w:tc>
        <w:tc>
          <w:tcPr>
            <w:tcW w:w="1140" w:type="dxa"/>
            <w:vAlign w:val="bottom"/>
          </w:tcPr>
          <w:p>
            <w:pPr>
              <w:jc w:val="right"/>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1160" w:type="dxa"/>
            <w:vAlign w:val="bottom"/>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issued and 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2,387,145</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2,387,145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Shares withheld for tax withholding</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(1,077,815)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(1,077,815)</w:t>
            </w: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repurchased under stock repurchase programs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(689,891)</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(689,891)</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Shares issued to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1,277</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c>
          <w:tcPr>
            <w:tcW w:w="1160" w:type="dxa"/>
            <w:vAlign w:val="bottom"/>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vMerge w:val="continue"/>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132,419,412</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(47,624,482)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84,794,930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Dividend payable/paid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553</w:t>
            </w:r>
          </w:p>
        </w:tc>
        <w:tc>
          <w:tcPr>
            <w:tcW w:w="220" w:type="dxa"/>
            <w:vAlign w:val="bottom"/>
          </w:tcPr>
          <w:p>
            <w:pPr>
              <w:spacing w:after="0"/>
              <w:rPr>
                <w:sz w:val="17"/>
                <w:szCs w:val="17"/>
                <w:color w:val="auto"/>
              </w:rPr>
            </w:pPr>
          </w:p>
        </w:tc>
        <w:tc>
          <w:tcPr>
            <w:tcW w:w="1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(337)</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issued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406,960</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Shares withheld for tax withholding</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(165,239)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(165,239)</w:t>
            </w: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repurchased under stock repurchase programs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(2,492,994)</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(2,492,994)</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issued to Directors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27,284</w:t>
            </w: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132,829,175</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(50,255,768)</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82,573,407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Dividend payable/paid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268</w:t>
            </w:r>
          </w:p>
        </w:tc>
        <w:tc>
          <w:tcPr>
            <w:tcW w:w="220" w:type="dxa"/>
            <w:vAlign w:val="bottom"/>
          </w:tcPr>
          <w:p>
            <w:pPr>
              <w:spacing w:after="0"/>
              <w:rPr>
                <w:sz w:val="17"/>
                <w:szCs w:val="17"/>
                <w:color w:val="auto"/>
              </w:rPr>
            </w:pPr>
          </w:p>
        </w:tc>
        <w:tc>
          <w:tcPr>
            <w:tcW w:w="1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(156)</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issued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331,427</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Shares withheld for tax withholding</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(133,431)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(133,431)</w:t>
            </w: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repurchased under stock repurchase programs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(338,577)</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(338,577)</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issued to Directors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133,162,178</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(50,722,729)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82,439,449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8" w:lineRule="exact"/>
        <w:rPr>
          <w:sz w:val="20"/>
          <w:szCs w:val="20"/>
          <w:color w:val="auto"/>
        </w:rPr>
      </w:pPr>
    </w:p>
    <w:p>
      <w:pPr>
        <w:ind w:right="420" w:firstLine="589"/>
        <w:spacing w:after="0" w:line="261" w:lineRule="auto"/>
        <w:rPr>
          <w:sz w:val="20"/>
          <w:szCs w:val="20"/>
          <w:color w:val="auto"/>
        </w:rPr>
      </w:pPr>
      <w:r>
        <w:rPr>
          <w:rFonts w:ascii="Arial" w:cs="Arial" w:eastAsia="Arial" w:hAnsi="Arial"/>
          <w:sz w:val="18"/>
          <w:szCs w:val="18"/>
          <w:color w:val="auto"/>
        </w:rPr>
        <w:t>The Company regularly issues share-based compensation to its employees and directors who are not employees of the Company. The accounting guidance for share-based compensation requires measurement of</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587" w:right="41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compensation cost for share-based awards at fair value and recognition of compensation cost over the service period, net of estimated forfeitures.</w:t>
      </w:r>
    </w:p>
    <w:p>
      <w:pPr>
        <w:spacing w:after="0" w:line="237" w:lineRule="exact"/>
        <w:rPr>
          <w:sz w:val="20"/>
          <w:szCs w:val="20"/>
          <w:color w:val="auto"/>
        </w:rPr>
      </w:pPr>
    </w:p>
    <w:p>
      <w:pPr>
        <w:ind w:right="20" w:firstLine="589"/>
        <w:spacing w:after="0" w:line="282" w:lineRule="auto"/>
        <w:rPr>
          <w:sz w:val="20"/>
          <w:szCs w:val="20"/>
          <w:color w:val="auto"/>
        </w:rPr>
      </w:pPr>
      <w:r>
        <w:rPr>
          <w:rFonts w:ascii="Arial" w:cs="Arial" w:eastAsia="Arial" w:hAnsi="Arial"/>
          <w:sz w:val="16"/>
          <w:szCs w:val="16"/>
          <w:color w:val="auto"/>
        </w:rPr>
        <w:t>In February 2022, the Company granted a portion of its employees awards in the form of RSUs, PSUs and performance stock options (“PSOs”). The total number of units and options granted was 227,684. The aggregate fair value of the awards was $79.6 million. The RSUs granted in 2022 vest at the end of a three-year service period. The PSUs granted in 2022 vest at the end of a three-year service period, are subject to a one-year sale restriction and are also subject to the achievement of an absolute total shareholder return compounded annual growth rate, measured over a three-year period. The PSOs granted in 2022 vest and become exercisable at the end of a three-year service period and are subject to a performance condition based on the combined level of achievement of a cumulative revenue performance goal and a cumulative adjusted EPS performance goal, measured over a three-year period. All of these awards are subject to forfeiture under specific criteria set in the award agreements.</w:t>
      </w:r>
    </w:p>
    <w:p>
      <w:pPr>
        <w:spacing w:after="0" w:line="169" w:lineRule="exact"/>
        <w:rPr>
          <w:sz w:val="20"/>
          <w:szCs w:val="20"/>
          <w:color w:val="auto"/>
        </w:rPr>
      </w:pPr>
    </w:p>
    <w:p>
      <w:pPr>
        <w:ind w:right="360" w:firstLine="589"/>
        <w:spacing w:after="0" w:line="261" w:lineRule="auto"/>
        <w:rPr>
          <w:sz w:val="20"/>
          <w:szCs w:val="20"/>
          <w:color w:val="auto"/>
        </w:rPr>
      </w:pPr>
      <w:r>
        <w:rPr>
          <w:rFonts w:ascii="Arial" w:cs="Arial" w:eastAsia="Arial" w:hAnsi="Arial"/>
          <w:sz w:val="18"/>
          <w:szCs w:val="18"/>
          <w:color w:val="auto"/>
        </w:rPr>
        <w:t>In connection with awards under its equity-based compensation and benefit plans, the Company is authorized to use newly-issued shares or certain shares of common stock held in treasury.</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amount of share-based compensation expense by category for the periods indicated:</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50"/>
        </w:trPr>
        <w:tc>
          <w:tcPr>
            <w:tcW w:w="20" w:type="dxa"/>
            <w:vAlign w:val="bottom"/>
          </w:tcPr>
          <w:p>
            <w:pPr>
              <w:spacing w:after="0"/>
              <w:rPr>
                <w:sz w:val="4"/>
                <w:szCs w:val="4"/>
                <w:color w:val="auto"/>
              </w:rPr>
            </w:pPr>
          </w:p>
        </w:tc>
        <w:tc>
          <w:tcPr>
            <w:tcW w:w="5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r>
      <w:tr>
        <w:trPr>
          <w:trHeight w:val="141"/>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r>
      <w:tr>
        <w:trPr>
          <w:trHeight w:val="167"/>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17,285</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11,190</w:t>
            </w:r>
          </w:p>
        </w:tc>
        <w:tc>
          <w:tcPr>
            <w:tcW w:w="80" w:type="dxa"/>
            <w:vAlign w:val="bottom"/>
            <w:shd w:val="clear" w:color="auto" w:fill="CFF0FC"/>
          </w:tcPr>
          <w:p>
            <w:pPr>
              <w:spacing w:after="0"/>
              <w:rPr>
                <w:sz w:val="18"/>
                <w:szCs w:val="18"/>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14,943</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5,966</w:t>
            </w:r>
          </w:p>
        </w:tc>
        <w:tc>
          <w:tcPr>
            <w:tcW w:w="80" w:type="dxa"/>
            <w:vAlign w:val="bottom"/>
            <w:shd w:val="clear" w:color="auto" w:fill="CFF0FC"/>
          </w:tcPr>
          <w:p>
            <w:pPr>
              <w:spacing w:after="0"/>
              <w:rPr>
                <w:sz w:val="19"/>
                <w:szCs w:val="19"/>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11,991</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58,488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55,617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44,090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300" w:firstLine="589"/>
        <w:spacing w:after="0" w:line="252" w:lineRule="auto"/>
        <w:rPr>
          <w:sz w:val="20"/>
          <w:szCs w:val="20"/>
          <w:color w:val="auto"/>
        </w:rPr>
      </w:pPr>
      <w:r>
        <w:rPr>
          <w:rFonts w:ascii="Arial" w:cs="Arial" w:eastAsia="Arial" w:hAnsi="Arial"/>
          <w:sz w:val="18"/>
          <w:szCs w:val="18"/>
          <w:color w:val="auto"/>
        </w:rPr>
        <w:t>The windfall tax benefits for share-based compensation expense related to RSUs, PSUs and other restricted stock unit awards (together, the “Share-based Awards”) as well as stock options granted to Company employees and to directors who are not employees of the Company were $22.3 million, $20.9 million and $82.5 million for the years ended December 31, 2021, 2020 and 2019, respectively.</w:t>
      </w:r>
    </w:p>
    <w:p>
      <w:pPr>
        <w:spacing w:after="0" w:line="189" w:lineRule="exact"/>
        <w:rPr>
          <w:sz w:val="20"/>
          <w:szCs w:val="20"/>
          <w:color w:val="auto"/>
        </w:rPr>
      </w:pPr>
    </w:p>
    <w:p>
      <w:pPr>
        <w:jc w:val="both"/>
        <w:ind w:right="80" w:firstLine="589"/>
        <w:spacing w:after="0" w:line="252" w:lineRule="auto"/>
        <w:rPr>
          <w:sz w:val="20"/>
          <w:szCs w:val="20"/>
          <w:color w:val="auto"/>
        </w:rPr>
      </w:pPr>
      <w:r>
        <w:rPr>
          <w:rFonts w:ascii="Arial" w:cs="Arial" w:eastAsia="Arial" w:hAnsi="Arial"/>
          <w:sz w:val="18"/>
          <w:szCs w:val="18"/>
          <w:color w:val="auto"/>
        </w:rPr>
        <w:t>As of December 31, 2021, $52.3 million of compensation cost related to MSCI unvested share-based awards granted to the Company’s employees and to directors who are not employees of the Company had not yet been recognized. The unrecognized compensation cost relating to unvested stock-based awards expected to vest will be recognized primarily over the next one to five years.</w:t>
      </w:r>
    </w:p>
    <w:p>
      <w:pPr>
        <w:spacing w:after="0" w:line="189" w:lineRule="exact"/>
        <w:rPr>
          <w:sz w:val="20"/>
          <w:szCs w:val="20"/>
          <w:color w:val="auto"/>
        </w:rPr>
      </w:pPr>
    </w:p>
    <w:p>
      <w:pPr>
        <w:ind w:right="180" w:firstLine="589"/>
        <w:spacing w:after="0" w:line="261" w:lineRule="auto"/>
        <w:rPr>
          <w:sz w:val="20"/>
          <w:szCs w:val="20"/>
          <w:color w:val="auto"/>
        </w:rPr>
      </w:pPr>
      <w:r>
        <w:rPr>
          <w:rFonts w:ascii="Arial" w:cs="Arial" w:eastAsia="Arial" w:hAnsi="Arial"/>
          <w:sz w:val="18"/>
          <w:szCs w:val="18"/>
          <w:color w:val="auto"/>
        </w:rPr>
        <w:t>In connection with awards under its equity-based compensation and benefit plans, the Company is authorized to issue shares of common stock. As of December 31, 2021, 3.8 million shares of common stock were available for future grants under these plans.</w:t>
      </w:r>
    </w:p>
    <w:p>
      <w:pPr>
        <w:spacing w:after="0" w:line="181"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Certain Company employees have been granted Share-based Awards pursuant to a share-based compensation plan. The plan provides for the deferral of a portion of certain employees’ discretionary compensation with awards made in the form of Share-based Awards. Recipients of Share-based Awards generally have rights to receive dividend equivalents that are subject to vesting. The Company reports the target number of PSUs granted unless it has determined, based on the actual achievement of performance measures, that an employee will receive a different amount of shares underlying the PSUs, in which case the Company reports the amount of shares employees are likely to receive.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89" w:name="page90"/>
    <w:bookmarkEnd w:id="89"/>
    <w:p>
      <w:pPr>
        <w:ind w:left="600"/>
        <w:spacing w:after="0"/>
        <w:rPr>
          <w:sz w:val="20"/>
          <w:szCs w:val="20"/>
          <w:color w:val="auto"/>
        </w:rPr>
      </w:pPr>
      <w:r>
        <w:rPr>
          <w:rFonts w:ascii="Arial" w:cs="Arial" w:eastAsia="Arial" w:hAnsi="Arial"/>
          <w:sz w:val="18"/>
          <w:szCs w:val="18"/>
          <w:color w:val="auto"/>
        </w:rPr>
        <w:t>The fair value of the PSUs on the award dates were estimated under the Monte Carlo method using the following assumptions:</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 Ended</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50"/>
        </w:trPr>
        <w:tc>
          <w:tcPr>
            <w:tcW w:w="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1340" w:type="dxa"/>
            <w:vAlign w:val="bottom"/>
            <w:gridSpan w:val="2"/>
          </w:tcPr>
          <w:p>
            <w:pPr>
              <w:spacing w:after="0"/>
              <w:rPr>
                <w:sz w:val="4"/>
                <w:szCs w:val="4"/>
                <w:color w:val="auto"/>
              </w:rPr>
            </w:pPr>
          </w:p>
        </w:tc>
        <w:tc>
          <w:tcPr>
            <w:tcW w:w="1200" w:type="dxa"/>
            <w:vAlign w:val="bottom"/>
            <w:gridSpan w:val="2"/>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3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13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tcBorders>
              <w:top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1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0.33%</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w:t>
            </w: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Historical stock price volatility</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34.13%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25.42%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21.98%</w:t>
            </w:r>
          </w:p>
        </w:tc>
      </w:tr>
      <w:tr>
        <w:trPr>
          <w:trHeight w:val="224"/>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Term (in years)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Discount of Lack of Marketability</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38"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The risk-free interest rate was determined based on the yields available on U.S. Constant Maturity Treasury yield curve as of the valuation dates with a maturity commensurate with the terms. The expected stock price volatility was determined using historical volatility. Since the PSU awards are dividend-protected, the assumed dividend yield applied in the valuation was 0.0%.</w:t>
      </w:r>
    </w:p>
    <w:p>
      <w:pPr>
        <w:spacing w:after="0" w:line="189" w:lineRule="exact"/>
        <w:rPr>
          <w:sz w:val="20"/>
          <w:szCs w:val="20"/>
          <w:color w:val="auto"/>
        </w:rPr>
      </w:pPr>
    </w:p>
    <w:p>
      <w:pPr>
        <w:ind w:right="240" w:firstLine="589"/>
        <w:spacing w:after="0" w:line="261" w:lineRule="auto"/>
        <w:rPr>
          <w:sz w:val="20"/>
          <w:szCs w:val="20"/>
          <w:color w:val="auto"/>
        </w:rPr>
      </w:pPr>
      <w:r>
        <w:rPr>
          <w:rFonts w:ascii="Arial" w:cs="Arial" w:eastAsia="Arial" w:hAnsi="Arial"/>
          <w:sz w:val="18"/>
          <w:szCs w:val="18"/>
          <w:color w:val="auto"/>
        </w:rPr>
        <w:t>The following table presents activity concerning the Company’s vested and unvested Share-based Awards applicable to its employees (share data in thousands) for the period indicated:</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83"/>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r>
      <w:tr>
        <w:trPr>
          <w:trHeight w:val="198"/>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Grant</w:t>
            </w: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Date Fair</w:t>
            </w:r>
          </w:p>
        </w:tc>
      </w:tr>
      <w:tr>
        <w:trPr>
          <w:trHeight w:val="167"/>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 December 31, 2021</w:t>
            </w:r>
          </w:p>
        </w:tc>
        <w:tc>
          <w:tcPr>
            <w:tcW w:w="1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Borders>
              <w:bottom w:val="single" w:sz="8" w:color="CFF0FC"/>
            </w:tcBorders>
          </w:tcPr>
          <w:p>
            <w:pPr>
              <w:spacing w:after="0"/>
              <w:rPr>
                <w:sz w:val="14"/>
                <w:szCs w:val="14"/>
                <w:color w:val="auto"/>
              </w:rPr>
            </w:pPr>
          </w:p>
        </w:tc>
      </w:tr>
      <w:tr>
        <w:trPr>
          <w:trHeight w:val="204"/>
        </w:trPr>
        <w:tc>
          <w:tcPr>
            <w:tcW w:w="5660" w:type="dxa"/>
            <w:vAlign w:val="bottom"/>
            <w:gridSpan w:val="2"/>
            <w:shd w:val="clear" w:color="auto" w:fill="CFF0FC"/>
          </w:tcPr>
          <w:p>
            <w:pPr>
              <w:spacing w:after="0" w:line="204" w:lineRule="exact"/>
              <w:rPr>
                <w:sz w:val="20"/>
                <w:szCs w:val="20"/>
                <w:color w:val="auto"/>
              </w:rPr>
            </w:pPr>
            <w:r>
              <w:rPr>
                <w:rFonts w:ascii="Arial" w:cs="Arial" w:eastAsia="Arial" w:hAnsi="Arial"/>
                <w:sz w:val="18"/>
                <w:szCs w:val="18"/>
                <w:color w:val="auto"/>
              </w:rPr>
              <w:t>Vested and unvested Share-based Awards at</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December 31, 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163.99</w:t>
            </w:r>
          </w:p>
        </w:tc>
        <w:tc>
          <w:tcPr>
            <w:tcW w:w="60" w:type="dxa"/>
            <w:vAlign w:val="bottom"/>
            <w:shd w:val="clear" w:color="auto" w:fill="CFF0FC"/>
          </w:tcPr>
          <w:p>
            <w:pPr>
              <w:spacing w:after="0"/>
              <w:rPr>
                <w:sz w:val="19"/>
                <w:szCs w:val="19"/>
                <w:color w:val="auto"/>
              </w:rPr>
            </w:pPr>
          </w:p>
        </w:tc>
      </w:tr>
      <w:tr>
        <w:trPr>
          <w:trHeight w:val="223"/>
        </w:trPr>
        <w:tc>
          <w:tcPr>
            <w:tcW w:w="566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265.99</w:t>
            </w:r>
          </w:p>
        </w:tc>
        <w:tc>
          <w:tcPr>
            <w:tcW w:w="60" w:type="dxa"/>
            <w:vAlign w:val="bottom"/>
          </w:tcPr>
          <w:p>
            <w:pPr>
              <w:spacing w:after="0"/>
              <w:rPr>
                <w:sz w:val="19"/>
                <w:szCs w:val="19"/>
                <w:color w:val="auto"/>
              </w:rPr>
            </w:pPr>
          </w:p>
        </w:tc>
      </w:tr>
      <w:tr>
        <w:trPr>
          <w:trHeight w:val="224"/>
        </w:trPr>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Conversion to common stock</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153.66</w:t>
            </w:r>
          </w:p>
        </w:tc>
        <w:tc>
          <w:tcPr>
            <w:tcW w:w="60" w:type="dxa"/>
            <w:vAlign w:val="bottom"/>
            <w:shd w:val="clear" w:color="auto" w:fill="CFF0FC"/>
          </w:tcPr>
          <w:p>
            <w:pPr>
              <w:spacing w:after="0"/>
              <w:rPr>
                <w:sz w:val="19"/>
                <w:szCs w:val="19"/>
                <w:color w:val="auto"/>
              </w:rPr>
            </w:pPr>
          </w:p>
        </w:tc>
      </w:tr>
      <w:tr>
        <w:trPr>
          <w:trHeight w:val="223"/>
        </w:trPr>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274.66</w:t>
            </w:r>
          </w:p>
        </w:tc>
        <w:tc>
          <w:tcPr>
            <w:tcW w:w="60" w:type="dxa"/>
            <w:vAlign w:val="bottom"/>
          </w:tcPr>
          <w:p>
            <w:pPr>
              <w:spacing w:after="0"/>
              <w:rPr>
                <w:sz w:val="19"/>
                <w:szCs w:val="19"/>
                <w:color w:val="auto"/>
              </w:rPr>
            </w:pPr>
          </w:p>
        </w:tc>
      </w:tr>
      <w:tr>
        <w:trPr>
          <w:trHeight w:val="204"/>
        </w:trPr>
        <w:tc>
          <w:tcPr>
            <w:tcW w:w="5660" w:type="dxa"/>
            <w:vAlign w:val="bottom"/>
            <w:tcBorders>
              <w:top w:val="single" w:sz="8" w:color="CFF0FC"/>
            </w:tcBorders>
            <w:gridSpan w:val="2"/>
            <w:shd w:val="clear" w:color="auto" w:fill="CFF0FC"/>
          </w:tcPr>
          <w:p>
            <w:pPr>
              <w:spacing w:after="0" w:line="204" w:lineRule="exact"/>
              <w:rPr>
                <w:sz w:val="20"/>
                <w:szCs w:val="20"/>
                <w:color w:val="auto"/>
              </w:rPr>
            </w:pPr>
            <w:r>
              <w:rPr>
                <w:rFonts w:ascii="Arial" w:cs="Arial" w:eastAsia="Arial" w:hAnsi="Arial"/>
                <w:sz w:val="18"/>
                <w:szCs w:val="18"/>
                <w:color w:val="auto"/>
              </w:rPr>
              <w:t>Vested and unvested Share-based Awards at</w:t>
            </w: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23"/>
        </w:trPr>
        <w:tc>
          <w:tcPr>
            <w:tcW w:w="56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December 31, 2021 </w:t>
            </w:r>
            <w:r>
              <w:rPr>
                <w:rFonts w:ascii="Arial" w:cs="Arial" w:eastAsia="Arial" w:hAnsi="Arial"/>
                <w:sz w:val="14"/>
                <w:szCs w:val="14"/>
                <w:color w:val="auto"/>
              </w:rPr>
              <w:t>(1)</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217.05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9931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37" w:lineRule="exact"/>
        <w:rPr>
          <w:sz w:val="20"/>
          <w:szCs w:val="20"/>
          <w:color w:val="auto"/>
        </w:rPr>
      </w:pPr>
    </w:p>
    <w:p>
      <w:pPr>
        <w:ind w:left="580" w:hanging="575"/>
        <w:spacing w:after="0"/>
        <w:tabs>
          <w:tab w:leader="none" w:pos="580" w:val="left"/>
        </w:tabs>
        <w:numPr>
          <w:ilvl w:val="0"/>
          <w:numId w:val="49"/>
        </w:numPr>
        <w:rPr>
          <w:rFonts w:ascii="Arial" w:cs="Arial" w:eastAsia="Arial" w:hAnsi="Arial"/>
          <w:sz w:val="15"/>
          <w:szCs w:val="15"/>
          <w:color w:val="auto"/>
        </w:rPr>
      </w:pPr>
      <w:r>
        <w:rPr>
          <w:rFonts w:ascii="Arial" w:cs="Arial" w:eastAsia="Arial" w:hAnsi="Arial"/>
          <w:sz w:val="14"/>
          <w:szCs w:val="14"/>
          <w:color w:val="auto"/>
        </w:rPr>
        <w:t>As of December 31, 2021, 639 Share-based Awards, with a weighted average grant date fair value of $213.70, were vested or expected to vest.</w:t>
      </w:r>
    </w:p>
    <w:p>
      <w:pPr>
        <w:spacing w:after="0" w:line="215" w:lineRule="exact"/>
        <w:rPr>
          <w:sz w:val="20"/>
          <w:szCs w:val="20"/>
          <w:color w:val="auto"/>
        </w:rPr>
      </w:pPr>
    </w:p>
    <w:p>
      <w:pPr>
        <w:ind w:right="740" w:firstLine="589"/>
        <w:spacing w:after="0" w:line="261" w:lineRule="auto"/>
        <w:rPr>
          <w:sz w:val="20"/>
          <w:szCs w:val="20"/>
          <w:color w:val="auto"/>
        </w:rPr>
      </w:pPr>
      <w:r>
        <w:rPr>
          <w:rFonts w:ascii="Arial" w:cs="Arial" w:eastAsia="Arial" w:hAnsi="Arial"/>
          <w:sz w:val="18"/>
          <w:szCs w:val="18"/>
          <w:color w:val="auto"/>
        </w:rPr>
        <w:t>The total fair value of Share-based Awards held by the Company’s employees that converted to MSCI common stock during the years ended December 31, 2021, 2020 and 2019 was $152.6 million, $133.6 million and $401.7 million, respectively.</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activity concerning the Company’s unvested Share-based Awards related to its employees (share data in thousands):</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Average</w:t>
            </w: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Grant</w:t>
            </w: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Date Fair</w:t>
            </w:r>
          </w:p>
        </w:tc>
      </w:tr>
      <w:tr>
        <w:trPr>
          <w:trHeight w:val="167"/>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 December 31, 2021</w:t>
            </w:r>
          </w:p>
        </w:tc>
        <w:tc>
          <w:tcPr>
            <w:tcW w:w="1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Borders>
              <w:bottom w:val="single" w:sz="8" w:color="CFF0FC"/>
            </w:tcBorders>
          </w:tcPr>
          <w:p>
            <w:pPr>
              <w:spacing w:after="0"/>
              <w:rPr>
                <w:sz w:val="14"/>
                <w:szCs w:val="14"/>
                <w:color w:val="auto"/>
              </w:rPr>
            </w:pPr>
          </w:p>
        </w:tc>
      </w:tr>
      <w:tr>
        <w:trPr>
          <w:trHeight w:val="217"/>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Share-based Awards at December 31, 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164.58</w:t>
            </w:r>
          </w:p>
        </w:tc>
        <w:tc>
          <w:tcPr>
            <w:tcW w:w="60" w:type="dxa"/>
            <w:vAlign w:val="bottom"/>
            <w:shd w:val="clear" w:color="auto" w:fill="CFF0FC"/>
          </w:tcPr>
          <w:p>
            <w:pPr>
              <w:spacing w:after="0"/>
              <w:rPr>
                <w:sz w:val="18"/>
                <w:szCs w:val="18"/>
                <w:color w:val="auto"/>
              </w:rPr>
            </w:pPr>
          </w:p>
        </w:tc>
      </w:tr>
      <w:tr>
        <w:trPr>
          <w:trHeight w:val="223"/>
        </w:trPr>
        <w:tc>
          <w:tcPr>
            <w:tcW w:w="566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268.91</w:t>
            </w:r>
          </w:p>
        </w:tc>
        <w:tc>
          <w:tcPr>
            <w:tcW w:w="60" w:type="dxa"/>
            <w:vAlign w:val="bottom"/>
          </w:tcPr>
          <w:p>
            <w:pPr>
              <w:spacing w:after="0"/>
              <w:rPr>
                <w:sz w:val="19"/>
                <w:szCs w:val="19"/>
                <w:color w:val="auto"/>
              </w:rPr>
            </w:pPr>
          </w:p>
        </w:tc>
      </w:tr>
      <w:tr>
        <w:trPr>
          <w:trHeight w:val="224"/>
        </w:trPr>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156.41</w:t>
            </w:r>
          </w:p>
        </w:tc>
        <w:tc>
          <w:tcPr>
            <w:tcW w:w="60" w:type="dxa"/>
            <w:vAlign w:val="bottom"/>
            <w:shd w:val="clear" w:color="auto" w:fill="CFF0FC"/>
          </w:tcPr>
          <w:p>
            <w:pPr>
              <w:spacing w:after="0"/>
              <w:rPr>
                <w:sz w:val="19"/>
                <w:szCs w:val="19"/>
                <w:color w:val="auto"/>
              </w:rPr>
            </w:pPr>
          </w:p>
        </w:tc>
      </w:tr>
      <w:tr>
        <w:trPr>
          <w:trHeight w:val="223"/>
        </w:trPr>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274.66</w:t>
            </w:r>
          </w:p>
        </w:tc>
        <w:tc>
          <w:tcPr>
            <w:tcW w:w="60" w:type="dxa"/>
            <w:vAlign w:val="bottom"/>
          </w:tcPr>
          <w:p>
            <w:pPr>
              <w:spacing w:after="0"/>
              <w:rPr>
                <w:sz w:val="19"/>
                <w:szCs w:val="19"/>
                <w:color w:val="auto"/>
              </w:rPr>
            </w:pPr>
          </w:p>
        </w:tc>
      </w:tr>
      <w:tr>
        <w:trPr>
          <w:trHeight w:val="217"/>
        </w:trPr>
        <w:tc>
          <w:tcPr>
            <w:tcW w:w="5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Share-based Awards at December 31, 2021</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217.05</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5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Share-based Awards expected to vest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210.15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324" w:lineRule="auto"/>
        <w:rPr>
          <w:sz w:val="20"/>
          <w:szCs w:val="20"/>
          <w:color w:val="auto"/>
        </w:rPr>
      </w:pPr>
      <w:r>
        <w:rPr>
          <w:rFonts w:ascii="Arial" w:cs="Arial" w:eastAsia="Arial" w:hAnsi="Arial"/>
          <w:sz w:val="16"/>
          <w:szCs w:val="16"/>
          <w:color w:val="auto"/>
        </w:rPr>
        <w:t>There were no remaining stock options outstanding that could be exercised during any of the years ended December 31, 2021 and 2020. The intrinsic value of the stock options exercised by the Company’s employees during the year ended December 31, 2019 was $22.1 million.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48" w:right="39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12. INCOME TAXES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provision for income taxes (benefits) by taxing jurisdiction consisted of:</w:t>
      </w:r>
    </w:p>
    <w:p>
      <w:pPr>
        <w:spacing w:after="0" w:line="282"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6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980" w:type="dxa"/>
            <w:vAlign w:val="bottom"/>
          </w:tcPr>
          <w:p>
            <w:pPr>
              <w:jc w:val="right"/>
              <w:ind w:right="56"/>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133,281</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39,665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31,493</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state and local</w:t>
            </w: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Non U.S.</w:t>
            </w:r>
          </w:p>
        </w:tc>
        <w:tc>
          <w:tcPr>
            <w:tcW w:w="1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60,766</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22,103</w:t>
            </w:r>
          </w:p>
        </w:tc>
        <w:tc>
          <w:tcPr>
            <w:tcW w:w="80" w:type="dxa"/>
            <w:vAlign w:val="bottom"/>
            <w:tcBorders>
              <w:bottom w:val="single" w:sz="8" w:color="CFF0FC"/>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243,522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140,048</w:t>
            </w: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60,437</w:t>
            </w:r>
          </w:p>
        </w:tc>
        <w:tc>
          <w:tcPr>
            <w:tcW w:w="80" w:type="dxa"/>
            <w:vAlign w:val="bottom"/>
            <w:shd w:val="clear" w:color="auto" w:fill="CFF0FC"/>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federal</w:t>
            </w: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(79,812)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(44,507)</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(11,941)</w:t>
            </w:r>
          </w:p>
        </w:tc>
      </w:tr>
      <w:tr>
        <w:trPr>
          <w:trHeight w:val="223"/>
        </w:trPr>
        <w:tc>
          <w:tcPr>
            <w:tcW w:w="20" w:type="dxa"/>
            <w:vAlign w:val="bottom"/>
          </w:tcPr>
          <w:p>
            <w:pPr>
              <w:spacing w:after="0"/>
              <w:rPr>
                <w:sz w:val="19"/>
                <w:szCs w:val="19"/>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U.S. state and local</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(25,981)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(8,911)</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(4,001)</w:t>
            </w:r>
          </w:p>
        </w:tc>
      </w:tr>
      <w:tr>
        <w:trPr>
          <w:trHeight w:val="223"/>
        </w:trPr>
        <w:tc>
          <w:tcPr>
            <w:tcW w:w="20" w:type="dxa"/>
            <w:vAlign w:val="bottom"/>
          </w:tcPr>
          <w:p>
            <w:pPr>
              <w:spacing w:after="0"/>
              <w:rPr>
                <w:sz w:val="19"/>
                <w:szCs w:val="19"/>
                <w:color w:val="auto"/>
              </w:rPr>
            </w:pPr>
          </w:p>
        </w:tc>
        <w:tc>
          <w:tcPr>
            <w:tcW w:w="3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Non U.S.</w:t>
            </w: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(5,576)</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(4,825)</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(111,369)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(55,645)</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(20,767)</w:t>
            </w:r>
          </w:p>
        </w:tc>
      </w:tr>
      <w:tr>
        <w:trPr>
          <w:trHeight w:val="217"/>
        </w:trPr>
        <w:tc>
          <w:tcPr>
            <w:tcW w:w="20" w:type="dxa"/>
            <w:vAlign w:val="bottom"/>
          </w:tcPr>
          <w:p>
            <w:pPr>
              <w:spacing w:after="0"/>
              <w:rPr>
                <w:sz w:val="18"/>
                <w:szCs w:val="18"/>
                <w:color w:val="auto"/>
              </w:rPr>
            </w:pPr>
          </w:p>
        </w:tc>
        <w:tc>
          <w:tcPr>
            <w:tcW w:w="358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132,153</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84,403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39,670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reconciles the U.S. federal statutory income tax rate to the effective income tax rate: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Years Ended</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8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136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45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21.00%</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1"/>
        </w:trPr>
        <w:tc>
          <w:tcPr>
            <w:tcW w:w="6140" w:type="dxa"/>
            <w:vAlign w:val="bottom"/>
            <w:gridSpan w:val="3"/>
          </w:tcPr>
          <w:p>
            <w:pPr>
              <w:ind w:left="1120"/>
              <w:spacing w:after="0"/>
              <w:rPr>
                <w:sz w:val="20"/>
                <w:szCs w:val="20"/>
                <w:color w:val="auto"/>
              </w:rPr>
            </w:pPr>
            <w:r>
              <w:rPr>
                <w:rFonts w:ascii="Arial" w:cs="Arial" w:eastAsia="Arial" w:hAnsi="Arial"/>
                <w:sz w:val="18"/>
                <w:szCs w:val="18"/>
                <w:color w:val="auto"/>
              </w:rPr>
              <w:t>U.S. state and local income taxes, net of U.S.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5000" w:type="dxa"/>
            <w:vAlign w:val="bottom"/>
            <w:gridSpan w:val="2"/>
          </w:tcPr>
          <w:p>
            <w:pPr>
              <w:ind w:left="120"/>
              <w:spacing w:after="0"/>
              <w:rPr>
                <w:sz w:val="20"/>
                <w:szCs w:val="20"/>
                <w:color w:val="auto"/>
              </w:rPr>
            </w:pPr>
            <w:r>
              <w:rPr>
                <w:rFonts w:ascii="Arial" w:cs="Arial" w:eastAsia="Arial" w:hAnsi="Arial"/>
                <w:sz w:val="18"/>
                <w:szCs w:val="18"/>
                <w:color w:val="auto"/>
              </w:rPr>
              <w:t>federal income tax benefits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tax rates applicable to non-U.S.</w:t>
            </w: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earnings</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(5.09%)</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(3.30%)</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0"/>
        </w:trPr>
        <w:tc>
          <w:tcPr>
            <w:tcW w:w="6140" w:type="dxa"/>
            <w:vAlign w:val="bottom"/>
            <w:gridSpan w:val="3"/>
          </w:tcPr>
          <w:p>
            <w:pPr>
              <w:ind w:left="1120"/>
              <w:spacing w:after="0"/>
              <w:rPr>
                <w:sz w:val="20"/>
                <w:szCs w:val="20"/>
                <w:color w:val="auto"/>
              </w:rPr>
            </w:pPr>
            <w:r>
              <w:rPr>
                <w:rFonts w:ascii="Arial" w:cs="Arial" w:eastAsia="Arial" w:hAnsi="Arial"/>
                <w:sz w:val="18"/>
                <w:szCs w:val="18"/>
                <w:color w:val="auto"/>
              </w:rPr>
              <w:t>Foreign Derived Intangible Income (FDII),</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00" w:type="dxa"/>
            <w:vAlign w:val="bottom"/>
            <w:gridSpan w:val="2"/>
          </w:tcPr>
          <w:p>
            <w:pPr>
              <w:ind w:left="80"/>
              <w:spacing w:after="0"/>
              <w:rPr>
                <w:sz w:val="20"/>
                <w:szCs w:val="20"/>
                <w:color w:val="auto"/>
              </w:rPr>
            </w:pPr>
            <w:r>
              <w:rPr>
                <w:rFonts w:ascii="Arial" w:cs="Arial" w:eastAsia="Arial" w:hAnsi="Arial"/>
                <w:sz w:val="18"/>
                <w:szCs w:val="18"/>
                <w:color w:val="auto"/>
              </w:rPr>
              <w:t xml:space="preserve">net of GILTI </w:t>
            </w:r>
            <w:r>
              <w:rPr>
                <w:rFonts w:ascii="Arial" w:cs="Arial" w:eastAsia="Arial" w:hAnsi="Arial"/>
                <w:sz w:val="14"/>
                <w:szCs w:val="14"/>
                <w:color w:val="auto"/>
              </w:rPr>
              <w:t>(1)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Domestic tax credits and incentives</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(0.59%)</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(0.59%)</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6140" w:type="dxa"/>
            <w:vAlign w:val="bottom"/>
            <w:gridSpan w:val="3"/>
          </w:tcPr>
          <w:p>
            <w:pPr>
              <w:ind w:left="1120"/>
              <w:spacing w:after="0"/>
              <w:rPr>
                <w:sz w:val="20"/>
                <w:szCs w:val="20"/>
                <w:color w:val="auto"/>
              </w:rPr>
            </w:pPr>
            <w:r>
              <w:rPr>
                <w:rFonts w:ascii="Arial" w:cs="Arial" w:eastAsia="Arial" w:hAnsi="Arial"/>
                <w:sz w:val="18"/>
                <w:szCs w:val="18"/>
                <w:color w:val="auto"/>
              </w:rPr>
              <w:t>Valuation allowance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Excess share-based compensation</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(2.65%)</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(3.24%)</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23"/>
        </w:trPr>
        <w:tc>
          <w:tcPr>
            <w:tcW w:w="6140" w:type="dxa"/>
            <w:vAlign w:val="bottom"/>
            <w:gridSpan w:val="3"/>
          </w:tcPr>
          <w:p>
            <w:pPr>
              <w:ind w:left="112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0.92%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(0.87%)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5000" w:type="dxa"/>
            <w:vAlign w:val="bottom"/>
            <w:gridSpan w:val="2"/>
            <w:vMerge w:val="continue"/>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15.40%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12.30%</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45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580" w:hanging="575"/>
        <w:spacing w:after="0" w:line="232" w:lineRule="auto"/>
        <w:tabs>
          <w:tab w:leader="none" w:pos="580" w:val="left"/>
        </w:tabs>
        <w:numPr>
          <w:ilvl w:val="0"/>
          <w:numId w:val="50"/>
        </w:numPr>
        <w:rPr>
          <w:rFonts w:ascii="Arial" w:cs="Arial" w:eastAsia="Arial" w:hAnsi="Arial"/>
          <w:sz w:val="15"/>
          <w:szCs w:val="15"/>
          <w:color w:val="auto"/>
        </w:rPr>
      </w:pPr>
      <w:r>
        <w:rPr>
          <w:rFonts w:ascii="Arial" w:cs="Arial" w:eastAsia="Arial" w:hAnsi="Arial"/>
          <w:sz w:val="14"/>
          <w:szCs w:val="14"/>
          <w:color w:val="auto"/>
        </w:rPr>
        <w:t>The year ended December 31, 2020 includes (3.00%) released during the year related to the favorable impact on prior years from final regulations clarifying certain provisions of the Tax Cuts and Jobs Act (“Tax Reform”).</w:t>
      </w:r>
    </w:p>
    <w:p>
      <w:pPr>
        <w:spacing w:after="0" w:line="1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320" w:top="489" w:right="599" w:bottom="1440" w:gutter="0" w:footer="0" w:header="0"/>
        </w:sectPr>
      </w:pPr>
    </w:p>
    <w:bookmarkStart w:id="91" w:name="page92"/>
    <w:bookmarkEnd w:id="91"/>
    <w:p>
      <w:pPr>
        <w:ind w:right="100" w:firstLine="589"/>
        <w:spacing w:after="0" w:line="252"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bases of assets and liabilities and are measured using the enacted tax rates and laws that will be in effect when such differences are expected to reverse. Significant components of the Company’s deferred tax assets and liabilities as of December 31, 2021 and 2020, were as follows:</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000" w:type="dxa"/>
            <w:vAlign w:val="bottom"/>
          </w:tcPr>
          <w:p>
            <w:pPr>
              <w:jc w:val="right"/>
              <w:ind w:right="74"/>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expenses</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Employee compensation and benefit plans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carryforwards</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Loss carryforwards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10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245,924</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121,956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Less: valuation allowance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245,888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Deferred tax liabilities:</w:t>
            </w:r>
          </w:p>
        </w:tc>
        <w:tc>
          <w:tcPr>
            <w:tcW w:w="1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(147,118)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(51,862)</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(32,106)</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(35,634)</w:t>
            </w:r>
          </w:p>
        </w:tc>
        <w:tc>
          <w:tcPr>
            <w:tcW w:w="0" w:type="dxa"/>
            <w:vAlign w:val="bottom"/>
          </w:tcPr>
          <w:p>
            <w:pPr>
              <w:spacing w:after="0"/>
              <w:rPr>
                <w:sz w:val="1"/>
                <w:szCs w:val="1"/>
                <w:color w:val="auto"/>
              </w:rPr>
            </w:pPr>
          </w:p>
        </w:tc>
      </w:tr>
      <w:tr>
        <w:trPr>
          <w:trHeight w:val="211"/>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equipment and leasehold</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improvements, net</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(27,136)</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(20,197)</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Unremitted foreign earnings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Unearned revenue</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(209,419)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(111,103)</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deferred tax assets</w:t>
            </w:r>
          </w:p>
        </w:tc>
        <w:tc>
          <w:tcPr>
            <w:tcW w:w="1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11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36,469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10,853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right="280" w:firstLine="589"/>
        <w:spacing w:after="0" w:line="249" w:lineRule="auto"/>
        <w:rPr>
          <w:sz w:val="20"/>
          <w:szCs w:val="20"/>
          <w:color w:val="auto"/>
        </w:rPr>
      </w:pPr>
      <w:r>
        <w:rPr>
          <w:rFonts w:ascii="Arial" w:cs="Arial" w:eastAsia="Arial" w:hAnsi="Arial"/>
          <w:sz w:val="18"/>
          <w:szCs w:val="18"/>
          <w:color w:val="auto"/>
        </w:rPr>
        <w:t>As presented in the table above, the Company has certain loss and interest carryforward items. The tax value of the U.S. portion of the interest carryforward was zero and $0.7 million as of December 31, 2021 and December 31, 2020, respectively. The tax value of the non-U.S. portion of the interest carryforward was $11.2 million and $7.2 million as of December 31, 2021 and December 31, 2020, respectively. These carryforwards are subject to annual limitations on utilization over an indefinite life.</w:t>
      </w:r>
    </w:p>
    <w:p>
      <w:pPr>
        <w:spacing w:after="0" w:line="219" w:lineRule="exact"/>
        <w:rPr>
          <w:sz w:val="20"/>
          <w:szCs w:val="20"/>
          <w:color w:val="auto"/>
        </w:rPr>
      </w:pPr>
    </w:p>
    <w:p>
      <w:pPr>
        <w:ind w:firstLine="589"/>
        <w:spacing w:after="0" w:line="248" w:lineRule="auto"/>
        <w:rPr>
          <w:sz w:val="20"/>
          <w:szCs w:val="20"/>
          <w:color w:val="auto"/>
        </w:rPr>
      </w:pPr>
      <w:r>
        <w:rPr>
          <w:rFonts w:ascii="Arial" w:cs="Arial" w:eastAsia="Arial" w:hAnsi="Arial"/>
          <w:sz w:val="18"/>
          <w:szCs w:val="18"/>
          <w:color w:val="auto"/>
        </w:rPr>
        <w:t>Net operating loss carryforwards in the U.S. were $69.7 million with a tax value of $17.9 million and $8.7 million with a tax value of $1.8 million as of December 31, 2021 and December 31, 2020, respectively. The increase in the net operating loss carryforward in the U.S. is primarily attributable to the September 13, 2021 acquisition of RCA. These carryforwards are subject to annual limitations and will begin to expire in 2026. The tax value of the non-U.S. portion of the net operating loss was $0.3 million and $1.2 million as of December 31, 2021 and December 31, 2020 respectively. These carryforwards are subject to annual limitations and will begin to expire in 2023.</w:t>
      </w:r>
    </w:p>
    <w:p>
      <w:pPr>
        <w:spacing w:after="0" w:line="271" w:lineRule="exact"/>
        <w:rPr>
          <w:sz w:val="20"/>
          <w:szCs w:val="20"/>
          <w:color w:val="auto"/>
        </w:rPr>
      </w:pPr>
    </w:p>
    <w:p>
      <w:pPr>
        <w:jc w:val="both"/>
        <w:ind w:right="80" w:firstLine="589"/>
        <w:spacing w:after="0" w:line="252" w:lineRule="auto"/>
        <w:rPr>
          <w:sz w:val="20"/>
          <w:szCs w:val="20"/>
          <w:color w:val="auto"/>
        </w:rPr>
      </w:pPr>
      <w:r>
        <w:rPr>
          <w:rFonts w:ascii="Arial" w:cs="Arial" w:eastAsia="Arial" w:hAnsi="Arial"/>
          <w:sz w:val="18"/>
          <w:szCs w:val="18"/>
          <w:color w:val="auto"/>
        </w:rPr>
        <w:t>The Company believes the majority of the deferred tax assets at December 31, 2021 are more likely than not to be realized based on expectations as to future taxable income in the jurisdictions in which it operates with the exception of a loss carryforward in one jurisdiction where it has established a valuation allowance of $0.04 million.</w:t>
      </w:r>
    </w:p>
    <w:p>
      <w:pPr>
        <w:spacing w:after="0" w:line="189" w:lineRule="exact"/>
        <w:rPr>
          <w:sz w:val="20"/>
          <w:szCs w:val="20"/>
          <w:color w:val="auto"/>
        </w:rPr>
      </w:pPr>
    </w:p>
    <w:p>
      <w:pPr>
        <w:ind w:right="580" w:firstLine="589"/>
        <w:spacing w:after="0" w:line="324" w:lineRule="auto"/>
        <w:rPr>
          <w:sz w:val="20"/>
          <w:szCs w:val="20"/>
          <w:color w:val="auto"/>
        </w:rPr>
      </w:pPr>
      <w:r>
        <w:rPr>
          <w:rFonts w:ascii="Arial" w:cs="Arial" w:eastAsia="Arial" w:hAnsi="Arial"/>
          <w:sz w:val="16"/>
          <w:szCs w:val="16"/>
          <w:color w:val="auto"/>
        </w:rPr>
        <w:t>As of December 31, 2021, the Company has recorded prepayments of taxes in the amount of $36.5 million in “Other non-current assets” on the Consolidated Statements of Financial Condition, as the amounts are not anticipated to be received until after December 31, 2022.</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92" w:name="page93"/>
    <w:bookmarkEnd w:id="92"/>
    <w:p>
      <w:pPr>
        <w:ind w:left="600"/>
        <w:spacing w:after="0"/>
        <w:rPr>
          <w:sz w:val="20"/>
          <w:szCs w:val="20"/>
          <w:color w:val="auto"/>
        </w:rPr>
      </w:pPr>
      <w:r>
        <w:rPr>
          <w:rFonts w:ascii="Arial" w:cs="Arial" w:eastAsia="Arial" w:hAnsi="Arial"/>
          <w:sz w:val="18"/>
          <w:szCs w:val="18"/>
          <w:color w:val="auto"/>
        </w:rPr>
        <w:t>The following table presents changes in the Company’s deferred tax asset valuation allowance for the periods indicated:</w:t>
      </w:r>
    </w:p>
    <w:p>
      <w:pPr>
        <w:spacing w:after="0" w:line="282"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980" w:type="dxa"/>
            <w:vAlign w:val="bottom"/>
          </w:tcPr>
          <w:p>
            <w:pPr>
              <w:jc w:val="right"/>
              <w:ind w:right="58"/>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Additions charged to cost and expenses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89"/>
              </w:rPr>
              <w:t>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Deductions</w:t>
            </w: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89"/>
              </w:rPr>
              <w:t>36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The following table presents the components of income before provision for income taxes generated by domestic or foreign operations for the periods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Years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59"/>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59"/>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76"/>
        </w:trPr>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1"/>
        </w:trPr>
        <w:tc>
          <w:tcPr>
            <w:tcW w:w="1560" w:type="dxa"/>
            <w:vAlign w:val="bottom"/>
            <w:gridSpan w:val="2"/>
          </w:tcPr>
          <w:p>
            <w:pPr>
              <w:spacing w:after="0"/>
              <w:rPr>
                <w:sz w:val="3"/>
                <w:szCs w:val="3"/>
                <w:color w:val="auto"/>
              </w:rPr>
            </w:pPr>
          </w:p>
        </w:tc>
        <w:tc>
          <w:tcPr>
            <w:tcW w:w="3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3"/>
        </w:trPr>
        <w:tc>
          <w:tcPr>
            <w:tcW w:w="1140" w:type="dxa"/>
            <w:vAlign w:val="bottom"/>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Domestic</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417,679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353,049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351,177</w:t>
            </w:r>
          </w:p>
        </w:tc>
        <w:tc>
          <w:tcPr>
            <w:tcW w:w="80" w:type="dxa"/>
            <w:vAlign w:val="bottom"/>
            <w:shd w:val="clear" w:color="auto" w:fill="CFF0FC"/>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Foreign </w:t>
            </w:r>
            <w:r>
              <w:rPr>
                <w:rFonts w:ascii="Arial" w:cs="Arial" w:eastAsia="Arial" w:hAnsi="Arial"/>
                <w:sz w:val="14"/>
                <w:szCs w:val="14"/>
                <w:color w:val="auto"/>
              </w:rPr>
              <w:t>(1)</w:t>
            </w: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440,457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333,176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252,141</w:t>
            </w:r>
          </w:p>
        </w:tc>
        <w:tc>
          <w:tcPr>
            <w:tcW w:w="80" w:type="dxa"/>
            <w:vAlign w:val="bottom"/>
            <w:tcBorders>
              <w:bottom w:val="single" w:sz="8" w:color="CFF0FC"/>
            </w:tcBorders>
          </w:tcPr>
          <w:p>
            <w:pPr>
              <w:spacing w:after="0"/>
              <w:rPr>
                <w:sz w:val="19"/>
                <w:szCs w:val="19"/>
                <w:color w:val="auto"/>
              </w:rPr>
            </w:pPr>
          </w:p>
        </w:tc>
      </w:tr>
      <w:tr>
        <w:trPr>
          <w:trHeight w:val="217"/>
        </w:trPr>
        <w:tc>
          <w:tcPr>
            <w:tcW w:w="114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income before provision for income taxes</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858,136</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686,225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603,318</w:t>
            </w:r>
          </w:p>
        </w:tc>
        <w:tc>
          <w:tcPr>
            <w:tcW w:w="80" w:type="dxa"/>
            <w:vAlign w:val="bottom"/>
            <w:shd w:val="clear" w:color="auto" w:fill="CFF0FC"/>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38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111"/>
        </w:trPr>
        <w:tc>
          <w:tcPr>
            <w:tcW w:w="1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21" w:lineRule="exact"/>
        <w:rPr>
          <w:sz w:val="20"/>
          <w:szCs w:val="20"/>
          <w:color w:val="auto"/>
        </w:rPr>
      </w:pPr>
    </w:p>
    <w:p>
      <w:pPr>
        <w:ind w:left="580" w:hanging="575"/>
        <w:spacing w:after="0"/>
        <w:tabs>
          <w:tab w:leader="none" w:pos="580" w:val="left"/>
        </w:tabs>
        <w:numPr>
          <w:ilvl w:val="0"/>
          <w:numId w:val="51"/>
        </w:numPr>
        <w:rPr>
          <w:rFonts w:ascii="Arial" w:cs="Arial" w:eastAsia="Arial" w:hAnsi="Arial"/>
          <w:sz w:val="13"/>
          <w:szCs w:val="13"/>
          <w:color w:val="auto"/>
        </w:rPr>
      </w:pPr>
      <w:r>
        <w:rPr>
          <w:rFonts w:ascii="Arial" w:cs="Arial" w:eastAsia="Arial" w:hAnsi="Arial"/>
          <w:sz w:val="12"/>
          <w:szCs w:val="12"/>
          <w:color w:val="auto"/>
        </w:rPr>
        <w:t>Foreign income before provision for income taxes is defined as income generated from operations located outside the U.S., which includes income from foreign branches of U.S. companies.</w:t>
      </w:r>
    </w:p>
    <w:p>
      <w:pPr>
        <w:spacing w:after="0" w:line="238" w:lineRule="exact"/>
        <w:rPr>
          <w:sz w:val="20"/>
          <w:szCs w:val="20"/>
          <w:color w:val="auto"/>
        </w:rPr>
      </w:pPr>
    </w:p>
    <w:p>
      <w:pPr>
        <w:ind w:right="320" w:firstLine="589"/>
        <w:spacing w:after="0" w:line="261" w:lineRule="auto"/>
        <w:rPr>
          <w:sz w:val="20"/>
          <w:szCs w:val="20"/>
          <w:color w:val="auto"/>
        </w:rPr>
      </w:pPr>
      <w:r>
        <w:rPr>
          <w:rFonts w:ascii="Arial" w:cs="Arial" w:eastAsia="Arial" w:hAnsi="Arial"/>
          <w:sz w:val="18"/>
          <w:szCs w:val="18"/>
          <w:color w:val="auto"/>
        </w:rPr>
        <w:t>As of December 31, 2021, the Company has provided for applicable state income and foreign withholding taxes on all undistributed earnings of its foreign subsidiaries.</w:t>
      </w:r>
    </w:p>
    <w:p>
      <w:pPr>
        <w:spacing w:after="0" w:line="181"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The Company regularly assesses the likelihood of additional assessments in each of the taxing jurisdictions in which it files income tax returns. The Company has established unrecognized tax benefits that the Company believes are adequate in relation to the potential for additional assessments. Once established, the Company adjusts unrecognized tax benefits only when more information is available or when an event occurs necessitating a change. Based on the current status of income tax audits, the Company believes it is reasonably possible that the total amount of unrecognized benefits may decrease by approximately $31.6 million in the next twelve months as a result of the resolution of tax examinations.</w:t>
      </w:r>
    </w:p>
    <w:p>
      <w:pPr>
        <w:spacing w:after="0" w:line="166" w:lineRule="exact"/>
        <w:rPr>
          <w:sz w:val="20"/>
          <w:szCs w:val="20"/>
          <w:color w:val="auto"/>
        </w:rPr>
      </w:pPr>
    </w:p>
    <w:p>
      <w:pPr>
        <w:ind w:right="280" w:firstLine="589"/>
        <w:spacing w:after="0" w:line="252" w:lineRule="auto"/>
        <w:rPr>
          <w:sz w:val="20"/>
          <w:szCs w:val="20"/>
          <w:color w:val="auto"/>
        </w:rPr>
      </w:pPr>
      <w:r>
        <w:rPr>
          <w:rFonts w:ascii="Arial" w:cs="Arial" w:eastAsia="Arial" w:hAnsi="Arial"/>
          <w:sz w:val="18"/>
          <w:szCs w:val="18"/>
          <w:color w:val="auto"/>
        </w:rPr>
        <w:t>The Company believes the resolution of tax matters will not have a material effect on the Consolidated Statement of Financial Condition of the Company, although a resolution could have a material impact on the Company’s Consolidated Statement of Income for a particular future period and on the Company’s effective tax rate for any period in which such resolution occurs.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3" w:name="page94"/>
    <w:bookmarkEnd w:id="93"/>
    <w:p>
      <w:pPr>
        <w:ind w:right="580" w:firstLine="589"/>
        <w:spacing w:after="0" w:line="261" w:lineRule="auto"/>
        <w:rPr>
          <w:sz w:val="20"/>
          <w:szCs w:val="20"/>
          <w:color w:val="auto"/>
        </w:rPr>
      </w:pPr>
      <w:r>
        <w:rPr>
          <w:rFonts w:ascii="Arial" w:cs="Arial" w:eastAsia="Arial" w:hAnsi="Arial"/>
          <w:sz w:val="18"/>
          <w:szCs w:val="18"/>
          <w:color w:val="auto"/>
        </w:rPr>
        <w:t>The following table presents a reconciliation of the beginning and ending amount of the gross unrecognized tax benefits, excluding interest and penalties, for the years ended December 31, 2021, 2020 and 2019:</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unrecognized tax benefits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980" w:type="dxa"/>
            <w:vAlign w:val="bottom"/>
          </w:tcPr>
          <w:p>
            <w:pPr>
              <w:jc w:val="right"/>
              <w:ind w:right="56"/>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16,621</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15,841</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gridSpan w:val="2"/>
          </w:tcPr>
          <w:p>
            <w:pPr>
              <w:spacing w:after="0"/>
              <w:rPr>
                <w:sz w:val="20"/>
                <w:szCs w:val="20"/>
                <w:color w:val="auto"/>
              </w:rPr>
            </w:pPr>
            <w:r>
              <w:rPr>
                <w:rFonts w:ascii="Arial" w:cs="Arial" w:eastAsia="Arial" w:hAnsi="Arial"/>
                <w:sz w:val="18"/>
                <w:szCs w:val="18"/>
                <w:color w:val="auto"/>
              </w:rPr>
              <w:t>Increases based on tax positions related to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current period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Increases based on tax positions related to</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prior periods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20,321</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200" w:type="dxa"/>
            <w:vAlign w:val="bottom"/>
            <w:gridSpan w:val="2"/>
          </w:tcPr>
          <w:p>
            <w:pPr>
              <w:spacing w:after="0"/>
              <w:rPr>
                <w:sz w:val="20"/>
                <w:szCs w:val="20"/>
                <w:color w:val="auto"/>
              </w:rPr>
            </w:pPr>
            <w:r>
              <w:rPr>
                <w:rFonts w:ascii="Arial" w:cs="Arial" w:eastAsia="Arial" w:hAnsi="Arial"/>
                <w:sz w:val="18"/>
                <w:szCs w:val="18"/>
                <w:color w:val="auto"/>
              </w:rPr>
              <w:t>Decreases based on tax positions related 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prior periods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Decreases related to settlements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with taxing authorities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200" w:type="dxa"/>
            <w:vAlign w:val="bottom"/>
            <w:gridSpan w:val="2"/>
          </w:tcPr>
          <w:p>
            <w:pPr>
              <w:spacing w:after="0"/>
              <w:rPr>
                <w:sz w:val="20"/>
                <w:szCs w:val="20"/>
                <w:color w:val="auto"/>
              </w:rPr>
            </w:pPr>
            <w:r>
              <w:rPr>
                <w:rFonts w:ascii="Arial" w:cs="Arial" w:eastAsia="Arial" w:hAnsi="Arial"/>
                <w:sz w:val="18"/>
                <w:szCs w:val="18"/>
                <w:color w:val="auto"/>
              </w:rPr>
              <w:t>Decreases related to a lapse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applicable statute of limitations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vMerge w:val="continue"/>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33,039</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16,621</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right="60" w:firstLine="589"/>
        <w:spacing w:after="0" w:line="280" w:lineRule="auto"/>
        <w:rPr>
          <w:sz w:val="20"/>
          <w:szCs w:val="20"/>
          <w:color w:val="auto"/>
        </w:rPr>
      </w:pPr>
      <w:r>
        <w:rPr>
          <w:rFonts w:ascii="Arial" w:cs="Arial" w:eastAsia="Arial" w:hAnsi="Arial"/>
          <w:sz w:val="16"/>
          <w:szCs w:val="16"/>
          <w:color w:val="auto"/>
        </w:rPr>
        <w:t>The total amount of unrecognized tax benefits was $33.0 million, $16.6 million and $15.8 million as of December 31, 2021, 2020 and 2019, respectively, which, if recognized, would favorably affect the effective tax rate in future periods. The increase in unrecognized tax benefits in the year ended December 31, 2021 is principally due to the filing of prior year refund claims. The Company recognizes the accrual of interest and penalties related to unrecognized tax benefits in the “Provision for income taxes” in the Consolidated Statement of Income. For the years ended December 31, 2021 and 2020, the Company recognized zero and for the year ended December 31, 2019, the Company recognized $0.4 million of interest in the Consolidated Statement of Income with respect to unrecognized tax benefits. Penalties of $0.3 million, $0.4 million and zero were recognized in the Consolidated Statement of Income and the Consolidated Statement of Financial Position for the years ended December 31, 2021, 2020 and 2019, respectively. The amount of accrued interest, which includes interest related to uncertain tax positions and accrued income tax expense, recorded on the Consolidated Statement of Financial Condition as of December 31, 2021, 2020 and 2019 was $0.9 million.</w:t>
      </w:r>
    </w:p>
    <w:p>
      <w:pPr>
        <w:spacing w:after="0" w:line="171" w:lineRule="exact"/>
        <w:rPr>
          <w:sz w:val="20"/>
          <w:szCs w:val="20"/>
          <w:color w:val="auto"/>
        </w:rPr>
      </w:pPr>
    </w:p>
    <w:p>
      <w:pPr>
        <w:jc w:val="both"/>
        <w:ind w:right="20" w:firstLine="589"/>
        <w:spacing w:after="0" w:line="252" w:lineRule="auto"/>
        <w:rPr>
          <w:sz w:val="20"/>
          <w:szCs w:val="20"/>
          <w:color w:val="auto"/>
        </w:rPr>
      </w:pPr>
      <w:r>
        <w:rPr>
          <w:rFonts w:ascii="Arial" w:cs="Arial" w:eastAsia="Arial" w:hAnsi="Arial"/>
          <w:sz w:val="18"/>
          <w:szCs w:val="18"/>
          <w:color w:val="auto"/>
        </w:rPr>
        <w:t>The Company is under examination by tax authorities in certain jurisdictions, including foreign jurisdictions, such as the United Kingdom, Switzerland and India, and states in the U.S. in which the Company has significant operations, such as New York and California. The tax years currently under examination vary by jurisdiction but include years ranging from 2008 through 2020.</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14" w:lineRule="exact"/>
        <w:rPr>
          <w:sz w:val="20"/>
          <w:szCs w:val="20"/>
          <w:color w:val="auto"/>
        </w:rPr>
      </w:pPr>
    </w:p>
    <w:p>
      <w:pPr>
        <w:ind w:firstLine="589"/>
        <w:spacing w:after="0" w:line="248" w:lineRule="auto"/>
        <w:rPr>
          <w:sz w:val="20"/>
          <w:szCs w:val="20"/>
          <w:color w:val="auto"/>
        </w:rPr>
      </w:pPr>
      <w:r>
        <w:rPr>
          <w:rFonts w:ascii="Arial" w:cs="Arial" w:eastAsia="Arial" w:hAnsi="Arial"/>
          <w:sz w:val="18"/>
          <w:szCs w:val="18"/>
          <w:color w:val="auto"/>
        </w:rPr>
        <w:t xml:space="preserve">ASC Subtopic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or CODM, in deciding how to allocate resources and assess performance. MSCI’s Chief Executive Officer and its President and Chief Operating Officer, who are together considered to be its CODM, review financial information presented on an operating segment basis for purposes of making operating decisions and assessing financial performance.</w:t>
      </w:r>
    </w:p>
    <w:p>
      <w:pPr>
        <w:spacing w:after="0" w:line="192" w:lineRule="exact"/>
        <w:rPr>
          <w:sz w:val="20"/>
          <w:szCs w:val="20"/>
          <w:color w:val="auto"/>
        </w:rPr>
      </w:pPr>
    </w:p>
    <w:p>
      <w:pPr>
        <w:ind w:right="60" w:firstLine="589"/>
        <w:spacing w:after="0" w:line="281" w:lineRule="auto"/>
        <w:rPr>
          <w:sz w:val="20"/>
          <w:szCs w:val="20"/>
          <w:color w:val="auto"/>
        </w:rPr>
      </w:pPr>
      <w:r>
        <w:rPr>
          <w:rFonts w:ascii="Arial" w:cs="Arial" w:eastAsia="Arial" w:hAnsi="Arial"/>
          <w:sz w:val="16"/>
          <w:szCs w:val="16"/>
          <w:color w:val="auto"/>
        </w:rPr>
        <w:t>The CODM measures and evaluates reportable segments based on segment operating revenues as well as Adjusted EBITDA and other measures. The Company excludes the following items from segment Adjusted EBITDA: provision for income taxes, other expense (income), net, depreciation and amortization of property, equipment and leasehold improvements, amortization of intangible assets and, at times, certain other transactions or adjustments, including impairment related to sublease of leased property, certain non-recurring acquisition-related integration and transaction costs and the impact related to the vesting of multi-year restricted stock units granted in 2016 to certain senior executives that are subject to the achievement of multi-year total shareholder return targets, which are performance targets with a market condition (the “2016 Multi-Year PSUs”), that the CODM does not consider for the purposes of making decisions to allocate resources among segments or to assess segment performance. Although these amounts are excluded from segment Adjusted EBITDA, they are included in reported consolidated net income and are included in the reconciliation that follows.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94" w:name="page95"/>
    <w:bookmarkEnd w:id="94"/>
    <w:p>
      <w:pPr>
        <w:jc w:val="both"/>
        <w:ind w:right="240" w:firstLine="589"/>
        <w:spacing w:after="0" w:line="261" w:lineRule="auto"/>
        <w:rPr>
          <w:sz w:val="20"/>
          <w:szCs w:val="20"/>
          <w:color w:val="auto"/>
        </w:rPr>
      </w:pPr>
      <w:r>
        <w:rPr>
          <w:rFonts w:ascii="Arial" w:cs="Arial" w:eastAsia="Arial" w:hAnsi="Arial"/>
          <w:sz w:val="18"/>
          <w:szCs w:val="18"/>
          <w:color w:val="auto"/>
        </w:rPr>
        <w:t>The Company’s computation of segment Adjusted EBITDA may not be comparable to other similarly-titled measures computed by other companies because all companies do not calculate segment Adjusted EBITDA in the same fashion.</w:t>
      </w:r>
    </w:p>
    <w:p>
      <w:pPr>
        <w:spacing w:after="0" w:line="181" w:lineRule="exact"/>
        <w:rPr>
          <w:sz w:val="20"/>
          <w:szCs w:val="20"/>
          <w:color w:val="auto"/>
        </w:rPr>
      </w:pPr>
    </w:p>
    <w:p>
      <w:pPr>
        <w:jc w:val="both"/>
        <w:ind w:right="240" w:firstLine="589"/>
        <w:spacing w:after="0" w:line="290" w:lineRule="auto"/>
        <w:rPr>
          <w:sz w:val="20"/>
          <w:szCs w:val="20"/>
          <w:color w:val="auto"/>
        </w:rPr>
      </w:pPr>
      <w:r>
        <w:rPr>
          <w:rFonts w:ascii="Arial" w:cs="Arial" w:eastAsia="Arial" w:hAnsi="Arial"/>
          <w:sz w:val="16"/>
          <w:szCs w:val="16"/>
          <w:color w:val="auto"/>
        </w:rPr>
        <w:t>Operating revenues and expenses directly associated with each segment are included in determining its operating results. Other expenses that are not directly attributable to a particular segment are based upon allocation methodologies, including time estimates, revenue, headcount, sales targets, data center consumption and other relevant usage measures. Due to the integrated structure of MSCI’s business, certain costs incurred by one segment may benefit other segments. A segment may use the content and data produced by another segment without incurring an arm’s-length intersegment charge.</w:t>
      </w:r>
    </w:p>
    <w:p>
      <w:pPr>
        <w:spacing w:after="0" w:line="162" w:lineRule="exact"/>
        <w:rPr>
          <w:sz w:val="20"/>
          <w:szCs w:val="20"/>
          <w:color w:val="auto"/>
        </w:rPr>
      </w:pPr>
    </w:p>
    <w:p>
      <w:pPr>
        <w:ind w:right="400" w:firstLine="589"/>
        <w:spacing w:after="0" w:line="361" w:lineRule="auto"/>
        <w:rPr>
          <w:sz w:val="20"/>
          <w:szCs w:val="20"/>
          <w:color w:val="auto"/>
        </w:rPr>
      </w:pPr>
      <w:r>
        <w:rPr>
          <w:rFonts w:ascii="Arial" w:cs="Arial" w:eastAsia="Arial" w:hAnsi="Arial"/>
          <w:sz w:val="15"/>
          <w:szCs w:val="15"/>
          <w:color w:val="auto"/>
        </w:rPr>
        <w:t>The CODM does not review any information regarding total assets on an operating segment basis. Operating segments do not record intersegment revenues, and, accordingly, there is none to be reported. The accounting policies for segment reporting are the same as for MSCI as a whole.</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has five operating segments: Index, Analytics, ESG and Climate, Real Estate and Burgiss, which are presented as the following four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segments: Index, Analytics, ESG and Climate and All Other – Private Assets.</w:t>
      </w:r>
    </w:p>
    <w:p>
      <w:pPr>
        <w:spacing w:after="0" w:line="202" w:lineRule="exact"/>
        <w:rPr>
          <w:sz w:val="20"/>
          <w:szCs w:val="20"/>
          <w:color w:val="auto"/>
        </w:rPr>
      </w:pPr>
    </w:p>
    <w:p>
      <w:pPr>
        <w:ind w:right="80" w:firstLine="589"/>
        <w:spacing w:after="0" w:line="306" w:lineRule="auto"/>
        <w:rPr>
          <w:sz w:val="20"/>
          <w:szCs w:val="20"/>
          <w:color w:val="auto"/>
        </w:rPr>
      </w:pPr>
      <w:r>
        <w:rPr>
          <w:rFonts w:ascii="Arial" w:cs="Arial" w:eastAsia="Arial" w:hAnsi="Arial"/>
          <w:sz w:val="15"/>
          <w:szCs w:val="15"/>
          <w:color w:val="auto"/>
        </w:rPr>
        <w:t>Effective January 1, 2021, the Company began presenting four reportable segments with the ESG and Climate operating segment being presented as a separate reportable segment. The operating segments of Real Estate and Burgiss do not individually meet the segment reporting thresholds and have been combined and presented as part of All Other – Private Assets reportable segment. The Company’s ownership interest in Burgiss is classified as an equity-method investment. Therefore, the All Other – Private Assets segment does not include the Company’s proportionate share of operating revenues and Adjusted EBITDA related to Burgiss. The Company’s proportionate share of the income or loss from its equity-method investment in Burgiss is not a component of Adjusted EBITDA as it is reported as a component of other (expense) income, net. Prior period amounts have been recast to reflect the current presentation.</w:t>
      </w:r>
    </w:p>
    <w:p>
      <w:pPr>
        <w:spacing w:after="0" w:line="153" w:lineRule="exact"/>
        <w:rPr>
          <w:sz w:val="20"/>
          <w:szCs w:val="20"/>
          <w:color w:val="auto"/>
        </w:rPr>
      </w:pPr>
    </w:p>
    <w:p>
      <w:pPr>
        <w:jc w:val="both"/>
        <w:ind w:right="80" w:firstLine="589"/>
        <w:spacing w:after="0" w:line="252" w:lineRule="auto"/>
        <w:rPr>
          <w:sz w:val="20"/>
          <w:szCs w:val="20"/>
          <w:color w:val="auto"/>
        </w:rPr>
      </w:pPr>
      <w:r>
        <w:rPr>
          <w:rFonts w:ascii="Arial" w:cs="Arial" w:eastAsia="Arial" w:hAnsi="Arial"/>
          <w:sz w:val="18"/>
          <w:szCs w:val="18"/>
          <w:color w:val="auto"/>
        </w:rPr>
        <w:t>The Index operating segment offers equity and fixed income indexes. The indexes are used in many areas of the investment process, including indexed product creation (e.g., ETFs, mutual funds, annuities, futures, options, structured products, over-the-counter derivatives), performance benchmarking, portfolio construction and rebalancing, and asset allocation.</w:t>
      </w:r>
    </w:p>
    <w:p>
      <w:pPr>
        <w:spacing w:after="0" w:line="189" w:lineRule="exact"/>
        <w:rPr>
          <w:sz w:val="20"/>
          <w:szCs w:val="20"/>
          <w:color w:val="auto"/>
        </w:rPr>
      </w:pPr>
    </w:p>
    <w:p>
      <w:pPr>
        <w:ind w:right="240" w:firstLine="589"/>
        <w:spacing w:after="0" w:line="284" w:lineRule="auto"/>
        <w:rPr>
          <w:sz w:val="20"/>
          <w:szCs w:val="20"/>
          <w:color w:val="auto"/>
        </w:rPr>
      </w:pPr>
      <w:r>
        <w:rPr>
          <w:rFonts w:ascii="Arial" w:cs="Arial" w:eastAsia="Arial" w:hAnsi="Arial"/>
          <w:sz w:val="16"/>
          <w:szCs w:val="16"/>
          <w:color w:val="auto"/>
        </w:rPr>
        <w:t>The Analytics operating segment offers risk management, performance attribution and portfolio management content, applications and services that provide clients with an integrated view of risk and return and tools for analyzing market, credit, liquidity, counterparty and climate risk across all major asset classes, spanning short-, medium- and long-term time horizons. Clients access Analytics tools and content through MSCI’s proprietary applications and application programming interfaces, third-party applications or directly through their own platforms. Additionally, the Analytics operating segment also provides various managed services to help clients operate more efficiently, including consolidation of client portfolio data from various sources, review and reconciliation of input data and results, and customized reporting.</w:t>
      </w:r>
    </w:p>
    <w:p>
      <w:pPr>
        <w:spacing w:after="0" w:line="166" w:lineRule="exact"/>
        <w:rPr>
          <w:sz w:val="20"/>
          <w:szCs w:val="20"/>
          <w:color w:val="auto"/>
        </w:rPr>
      </w:pPr>
    </w:p>
    <w:p>
      <w:pPr>
        <w:ind w:right="120" w:firstLine="589"/>
        <w:spacing w:after="0" w:line="249" w:lineRule="auto"/>
        <w:rPr>
          <w:sz w:val="20"/>
          <w:szCs w:val="20"/>
          <w:color w:val="auto"/>
        </w:rPr>
      </w:pPr>
      <w:r>
        <w:rPr>
          <w:rFonts w:ascii="Arial" w:cs="Arial" w:eastAsia="Arial" w:hAnsi="Arial"/>
          <w:sz w:val="18"/>
          <w:szCs w:val="18"/>
          <w:color w:val="auto"/>
        </w:rPr>
        <w:t>The ESG and Climate operating segment offers products and services that help institutional investors understand how ESG and climate considerations can impact the long-term risk and return of their portfolio and individual security-level investments. In addition, the ESG and Climate operating segment provides data, ratings, research and tools to help investors navigate increasing regulation, meet new client demands and better integrate ESG and climate elements into their investment processes.</w:t>
      </w:r>
    </w:p>
    <w:p>
      <w:pPr>
        <w:spacing w:after="0" w:line="19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Real Estate operating segment offers real estate market and transaction data, benchmarks, return-analytics, climate assessments and market insights for funds, investors, managers and other real estate market participants. In addition, Real Estate performance and risk analytics range from enterprise-wide to property-specific analysis. The Real Estate operating segment also provides business intelligence products to real estate owners, managers, developers and brokers worldwide. Financial results related to the acquisition of RCA have been included prospectively as a component of the Real Estate operating segment, presented as a component of the All Other – Private Assets reportable segment, as of September 13, 2021.</w:t>
      </w:r>
    </w:p>
    <w:p>
      <w:pPr>
        <w:spacing w:after="0" w:line="166" w:lineRule="exact"/>
        <w:rPr>
          <w:sz w:val="20"/>
          <w:szCs w:val="20"/>
          <w:color w:val="auto"/>
        </w:rPr>
      </w:pPr>
    </w:p>
    <w:p>
      <w:pPr>
        <w:ind w:right="120" w:firstLine="589"/>
        <w:spacing w:after="0" w:line="261" w:lineRule="auto"/>
        <w:rPr>
          <w:sz w:val="20"/>
          <w:szCs w:val="20"/>
          <w:color w:val="auto"/>
        </w:rPr>
      </w:pPr>
      <w:r>
        <w:rPr>
          <w:rFonts w:ascii="Arial" w:cs="Arial" w:eastAsia="Arial" w:hAnsi="Arial"/>
          <w:sz w:val="18"/>
          <w:szCs w:val="18"/>
          <w:color w:val="auto"/>
        </w:rPr>
        <w:t>The Burgiss operating segment represents the Company’s equity method investment in Burgiss, a global provider of investment decision support tools for private capital.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5" w:name="page96"/>
    <w:bookmarkEnd w:id="95"/>
    <w:p>
      <w:pPr>
        <w:ind w:firstLine="589"/>
        <w:spacing w:after="0" w:line="252" w:lineRule="auto"/>
        <w:rPr>
          <w:sz w:val="20"/>
          <w:szCs w:val="20"/>
          <w:color w:val="auto"/>
        </w:rPr>
      </w:pPr>
      <w:r>
        <w:rPr>
          <w:rFonts w:ascii="Arial" w:cs="Arial" w:eastAsia="Arial" w:hAnsi="Arial"/>
          <w:sz w:val="18"/>
          <w:szCs w:val="18"/>
          <w:color w:val="auto"/>
        </w:rPr>
        <w:t>The change in reportable segments has not resulted in any changes to MSCI’s Chief Operating Decision Maker (“CODM”) or the basis for segment profitability. The CODM continues to measure and evaluate reportable segments based on segment operating revenues as well as Adjusted EBITDA and other measures.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operating revenues by reportable segment for the periods indicated:</w:t>
      </w:r>
    </w:p>
    <w:p>
      <w:pPr>
        <w:spacing w:after="0" w:line="282"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5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980" w:type="dxa"/>
            <w:vAlign w:val="bottom"/>
          </w:tcPr>
          <w:p>
            <w:pPr>
              <w:jc w:val="right"/>
              <w:ind w:right="5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99"/>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revenues</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Index</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1,251,764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1,016,495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920,937</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Analytics</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544,299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496,925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ESG and Climate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166,192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90,659</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All Other - Private Assets</w:t>
            </w:r>
          </w:p>
        </w:tc>
        <w:tc>
          <w:tcPr>
            <w:tcW w:w="1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81,289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53,723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49,275</w:t>
            </w:r>
          </w:p>
        </w:tc>
        <w:tc>
          <w:tcPr>
            <w:tcW w:w="80" w:type="dxa"/>
            <w:vAlign w:val="bottom"/>
            <w:shd w:val="clear" w:color="auto" w:fill="CFF0FC"/>
          </w:tcPr>
          <w:p>
            <w:pPr>
              <w:spacing w:after="0"/>
              <w:rPr>
                <w:sz w:val="19"/>
                <w:szCs w:val="19"/>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2,043,544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1,695,390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1,557,796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segment profitability and a reconciliation to net income for the periods indicated:</w:t>
      </w:r>
    </w:p>
    <w:p>
      <w:pPr>
        <w:spacing w:after="0" w:line="282"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98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95"/>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Index Adjusted EBITDA</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951,312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766,493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670,188</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Analytics Adjusted EBITDA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198,799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172,924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152,113</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ESG and Climate Adjusted EBITDA</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21,813</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All Other - Private Assets Adjusted EBITDA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6,385</w:t>
            </w: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segment profitability</w:t>
            </w:r>
          </w:p>
        </w:tc>
        <w:tc>
          <w:tcPr>
            <w:tcW w:w="9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1,196,790</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971,510</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850,499</w:t>
            </w:r>
          </w:p>
        </w:tc>
        <w:tc>
          <w:tcPr>
            <w:tcW w:w="80" w:type="dxa"/>
            <w:vAlign w:val="bottom"/>
            <w:tcBorders>
              <w:top w:val="single" w:sz="8" w:color="CFF0FC"/>
            </w:tcBorders>
            <w:shd w:val="clear" w:color="auto" w:fill="CFF0FC"/>
          </w:tcPr>
          <w:p>
            <w:pPr>
              <w:spacing w:after="0"/>
              <w:rPr>
                <w:sz w:val="18"/>
                <w:szCs w:val="18"/>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49,410</w:t>
            </w:r>
          </w:p>
        </w:tc>
        <w:tc>
          <w:tcPr>
            <w:tcW w:w="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equipment and leasehold improvements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29,999</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Impairment related to sublease of leased property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integration and</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14"/>
                <w:szCs w:val="14"/>
                <w:color w:val="auto"/>
              </w:rPr>
              <w:t>(1)</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2016 Multi-Year PSUs grant payroll tax expense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15,389</w:t>
            </w: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1,072,725</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884,764</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755,701</w:t>
            </w:r>
          </w:p>
        </w:tc>
        <w:tc>
          <w:tcPr>
            <w:tcW w:w="80" w:type="dxa"/>
            <w:vAlign w:val="bottom"/>
            <w:tcBorders>
              <w:top w:val="single" w:sz="8" w:color="CFF0FC"/>
            </w:tcBorders>
            <w:shd w:val="clear" w:color="auto" w:fill="CFF0FC"/>
          </w:tcPr>
          <w:p>
            <w:pPr>
              <w:spacing w:after="0"/>
              <w:rPr>
                <w:sz w:val="18"/>
                <w:szCs w:val="18"/>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214,589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198,539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152,383</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132,153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39,670</w:t>
            </w:r>
          </w:p>
        </w:tc>
        <w:tc>
          <w:tcPr>
            <w:tcW w:w="80" w:type="dxa"/>
            <w:vAlign w:val="bottom"/>
            <w:shd w:val="clear" w:color="auto" w:fill="CFF0FC"/>
          </w:tcPr>
          <w:p>
            <w:pPr>
              <w:spacing w:after="0"/>
              <w:rPr>
                <w:sz w:val="19"/>
                <w:szCs w:val="19"/>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725,983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601,822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563,648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6" w:lineRule="exact"/>
        <w:rPr>
          <w:sz w:val="20"/>
          <w:szCs w:val="20"/>
          <w:color w:val="auto"/>
        </w:rPr>
      </w:pPr>
    </w:p>
    <w:p>
      <w:pPr>
        <w:ind w:left="640" w:right="20" w:hanging="635"/>
        <w:spacing w:after="0" w:line="232" w:lineRule="auto"/>
        <w:tabs>
          <w:tab w:leader="none" w:pos="640" w:val="left"/>
        </w:tabs>
        <w:numPr>
          <w:ilvl w:val="0"/>
          <w:numId w:val="52"/>
        </w:numPr>
        <w:rPr>
          <w:rFonts w:ascii="Arial" w:cs="Arial" w:eastAsia="Arial" w:hAnsi="Arial"/>
          <w:sz w:val="15"/>
          <w:szCs w:val="15"/>
          <w:color w:val="auto"/>
        </w:rPr>
      </w:pPr>
      <w:r>
        <w:rPr>
          <w:rFonts w:ascii="Arial" w:cs="Arial" w:eastAsia="Arial" w:hAnsi="Arial"/>
          <w:sz w:val="14"/>
          <w:szCs w:val="14"/>
          <w:color w:val="auto"/>
        </w:rPr>
        <w:t>Incremental and non-recurring costs attributable to acquisitions directly related to the execution of the transaction and integration of the acquired business that have occurred no later than 12 months after the close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9931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96" w:name="page97"/>
    <w:bookmarkEnd w:id="96"/>
    <w:p>
      <w:pPr>
        <w:ind w:right="580" w:firstLine="589"/>
        <w:spacing w:after="0" w:line="261" w:lineRule="auto"/>
        <w:rPr>
          <w:sz w:val="20"/>
          <w:szCs w:val="20"/>
          <w:color w:val="auto"/>
        </w:rPr>
      </w:pPr>
      <w:r>
        <w:rPr>
          <w:rFonts w:ascii="Arial" w:cs="Arial" w:eastAsia="Arial" w:hAnsi="Arial"/>
          <w:sz w:val="18"/>
          <w:szCs w:val="18"/>
          <w:color w:val="auto"/>
        </w:rPr>
        <w:t>Operating revenues by geography are based on the shipping address of the ultimate customer utilizing the product. The following table presents revenue by geographic area for the periods indicated:</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Years Ended</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96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r>
      <w:tr>
        <w:trPr>
          <w:trHeight w:val="167"/>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7"/>
        </w:trPr>
        <w:tc>
          <w:tcPr>
            <w:tcW w:w="20" w:type="dxa"/>
            <w:vAlign w:val="bottom"/>
          </w:tcPr>
          <w:p>
            <w:pPr>
              <w:spacing w:after="0"/>
              <w:rPr>
                <w:sz w:val="18"/>
                <w:szCs w:val="18"/>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revenues</w:t>
            </w:r>
          </w:p>
        </w:tc>
        <w:tc>
          <w:tcPr>
            <w:tcW w:w="10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United States</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836,880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723,962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698,105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65,997</w:t>
            </w:r>
          </w:p>
        </w:tc>
        <w:tc>
          <w:tcPr>
            <w:tcW w:w="80" w:type="dxa"/>
            <w:vAlign w:val="bottom"/>
            <w:tcBorders>
              <w:bottom w:val="single" w:sz="8" w:color="CFF0FC"/>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Americas</w:t>
            </w:r>
          </w:p>
        </w:tc>
        <w:tc>
          <w:tcPr>
            <w:tcW w:w="10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922,624</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795,370</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764,102</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Europe, the Middle East and Africa ("EMEA"):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United Kingdom</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234,926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454,239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364,547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325,221</w:t>
            </w:r>
          </w:p>
        </w:tc>
        <w:tc>
          <w:tcPr>
            <w:tcW w:w="80" w:type="dxa"/>
            <w:vAlign w:val="bottom"/>
            <w:tcBorders>
              <w:bottom w:val="single" w:sz="8" w:color="CFF0FC"/>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EMEA</w:t>
            </w:r>
          </w:p>
        </w:tc>
        <w:tc>
          <w:tcPr>
            <w:tcW w:w="10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799,215</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626,735</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560,147</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Asia &amp; Australia: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Japan</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71,629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230,286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192,694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161,918</w:t>
            </w:r>
          </w:p>
        </w:tc>
        <w:tc>
          <w:tcPr>
            <w:tcW w:w="80" w:type="dxa"/>
            <w:vAlign w:val="bottom"/>
            <w:tcBorders>
              <w:bottom w:val="single" w:sz="8" w:color="CFF0FC"/>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Asia &amp; Australia</w:t>
            </w:r>
          </w:p>
        </w:tc>
        <w:tc>
          <w:tcPr>
            <w:tcW w:w="10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321,705</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273,285</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233,547</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2,043,544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1,695,390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1,557,796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40" w:firstLine="589"/>
        <w:spacing w:after="0" w:line="324" w:lineRule="auto"/>
        <w:rPr>
          <w:sz w:val="20"/>
          <w:szCs w:val="20"/>
          <w:color w:val="auto"/>
        </w:rPr>
      </w:pPr>
      <w:r>
        <w:rPr>
          <w:rFonts w:ascii="Arial" w:cs="Arial" w:eastAsia="Arial" w:hAnsi="Arial"/>
          <w:sz w:val="16"/>
          <w:szCs w:val="16"/>
          <w:color w:val="auto"/>
        </w:rPr>
        <w:t>Long-lived assets consist of property, equipment and leasehold improvements, right of use assets and internally developed capitalized software, net of accumulated depreciation and amortization. The following table presents long-lived assets by geographic area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97"/>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35"/>
              <w:spacing w:after="0" w:line="141" w:lineRule="exact"/>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4"/>
          </w:tcPr>
          <w:p>
            <w:pPr>
              <w:jc w:val="right"/>
              <w:ind w:right="775"/>
              <w:spacing w:after="0" w:line="151" w:lineRule="exact"/>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Long-lived assets</w:t>
            </w:r>
          </w:p>
        </w:tc>
        <w:tc>
          <w:tcPr>
            <w:tcW w:w="2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1700"/>
              <w:spacing w:after="0"/>
              <w:rPr>
                <w:sz w:val="20"/>
                <w:szCs w:val="20"/>
                <w:color w:val="auto"/>
              </w:rPr>
            </w:pPr>
            <w:r>
              <w:rPr>
                <w:rFonts w:ascii="Arial" w:cs="Arial" w:eastAsia="Arial" w:hAnsi="Arial"/>
                <w:sz w:val="18"/>
                <w:szCs w:val="18"/>
                <w:color w:val="auto"/>
              </w:rPr>
              <w:t>Americas: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2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167,870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182,776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Total Americas</w:t>
            </w:r>
          </w:p>
        </w:tc>
        <w:tc>
          <w:tcPr>
            <w:tcW w:w="26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181,350</w:t>
            </w: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196,725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700"/>
              <w:spacing w:after="0"/>
              <w:rPr>
                <w:sz w:val="20"/>
                <w:szCs w:val="20"/>
                <w:color w:val="auto"/>
              </w:rPr>
            </w:pPr>
            <w:r>
              <w:rPr>
                <w:rFonts w:ascii="Arial" w:cs="Arial" w:eastAsia="Arial" w:hAnsi="Arial"/>
                <w:sz w:val="18"/>
                <w:szCs w:val="18"/>
                <w:color w:val="auto"/>
              </w:rPr>
              <w:t>EMEA:</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2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19,678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Total EMEA</w:t>
            </w:r>
          </w:p>
        </w:tc>
        <w:tc>
          <w:tcPr>
            <w:tcW w:w="26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53,803</w:t>
            </w: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53,239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700"/>
              <w:spacing w:after="0"/>
              <w:rPr>
                <w:sz w:val="20"/>
                <w:szCs w:val="20"/>
                <w:color w:val="auto"/>
              </w:rPr>
            </w:pPr>
            <w:r>
              <w:rPr>
                <w:rFonts w:ascii="Arial" w:cs="Arial" w:eastAsia="Arial" w:hAnsi="Arial"/>
                <w:sz w:val="18"/>
                <w:szCs w:val="18"/>
                <w:color w:val="auto"/>
              </w:rPr>
              <w:t>Asia &amp; Australia:</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Japan</w:t>
            </w:r>
          </w:p>
        </w:tc>
        <w:tc>
          <w:tcPr>
            <w:tcW w:w="2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Total Asia &amp; Australia</w:t>
            </w:r>
          </w:p>
        </w:tc>
        <w:tc>
          <w:tcPr>
            <w:tcW w:w="26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33,023</w:t>
            </w: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39,842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268,176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289,806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80" w:type="dxa"/>
            <w:vAlign w:val="bottom"/>
            <w:vMerge w:val="restart"/>
          </w:tcPr>
          <w:p>
            <w:pPr>
              <w:jc w:val="right"/>
              <w:ind w:right="1272"/>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14. QUARTERLY RESULTS OF OPERATIONS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3"/>
              </w:rPr>
              <w:t>2020</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20"/>
              <w:spacing w:after="0" w:line="141"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line="141" w:lineRule="exact"/>
              <w:rPr>
                <w:sz w:val="20"/>
                <w:szCs w:val="20"/>
                <w:color w:val="auto"/>
              </w:rPr>
            </w:pPr>
            <w:r>
              <w:rPr>
                <w:rFonts w:ascii="Arial" w:cs="Arial" w:eastAsia="Arial" w:hAnsi="Arial"/>
                <w:sz w:val="14"/>
                <w:szCs w:val="14"/>
                <w:b w:val="1"/>
                <w:bCs w:val="1"/>
                <w:color w:val="auto"/>
                <w:w w:val="90"/>
              </w:rPr>
              <w:t>Second</w:t>
            </w:r>
          </w:p>
        </w:tc>
        <w:tc>
          <w:tcPr>
            <w:tcW w:w="100" w:type="dxa"/>
            <w:vAlign w:val="bottom"/>
          </w:tcPr>
          <w:p>
            <w:pPr>
              <w:spacing w:after="0"/>
              <w:rPr>
                <w:sz w:val="12"/>
                <w:szCs w:val="12"/>
                <w:color w:val="auto"/>
              </w:rPr>
            </w:pPr>
          </w:p>
        </w:tc>
        <w:tc>
          <w:tcPr>
            <w:tcW w:w="840" w:type="dxa"/>
            <w:vAlign w:val="bottom"/>
            <w:gridSpan w:val="2"/>
          </w:tcPr>
          <w:p>
            <w:pPr>
              <w:jc w:val="right"/>
              <w:ind w:right="400"/>
              <w:spacing w:after="0" w:line="141"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2"/>
                <w:szCs w:val="12"/>
                <w:color w:val="auto"/>
              </w:rPr>
            </w:pPr>
          </w:p>
        </w:tc>
        <w:tc>
          <w:tcPr>
            <w:tcW w:w="620" w:type="dxa"/>
            <w:vAlign w:val="bottom"/>
          </w:tcPr>
          <w:p>
            <w:pPr>
              <w:jc w:val="right"/>
              <w:ind w:right="82"/>
              <w:spacing w:after="0" w:line="141" w:lineRule="exact"/>
              <w:rPr>
                <w:sz w:val="20"/>
                <w:szCs w:val="20"/>
                <w:color w:val="auto"/>
              </w:rPr>
            </w:pPr>
            <w:r>
              <w:rPr>
                <w:rFonts w:ascii="Arial" w:cs="Arial" w:eastAsia="Arial" w:hAnsi="Arial"/>
                <w:sz w:val="14"/>
                <w:szCs w:val="14"/>
                <w:b w:val="1"/>
                <w:bCs w:val="1"/>
                <w:color w:val="auto"/>
                <w:w w:val="99"/>
              </w:rPr>
              <w:t>Fourth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40"/>
              <w:spacing w:after="0" w:line="141"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2"/>
                <w:szCs w:val="12"/>
                <w:color w:val="auto"/>
              </w:rPr>
            </w:pPr>
          </w:p>
        </w:tc>
        <w:tc>
          <w:tcPr>
            <w:tcW w:w="620" w:type="dxa"/>
            <w:vAlign w:val="bottom"/>
          </w:tcPr>
          <w:p>
            <w:pPr>
              <w:jc w:val="right"/>
              <w:ind w:right="62"/>
              <w:spacing w:after="0" w:line="141" w:lineRule="exact"/>
              <w:rPr>
                <w:sz w:val="20"/>
                <w:szCs w:val="20"/>
                <w:color w:val="auto"/>
              </w:rPr>
            </w:pPr>
            <w:r>
              <w:rPr>
                <w:rFonts w:ascii="Arial" w:cs="Arial" w:eastAsia="Arial" w:hAnsi="Arial"/>
                <w:sz w:val="14"/>
                <w:szCs w:val="14"/>
                <w:b w:val="1"/>
                <w:bCs w:val="1"/>
                <w:color w:val="auto"/>
                <w:w w:val="90"/>
              </w:rPr>
              <w:t>Second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2"/>
              <w:spacing w:after="0" w:line="141"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51"/>
        </w:trPr>
        <w:tc>
          <w:tcPr>
            <w:tcW w:w="38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9"/>
          </w:tcPr>
          <w:p>
            <w:pPr>
              <w:jc w:val="right"/>
              <w:spacing w:after="0" w:line="151" w:lineRule="exact"/>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478,423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498,180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517,099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549,842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416,780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409,616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425,333</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443,661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Cost of revenues</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85,780</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87,327</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89,674</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95,903</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74,609</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70,456</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70,704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75,935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Selling and marketing</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56,467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58,191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59,819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68,708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55,549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51,617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24,862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27,531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28,352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26,562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22,534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34,728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30,182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44,873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30,833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15,068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30,396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14,105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14,062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 of</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equipment and</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leasehold improvements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7,143</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7,020</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6,809</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7,929</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7,567</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7,463</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224,048</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240,647</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236,869</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269,255</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208,896</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194,441</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197,713</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209,576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254,375</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257,533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280,230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280,587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207,884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215,175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227,620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234,085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8"/>
                <w:szCs w:val="18"/>
                <w:color w:val="auto"/>
              </w:rPr>
            </w:pPr>
          </w:p>
        </w:tc>
        <w:tc>
          <w:tcPr>
            <w:tcW w:w="840" w:type="dxa"/>
            <w:vAlign w:val="bottom"/>
            <w:gridSpan w:val="2"/>
          </w:tcPr>
          <w:p>
            <w:pPr>
              <w:jc w:val="right"/>
              <w:ind w:right="83"/>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4"/>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37,584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39,557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42,137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40,336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40,231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37,536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6"/>
                <w:szCs w:val="16"/>
                <w:color w:val="auto"/>
              </w:rPr>
              <w:t>Other expense (income)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22,628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(5,144)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35,552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expense (income), net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38,347</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61,838</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79,580</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34,824</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45,035</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76,008</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38,577</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38,919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tcPr>
          <w:p>
            <w:pPr>
              <w:spacing w:after="0"/>
              <w:rPr>
                <w:sz w:val="20"/>
                <w:szCs w:val="20"/>
                <w:color w:val="auto"/>
              </w:rPr>
            </w:pPr>
            <w:r>
              <w:rPr>
                <w:rFonts w:ascii="Arial" w:cs="Arial" w:eastAsia="Arial" w:hAnsi="Arial"/>
                <w:sz w:val="16"/>
                <w:szCs w:val="16"/>
                <w:color w:val="auto"/>
              </w:rPr>
              <w:t>Income before provision for</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216,028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195,695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200,650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245,763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162,849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139,167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189,043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195,166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19,209</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30,272</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30,774</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51,898</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14,724</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24,044</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196,819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165,423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169,876</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193,865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148,125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115,123</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182,358</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156,216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8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Earnings per basic common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2.38</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2.01</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share</w:t>
            </w: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Earnings per diluted common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2.32</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1.36</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share</w:t>
            </w: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Weighted average shares outstanding</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20" w:type="dxa"/>
            <w:vAlign w:val="bottom"/>
          </w:tcPr>
          <w:p>
            <w:pPr>
              <w:ind w:left="120"/>
              <w:spacing w:after="0"/>
              <w:rPr>
                <w:sz w:val="20"/>
                <w:szCs w:val="20"/>
                <w:color w:val="auto"/>
              </w:rPr>
            </w:pPr>
            <w:r>
              <w:rPr>
                <w:rFonts w:ascii="Arial" w:cs="Arial" w:eastAsia="Arial" w:hAnsi="Arial"/>
                <w:sz w:val="16"/>
                <w:szCs w:val="16"/>
                <w:color w:val="auto"/>
              </w:rPr>
              <w:t>used in computing per share data</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82,640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82,454</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82,470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82,473</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84,870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83,666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83,602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82,737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83,493</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83,295</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83,554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83,578</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85,548</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84,349</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84,479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14" w:lineRule="exact"/>
        <w:rPr>
          <w:sz w:val="20"/>
          <w:szCs w:val="20"/>
          <w:color w:val="auto"/>
        </w:rPr>
      </w:pPr>
    </w:p>
    <w:p>
      <w:pPr>
        <w:ind w:right="360" w:firstLine="589"/>
        <w:spacing w:after="0" w:line="261" w:lineRule="auto"/>
        <w:rPr>
          <w:sz w:val="20"/>
          <w:szCs w:val="20"/>
          <w:color w:val="auto"/>
        </w:rPr>
      </w:pPr>
      <w:r>
        <w:rPr>
          <w:rFonts w:ascii="Arial" w:cs="Arial" w:eastAsia="Arial" w:hAnsi="Arial"/>
          <w:sz w:val="18"/>
          <w:szCs w:val="18"/>
          <w:color w:val="auto"/>
        </w:rPr>
        <w:t>Subsequent to the year ended December 31, 2021 and through trade date of February 10, 2022, the Company repurchased an additional 1.2 million shares of common stock at an average price of $515.83 per share for a total value of $634.1 million.</w:t>
      </w:r>
    </w:p>
    <w:p>
      <w:pPr>
        <w:spacing w:after="0" w:line="76" w:lineRule="exact"/>
        <w:rPr>
          <w:sz w:val="20"/>
          <w:szCs w:val="20"/>
          <w:color w:val="auto"/>
        </w:rPr>
      </w:pPr>
    </w:p>
    <w:p>
      <w:pPr>
        <w:ind w:right="60" w:firstLine="589"/>
        <w:spacing w:after="0" w:line="261" w:lineRule="auto"/>
        <w:rPr>
          <w:sz w:val="20"/>
          <w:szCs w:val="20"/>
          <w:color w:val="auto"/>
        </w:rPr>
      </w:pPr>
      <w:r>
        <w:rPr>
          <w:rFonts w:ascii="Arial" w:cs="Arial" w:eastAsia="Arial" w:hAnsi="Arial"/>
          <w:sz w:val="18"/>
          <w:szCs w:val="18"/>
          <w:color w:val="auto"/>
        </w:rPr>
        <w:t>On January 24, 2022, the Board of Directors of the Company declared a quarterly dividend of $1.04 per share of common stock to be paid on February 28, 2022 to shareholders of record as of the close of trading on February 18, 2022.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98" w:name="page99"/>
    <w:bookmarkEnd w:id="98"/>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14"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w:t>
      </w:r>
    </w:p>
    <w:p>
      <w:pPr>
        <w:spacing w:after="0" w:line="162" w:lineRule="exact"/>
        <w:rPr>
          <w:sz w:val="20"/>
          <w:szCs w:val="20"/>
          <w:color w:val="auto"/>
        </w:rPr>
      </w:pPr>
    </w:p>
    <w:p>
      <w:pPr>
        <w:ind w:right="20" w:firstLine="589"/>
        <w:spacing w:after="0" w:line="327" w:lineRule="auto"/>
        <w:rPr>
          <w:sz w:val="20"/>
          <w:szCs w:val="20"/>
          <w:color w:val="auto"/>
        </w:rPr>
      </w:pPr>
      <w:r>
        <w:rPr>
          <w:rFonts w:ascii="Arial" w:cs="Arial" w:eastAsia="Arial" w:hAnsi="Arial"/>
          <w:sz w:val="15"/>
          <w:szCs w:val="15"/>
          <w:color w:val="auto"/>
        </w:rPr>
        <w:t>Management of the Company, with the participation of its CEO and CFO, evaluated the effectiveness of the Company’s disclosure controls and procedures. Based on their evaluation, as of December 31, 2021, the end of the period covered by this Annual Report on Form 10-K, the Company’s CEO and CFO have concluded that the Company’s disclosure controls and procedures (as defined in Rules 13a-15(e) and 15d-15(e) under the Exchange Act) were effective.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14" w:lineRule="exact"/>
        <w:rPr>
          <w:sz w:val="20"/>
          <w:szCs w:val="20"/>
          <w:color w:val="auto"/>
        </w:rPr>
      </w:pPr>
    </w:p>
    <w:p>
      <w:pPr>
        <w:ind w:right="140" w:firstLine="589"/>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60" w:lineRule="exact"/>
        <w:rPr>
          <w:sz w:val="20"/>
          <w:szCs w:val="20"/>
          <w:color w:val="auto"/>
        </w:rPr>
      </w:pPr>
    </w:p>
    <w:p>
      <w:pPr>
        <w:ind w:left="1000" w:hanging="417"/>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our transactions and dispositions of our assets,</w:t>
      </w:r>
    </w:p>
    <w:p>
      <w:pPr>
        <w:spacing w:after="0" w:line="131" w:lineRule="exact"/>
        <w:rPr>
          <w:rFonts w:ascii="Arial" w:cs="Arial" w:eastAsia="Arial" w:hAnsi="Arial"/>
          <w:sz w:val="16"/>
          <w:szCs w:val="16"/>
          <w:color w:val="auto"/>
        </w:rPr>
      </w:pPr>
    </w:p>
    <w:p>
      <w:pPr>
        <w:ind w:left="1000" w:right="380" w:hanging="417"/>
        <w:spacing w:after="0" w:line="252"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our financial statements in accordance with GAAP, and that our receipts and expenditures are being made only in accordance with authorizations of management and directors of the Company, and</w:t>
      </w:r>
    </w:p>
    <w:p>
      <w:pPr>
        <w:spacing w:after="0" w:line="84" w:lineRule="exact"/>
        <w:rPr>
          <w:rFonts w:ascii="Arial" w:cs="Arial" w:eastAsia="Arial" w:hAnsi="Arial"/>
          <w:sz w:val="18"/>
          <w:szCs w:val="18"/>
          <w:color w:val="auto"/>
        </w:rPr>
      </w:pPr>
    </w:p>
    <w:p>
      <w:pPr>
        <w:ind w:left="1000" w:right="360" w:hanging="417"/>
        <w:spacing w:after="0" w:line="261"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1"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right="440" w:firstLine="589"/>
        <w:spacing w:after="0" w:line="324" w:lineRule="auto"/>
        <w:rPr>
          <w:sz w:val="20"/>
          <w:szCs w:val="20"/>
          <w:color w:val="auto"/>
        </w:rPr>
      </w:pPr>
      <w:r>
        <w:rPr>
          <w:rFonts w:ascii="Arial" w:cs="Arial" w:eastAsia="Arial" w:hAnsi="Arial"/>
          <w:sz w:val="16"/>
          <w:szCs w:val="16"/>
          <w:color w:val="auto"/>
        </w:rPr>
        <w:t xml:space="preserve">Management assessed the effectiveness of our internal control over financial reporting as of December 31, 2021 based on the criteria described in </w:t>
      </w:r>
      <w:r>
        <w:rPr>
          <w:rFonts w:ascii="Arial" w:cs="Arial" w:eastAsia="Arial" w:hAnsi="Arial"/>
          <w:sz w:val="16"/>
          <w:szCs w:val="16"/>
          <w:i w:val="1"/>
          <w:iCs w:val="1"/>
          <w:color w:val="auto"/>
        </w:rPr>
        <w:t xml:space="preserve">Internal Control—Integrated Framework (2013) </w:t>
      </w:r>
      <w:r>
        <w:rPr>
          <w:rFonts w:ascii="Arial" w:cs="Arial" w:eastAsia="Arial" w:hAnsi="Arial"/>
          <w:sz w:val="16"/>
          <w:szCs w:val="16"/>
          <w:color w:val="auto"/>
        </w:rPr>
        <w:t>issued by the Committee of Sponsoring Organizations of the Treadway Commission (COSO).</w:t>
      </w:r>
    </w:p>
    <w:p>
      <w:pPr>
        <w:spacing w:after="0" w:line="134"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Based on this assessment, management, including the Company’s CEO and CFO, concluded that, as of December 31, 2021, our internal control over financial reporting was effective in providing reasonable assurance regarding the reliability of financial reporting and the preparation of financial statements for external purposes in accordance with generally accepted accounting principles. Management excluded Real Capital Analytics, Inc. (“RCA”), acquired on September 13, 2021, from its evaluation of internal control over financial reporting as of December 31, 2021. As of December 31, 2021, total assets of RCA, excluding acquisition method fair value adjustments, represented 0.9% of our consolidated total assets. RCA represented 1.1% of our consolidated operating revenues for the year ended December 31, 2021.</w:t>
      </w:r>
    </w:p>
    <w:p>
      <w:pPr>
        <w:spacing w:after="0" w:line="166" w:lineRule="exact"/>
        <w:rPr>
          <w:sz w:val="20"/>
          <w:szCs w:val="20"/>
          <w:color w:val="auto"/>
        </w:rPr>
      </w:pPr>
    </w:p>
    <w:p>
      <w:pPr>
        <w:ind w:right="260" w:firstLine="589"/>
        <w:spacing w:after="0" w:line="324" w:lineRule="auto"/>
        <w:rPr>
          <w:sz w:val="20"/>
          <w:szCs w:val="20"/>
          <w:color w:val="auto"/>
        </w:rPr>
      </w:pPr>
      <w:r>
        <w:rPr>
          <w:rFonts w:ascii="Arial" w:cs="Arial" w:eastAsia="Arial" w:hAnsi="Arial"/>
          <w:sz w:val="16"/>
          <w:szCs w:val="16"/>
          <w:color w:val="auto"/>
        </w:rPr>
        <w:t>PricewaterhouseCoopers LLP, our independent registered public accounting firm, has audited and issued a report on the effectiveness of our internal control over financial reporting as of December 31, 2021, which appears on page 63 of this Annual Report on Form 10-K.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14"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fiscal quarter ended December 31, 2021 that have materially affected, or are reasonably likely to materially affect, our internal control over financial reporting.</w:t>
      </w:r>
    </w:p>
    <w:p>
      <w:pPr>
        <w:spacing w:after="0" w:line="36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 that Prevent Inspections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647" w:right="419" w:bottom="1440" w:gutter="0" w:footer="0" w:header="0"/>
        </w:sectPr>
      </w:pPr>
    </w:p>
    <w:bookmarkStart w:id="100" w:name="page101"/>
    <w:bookmarkEnd w:id="100"/>
    <w:p>
      <w:pPr>
        <w:ind w:left="5280"/>
        <w:spacing w:after="0"/>
        <w:rPr>
          <w:sz w:val="20"/>
          <w:szCs w:val="20"/>
          <w:color w:val="auto"/>
        </w:rPr>
      </w:pPr>
      <w:r>
        <w:rPr>
          <w:rFonts w:ascii="Arial" w:cs="Arial" w:eastAsia="Arial" w:hAnsi="Arial"/>
          <w:sz w:val="18"/>
          <w:szCs w:val="18"/>
          <w:b w:val="1"/>
          <w:bCs w:val="1"/>
          <w:color w:val="auto"/>
        </w:rPr>
        <w:t>PART III</w:t>
      </w:r>
    </w:p>
    <w:p>
      <w:pPr>
        <w:spacing w:after="0" w:line="18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14" w:lineRule="exact"/>
        <w:rPr>
          <w:sz w:val="20"/>
          <w:szCs w:val="20"/>
          <w:color w:val="auto"/>
        </w:rPr>
      </w:pPr>
    </w:p>
    <w:p>
      <w:pPr>
        <w:ind w:right="200" w:firstLine="589"/>
        <w:spacing w:after="0" w:line="324" w:lineRule="auto"/>
        <w:rPr>
          <w:sz w:val="20"/>
          <w:szCs w:val="20"/>
          <w:color w:val="auto"/>
        </w:rPr>
      </w:pPr>
      <w:r>
        <w:rPr>
          <w:rFonts w:ascii="Arial" w:cs="Arial" w:eastAsia="Arial" w:hAnsi="Arial"/>
          <w:sz w:val="16"/>
          <w:szCs w:val="16"/>
          <w:color w:val="auto"/>
        </w:rPr>
        <w:t>Except for the information relating to our Executive Officers set forth in Part I of this Annual Report on Form 10-K, we incorporate by reference the information responsive to this Item appearing in our Proxy Statement, which will be filed no later than 120 days after December 31, 2021.</w:t>
      </w:r>
    </w:p>
    <w:p>
      <w:pPr>
        <w:spacing w:after="0" w:line="134"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 xml:space="preserve">Information regarding our Code of Ethics and Business Conduct and Corporate Governance Policies is incorporated herein by reference from our Proxy Statement, which will be filed no later than 120 days after December 31, 2021. Any amendments to, or waivers from, a provision of our Code of Ethics that apply to our principal executive officer, principal financial officer, principal accounting officer or controller, or persons performing similar functions and that relates to any element of the Code of Ethics enumerated in paragraph (b) of Item 406 of Regulation S-K shall be disclosed by posting such information on our website at </w:t>
      </w:r>
      <w:r>
        <w:rPr>
          <w:rFonts w:ascii="Arial" w:cs="Arial" w:eastAsia="Arial" w:hAnsi="Arial"/>
          <w:sz w:val="16"/>
          <w:szCs w:val="16"/>
          <w:u w:val="single" w:color="auto"/>
          <w:color w:val="auto"/>
        </w:rPr>
        <w:t>www.msci.com</w:t>
      </w:r>
      <w:r>
        <w:rPr>
          <w:rFonts w:ascii="Arial" w:cs="Arial" w:eastAsia="Arial" w:hAnsi="Arial"/>
          <w:sz w:val="16"/>
          <w:szCs w:val="16"/>
          <w:color w:val="auto"/>
        </w:rPr>
        <w:t>. The information on our website is not and should not be considered a part of this Annual Report on Form 10-K.</w:t>
      </w:r>
    </w:p>
    <w:p>
      <w:pPr>
        <w:spacing w:after="0" w:line="34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14"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which will be filed no later than 120 days after December 31, 2021.</w:t>
      </w:r>
    </w:p>
    <w:p>
      <w:pPr>
        <w:spacing w:after="0" w:line="35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14" w:lineRule="exact"/>
        <w:rPr>
          <w:sz w:val="20"/>
          <w:szCs w:val="20"/>
          <w:color w:val="auto"/>
        </w:rPr>
      </w:pPr>
    </w:p>
    <w:p>
      <w:pPr>
        <w:ind w:right="80" w:firstLine="589"/>
        <w:spacing w:after="0" w:line="261" w:lineRule="auto"/>
        <w:rPr>
          <w:sz w:val="20"/>
          <w:szCs w:val="20"/>
          <w:color w:val="auto"/>
        </w:rPr>
      </w:pPr>
      <w:r>
        <w:rPr>
          <w:rFonts w:ascii="Arial" w:cs="Arial" w:eastAsia="Arial" w:hAnsi="Arial"/>
          <w:sz w:val="18"/>
          <w:szCs w:val="18"/>
          <w:color w:val="auto"/>
        </w:rPr>
        <w:t>We incorporate by reference the additional information responsive to this Item appearing in our Proxy Statement, which will be filed no later than 120 days after December 31,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14" w:lineRule="exact"/>
        <w:rPr>
          <w:sz w:val="20"/>
          <w:szCs w:val="20"/>
          <w:color w:val="auto"/>
        </w:rPr>
      </w:pPr>
    </w:p>
    <w:p>
      <w:pPr>
        <w:ind w:right="40" w:firstLine="589"/>
        <w:spacing w:after="0" w:line="281" w:lineRule="auto"/>
        <w:rPr>
          <w:sz w:val="20"/>
          <w:szCs w:val="20"/>
          <w:color w:val="auto"/>
        </w:rPr>
      </w:pPr>
      <w:r>
        <w:rPr>
          <w:rFonts w:ascii="Arial" w:cs="Arial" w:eastAsia="Arial" w:hAnsi="Arial"/>
          <w:sz w:val="16"/>
          <w:szCs w:val="16"/>
          <w:color w:val="auto"/>
        </w:rPr>
        <w:t>On February 18, 2016, the Board of Directors, upon the recommendation of the Compensation &amp; Talent Management Committee of the Board of Directors (the “Compensation Committee”), approved the MSCI Inc. 2016 Non-Employee Directors Compensation Plan (the “Directors Plan”), a cash and equity incentive compensation plan that was approved by shareholders at the Company’s 2016 annual meeting of shareholders. The Directors Plan replaced the Company’s then existing non-employee director compensation plan, the MSCI Inc. Independent Directors’ Equity Compensation Plan (the “2011 Plan”). The total number of shares authorized to be awarded under the Directors Plan is 352,460, which is equal to the number of shares that remained available for issuance under the 2011 Plan. Under the MSCI Inc. Non-Employee Directors Deferral Plan, directors may elect to defer receipt of all or any portion of any shares of our common stock issuable upon conversion of any stock unit or any retainer elected to be paid in shares of our common stock until (i) 60 days following separation of service or (ii) the earlier of a specified date or 60 days following separation of service.</w:t>
      </w:r>
    </w:p>
    <w:p>
      <w:pPr>
        <w:spacing w:after="0" w:line="169"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On February 18, 2016, the Board of Directors, upon the recommendation of the Compensation Committee, approved the MSCI Inc. 2016 Omnibus Plan (“Omnibus Plan”), an equity incentive compensation plan that was approved by shareholders at the Company’s 2016 annual meeting of shareholders. The Omnibus Plan replaced the Company’s then existing equity compensation plan, the MSCI Inc. Amended and Restated 2007 Equity Incentive Compensation Plan (as amended, the “2007 Plan”). Compensation paid to the Company’s executive officers historically complied with the performance-based compensation exception under 162(m) of the IRC (“162(m)”) by being granted pursuant to the MSCI Inc. Performance Formula and Incentive Plan (the “Performance Plan”). Shareholder approval of the Omnibus Plan constituted approval of the material terms of the performance goals under the Omnibus Plan for purposes of 162(m). In light of the final Section 162(m) regulations published in December 2020, which, among other things, eliminated the performance-based compensation exception under Section 162(m), the Compensation Committee determined to cease awarding compensation to the Company’s executive officers under the Performance Plan starting with calendar year 2021.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42" w:right="379" w:bottom="1440" w:gutter="0" w:footer="0" w:header="0"/>
        </w:sectPr>
      </w:pPr>
    </w:p>
    <w:bookmarkStart w:id="101" w:name="page102"/>
    <w:bookmarkEnd w:id="101"/>
    <w:p>
      <w:pPr>
        <w:ind w:firstLine="589"/>
        <w:spacing w:after="0" w:line="282" w:lineRule="auto"/>
        <w:rPr>
          <w:sz w:val="20"/>
          <w:szCs w:val="20"/>
          <w:color w:val="auto"/>
        </w:rPr>
      </w:pPr>
      <w:r>
        <w:rPr>
          <w:rFonts w:ascii="Arial" w:cs="Arial" w:eastAsia="Arial" w:hAnsi="Arial"/>
          <w:sz w:val="16"/>
          <w:szCs w:val="16"/>
          <w:color w:val="auto"/>
        </w:rPr>
        <w:t>Pursuant to the Omnibus Plan, the Company reserved 7,565,483 shares of common stock for issuance; plus any additional shares which become available due to forfeiture, expiration or cancellation of outstanding awards, which were registered under the Securities Act following approval by the Company’s shareholders. This is in addition to currently outstanding awards under the 2007 Plan. The Omnibus Plan permits the Compensation Committee to make grants of a variety of equity-based awards (such as stock options, stock appreciation rights, restricted stock units, restricted stock, performance awards and other stock-based awards) totaling up to 7,565,483 and other cash-based awards to eligible recipients, including employees and consultants. No awards will be granted under the Omnibus Plan after the earliest to occur of (i) April 28, 2026, (ii) the maximum number of shares available for issuance having been issued and (iii) the Board of Directors terminating the Omnibus Plan in accordance with its terms.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certain information with respect to our equity compensation plans at December 31, 2021:</w:t>
      </w:r>
    </w:p>
    <w:tbl>
      <w:tblPr>
        <w:tblLayout w:type="fixed"/>
        <w:tblInd w:w="0" w:type="dxa"/>
        <w:tblCellMar>
          <w:top w:w="0" w:type="dxa"/>
          <w:left w:w="0" w:type="dxa"/>
          <w:bottom w:w="0" w:type="dxa"/>
          <w:right w:w="0" w:type="dxa"/>
        </w:tblCellMar>
      </w:tblPr>
      <w:tr>
        <w:trPr>
          <w:trHeight w:val="151"/>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securities</w:t>
            </w:r>
          </w:p>
        </w:tc>
        <w:tc>
          <w:tcPr>
            <w:tcW w:w="18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0"/>
              </w:rPr>
              <w:t>issuance</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to be issued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under equity</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upon</w:t>
            </w:r>
          </w:p>
        </w:tc>
        <w:tc>
          <w:tcPr>
            <w:tcW w:w="180" w:type="dxa"/>
            <w:vAlign w:val="bottom"/>
          </w:tcPr>
          <w:p>
            <w:pPr>
              <w:spacing w:after="0"/>
              <w:rPr>
                <w:sz w:val="12"/>
                <w:szCs w:val="12"/>
                <w:color w:val="auto"/>
              </w:rPr>
            </w:pPr>
          </w:p>
        </w:tc>
        <w:tc>
          <w:tcPr>
            <w:tcW w:w="11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4"/>
              </w:rPr>
              <w:t>exercise of</w:t>
            </w:r>
          </w:p>
        </w:tc>
        <w:tc>
          <w:tcPr>
            <w:tcW w:w="18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6"/>
              </w:rPr>
              <w:t>exercise price of</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outstanding</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4"/>
              </w:rPr>
              <w:t>options,</w:t>
            </w:r>
          </w:p>
        </w:tc>
        <w:tc>
          <w:tcPr>
            <w:tcW w:w="18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8"/>
              </w:rPr>
              <w:t>options,</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warrants and</w:t>
            </w:r>
          </w:p>
        </w:tc>
        <w:tc>
          <w:tcPr>
            <w:tcW w:w="18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warrants and</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rights</w:t>
            </w:r>
          </w:p>
        </w:tc>
        <w:tc>
          <w:tcPr>
            <w:tcW w:w="18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rights</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column(a))</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 (2)</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680" w:type="dxa"/>
            <w:vAlign w:val="bottom"/>
            <w:tcBorders>
              <w:top w:val="single" w:sz="8" w:color="CFF0FC"/>
            </w:tcBorders>
            <w:gridSpan w:val="2"/>
            <w:shd w:val="clear" w:color="auto" w:fill="CFF0FC"/>
          </w:tcPr>
          <w:p>
            <w:pPr>
              <w:spacing w:after="0" w:line="204" w:lineRule="exact"/>
              <w:rPr>
                <w:sz w:val="20"/>
                <w:szCs w:val="20"/>
                <w:color w:val="auto"/>
              </w:rPr>
            </w:pPr>
            <w:r>
              <w:rPr>
                <w:rFonts w:ascii="Arial" w:cs="Arial" w:eastAsia="Arial" w:hAnsi="Arial"/>
                <w:sz w:val="18"/>
                <w:szCs w:val="18"/>
                <w:b w:val="1"/>
                <w:bCs w:val="1"/>
                <w:i w:val="1"/>
                <w:iCs w:val="1"/>
                <w:color w:val="auto"/>
              </w:rPr>
              <w:t>Equity Compensation Plans Approved by Security</w:t>
            </w:r>
          </w:p>
        </w:tc>
        <w:tc>
          <w:tcPr>
            <w:tcW w:w="9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i w:val="1"/>
                <w:iCs w:val="1"/>
                <w:color w:val="auto"/>
              </w:rPr>
              <w:t>Holders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MSCI Inc. 2016 Omnibus Plan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Restricted Stock Units (“RSUs”)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198,092</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N/A</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 xml:space="preserve">Performance Stock Units (“PSUs”) </w:t>
            </w:r>
            <w:r>
              <w:rPr>
                <w:rFonts w:ascii="Arial" w:cs="Arial" w:eastAsia="Arial" w:hAnsi="Arial"/>
                <w:sz w:val="14"/>
                <w:szCs w:val="14"/>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1,215,771</w:t>
            </w:r>
          </w:p>
        </w:tc>
        <w:tc>
          <w:tcPr>
            <w:tcW w:w="180" w:type="dxa"/>
            <w:vAlign w:val="bottom"/>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80" w:type="dxa"/>
            <w:vAlign w:val="bottom"/>
            <w:tcBorders>
              <w:top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 MSCI Inc. 2016 Omnibus Plan</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1,413,863</w:t>
            </w: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N/A</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3,524,169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MSCI Inc. 2016 Non-Employee Directors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Compensation Plan (RSUs)</w:t>
            </w:r>
          </w:p>
        </w:tc>
        <w:tc>
          <w:tcPr>
            <w:tcW w:w="940" w:type="dxa"/>
            <w:vAlign w:val="bottom"/>
          </w:tcPr>
          <w:p>
            <w:pPr>
              <w:jc w:val="right"/>
              <w:spacing w:after="0"/>
              <w:rPr>
                <w:sz w:val="20"/>
                <w:szCs w:val="20"/>
                <w:color w:val="auto"/>
              </w:rPr>
            </w:pPr>
            <w:r>
              <w:rPr>
                <w:rFonts w:ascii="Arial" w:cs="Arial" w:eastAsia="Arial" w:hAnsi="Arial"/>
                <w:sz w:val="18"/>
                <w:szCs w:val="18"/>
                <w:color w:val="auto"/>
              </w:rPr>
              <w:t>3,137</w:t>
            </w:r>
          </w:p>
        </w:tc>
        <w:tc>
          <w:tcPr>
            <w:tcW w:w="180" w:type="dxa"/>
            <w:vAlign w:val="bottom"/>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279,080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Equity Compensation Plans Not Approved by Security</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i w:val="1"/>
                <w:iCs w:val="1"/>
                <w:color w:val="auto"/>
              </w:rPr>
              <w:t>Holders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N/A</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1,417,000</w:t>
            </w:r>
          </w:p>
        </w:tc>
        <w:tc>
          <w:tcPr>
            <w:tcW w:w="1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580" w:hanging="575"/>
        <w:spacing w:after="0"/>
        <w:tabs>
          <w:tab w:leader="none" w:pos="580" w:val="left"/>
        </w:tabs>
        <w:numPr>
          <w:ilvl w:val="0"/>
          <w:numId w:val="54"/>
        </w:numPr>
        <w:rPr>
          <w:rFonts w:ascii="Arial" w:cs="Arial" w:eastAsia="Arial" w:hAnsi="Arial"/>
          <w:sz w:val="11"/>
          <w:szCs w:val="11"/>
          <w:color w:val="auto"/>
        </w:rPr>
      </w:pPr>
      <w:r>
        <w:rPr>
          <w:rFonts w:ascii="Arial" w:cs="Arial" w:eastAsia="Arial" w:hAnsi="Arial"/>
          <w:sz w:val="13"/>
          <w:szCs w:val="13"/>
          <w:color w:val="auto"/>
        </w:rPr>
        <w:t>The numbers included for PSUs in column (a) reflect the maximum payout. Assuming target number payout, the number of securities to be issued upon vesting of PSUs is 496,061.</w:t>
      </w:r>
    </w:p>
    <w:p>
      <w:pPr>
        <w:spacing w:after="0" w:line="7" w:lineRule="exact"/>
        <w:rPr>
          <w:rFonts w:ascii="Arial" w:cs="Arial" w:eastAsia="Arial" w:hAnsi="Arial"/>
          <w:sz w:val="11"/>
          <w:szCs w:val="11"/>
          <w:color w:val="auto"/>
        </w:rPr>
      </w:pPr>
    </w:p>
    <w:p>
      <w:pPr>
        <w:ind w:left="580" w:hanging="575"/>
        <w:spacing w:after="0"/>
        <w:tabs>
          <w:tab w:leader="none" w:pos="580" w:val="left"/>
        </w:tabs>
        <w:numPr>
          <w:ilvl w:val="0"/>
          <w:numId w:val="54"/>
        </w:numPr>
        <w:rPr>
          <w:rFonts w:ascii="Arial" w:cs="Arial" w:eastAsia="Arial" w:hAnsi="Arial"/>
          <w:sz w:val="12"/>
          <w:szCs w:val="12"/>
          <w:color w:val="auto"/>
        </w:rPr>
      </w:pPr>
      <w:r>
        <w:rPr>
          <w:rFonts w:ascii="Arial" w:cs="Arial" w:eastAsia="Arial" w:hAnsi="Arial"/>
          <w:sz w:val="14"/>
          <w:szCs w:val="14"/>
          <w:color w:val="auto"/>
        </w:rPr>
        <w:t>Does not reflect the unvested RSUs or PSUs included in column (a) because these awards have no exercise price.</w:t>
      </w:r>
    </w:p>
    <w:p>
      <w:pPr>
        <w:spacing w:after="0" w:line="3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14" w:lineRule="exact"/>
        <w:rPr>
          <w:sz w:val="20"/>
          <w:szCs w:val="20"/>
          <w:color w:val="auto"/>
        </w:rPr>
      </w:pPr>
    </w:p>
    <w:p>
      <w:pPr>
        <w:ind w:right="140" w:firstLine="589"/>
        <w:spacing w:after="0" w:line="261"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which will be filed no later than 120 days after December 31, 2021.</w:t>
      </w:r>
    </w:p>
    <w:p>
      <w:pPr>
        <w:spacing w:after="0" w:line="35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14" w:lineRule="exact"/>
        <w:rPr>
          <w:sz w:val="20"/>
          <w:szCs w:val="20"/>
          <w:color w:val="auto"/>
        </w:rPr>
      </w:pPr>
    </w:p>
    <w:p>
      <w:pPr>
        <w:ind w:right="140" w:firstLine="589"/>
        <w:spacing w:after="0" w:line="261"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which will be filed no later than 120 days after December 31, 2021.</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PART IV</w:t>
      </w:r>
    </w:p>
    <w:p>
      <w:pPr>
        <w:spacing w:after="0" w:line="18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 and Financial Statement Schedules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(a)(1) </w:t>
      </w:r>
      <w:r>
        <w:rPr>
          <w:rFonts w:ascii="Arial" w:cs="Arial" w:eastAsia="Arial" w:hAnsi="Arial"/>
          <w:sz w:val="18"/>
          <w:szCs w:val="18"/>
          <w:b w:val="1"/>
          <w:bCs w:val="1"/>
          <w:i w:val="1"/>
          <w:iCs w:val="1"/>
          <w:color w:val="auto"/>
        </w:rPr>
        <w:t>Financial Statements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financial statements are provided under Part II, Item 8. “Financial Statements and Supplementary Data” of this Annual Report on Form 10-K.</w:t>
      </w:r>
    </w:p>
    <w:p>
      <w:pPr>
        <w:spacing w:after="0" w:line="33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(a)(2) </w:t>
      </w:r>
      <w:r>
        <w:rPr>
          <w:rFonts w:ascii="Arial" w:cs="Arial" w:eastAsia="Arial" w:hAnsi="Arial"/>
          <w:sz w:val="18"/>
          <w:szCs w:val="18"/>
          <w:b w:val="1"/>
          <w:bCs w:val="1"/>
          <w:i w:val="1"/>
          <w:iCs w:val="1"/>
          <w:color w:val="auto"/>
        </w:rPr>
        <w:t>Financial Statement Schedules</w:t>
      </w:r>
    </w:p>
    <w:p>
      <w:pPr>
        <w:spacing w:after="0" w:line="114" w:lineRule="exact"/>
        <w:rPr>
          <w:sz w:val="20"/>
          <w:szCs w:val="20"/>
          <w:color w:val="auto"/>
        </w:rPr>
      </w:pPr>
    </w:p>
    <w:p>
      <w:pPr>
        <w:ind w:right="180" w:firstLine="589"/>
        <w:spacing w:after="0" w:line="361" w:lineRule="auto"/>
        <w:rPr>
          <w:sz w:val="20"/>
          <w:szCs w:val="20"/>
          <w:color w:val="auto"/>
        </w:rPr>
      </w:pPr>
      <w:r>
        <w:rPr>
          <w:rFonts w:ascii="Arial" w:cs="Arial" w:eastAsia="Arial" w:hAnsi="Arial"/>
          <w:sz w:val="15"/>
          <w:szCs w:val="15"/>
          <w:color w:val="auto"/>
        </w:rPr>
        <w:t>No financial statement schedules are provided because the information called for is not applicable or not required or is included in the consolidated financial statements or the notes thereto provided under Part II, Item 8. “Financial Statements and Supplementary Data” of this Annual Report on Form 10-K.</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(a)(3) </w:t>
      </w:r>
      <w:r>
        <w:rPr>
          <w:rFonts w:ascii="Arial" w:cs="Arial" w:eastAsia="Arial" w:hAnsi="Arial"/>
          <w:sz w:val="18"/>
          <w:szCs w:val="18"/>
          <w:b w:val="1"/>
          <w:bCs w:val="1"/>
          <w:i w:val="1"/>
          <w:iCs w:val="1"/>
          <w:color w:val="auto"/>
        </w:rPr>
        <w:t>Exhibits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is set forth below.</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4"/>
        </w:trPr>
        <w:tc>
          <w:tcPr>
            <w:tcW w:w="4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13"/>
          </w:tcPr>
          <w:p>
            <w:pPr>
              <w:spacing w:after="0" w:line="144" w:lineRule="exact"/>
              <w:rPr>
                <w:sz w:val="20"/>
                <w:szCs w:val="20"/>
                <w:color w:val="auto"/>
              </w:rPr>
            </w:pPr>
            <w:r>
              <w:rPr>
                <w:rFonts w:ascii="Arial" w:cs="Arial" w:eastAsia="Arial" w:hAnsi="Arial"/>
                <w:sz w:val="13"/>
                <w:szCs w:val="13"/>
                <w:b w:val="1"/>
                <w:bCs w:val="1"/>
                <w:color w:val="auto"/>
              </w:rPr>
              <w:t>Description</w:t>
            </w:r>
          </w:p>
        </w:tc>
        <w:tc>
          <w:tcPr>
            <w:tcW w:w="12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ind w:left="640"/>
              <w:spacing w:after="0" w:line="144" w:lineRule="exact"/>
              <w:rPr>
                <w:sz w:val="20"/>
                <w:szCs w:val="20"/>
                <w:color w:val="auto"/>
              </w:rPr>
            </w:pPr>
            <w:r>
              <w:rPr>
                <w:rFonts w:ascii="Arial" w:cs="Arial" w:eastAsia="Arial" w:hAnsi="Arial"/>
                <w:sz w:val="13"/>
                <w:szCs w:val="13"/>
                <w:b w:val="1"/>
                <w:bCs w:val="1"/>
                <w:color w:val="auto"/>
              </w:rPr>
              <w:t>File No.</w:t>
            </w: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Exhibit No.</w:t>
            </w:r>
          </w:p>
        </w:tc>
        <w:tc>
          <w:tcPr>
            <w:tcW w:w="1040" w:type="dxa"/>
            <w:vAlign w:val="bottom"/>
            <w:gridSpan w:val="3"/>
          </w:tcPr>
          <w:p>
            <w:pPr>
              <w:ind w:left="200"/>
              <w:spacing w:after="0" w:line="144" w:lineRule="exact"/>
              <w:rPr>
                <w:sz w:val="20"/>
                <w:szCs w:val="20"/>
                <w:color w:val="auto"/>
              </w:rPr>
            </w:pPr>
            <w:r>
              <w:rPr>
                <w:rFonts w:ascii="Arial" w:cs="Arial" w:eastAsia="Arial" w:hAnsi="Arial"/>
                <w:sz w:val="13"/>
                <w:szCs w:val="13"/>
                <w:b w:val="1"/>
                <w:bCs w:val="1"/>
                <w:color w:val="auto"/>
              </w:rPr>
              <w:t>Filing Date</w:t>
            </w:r>
          </w:p>
        </w:tc>
      </w:tr>
      <w:tr>
        <w:trPr>
          <w:trHeight w:val="20"/>
        </w:trPr>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00" w:type="dxa"/>
            <w:vAlign w:val="bottom"/>
          </w:tcPr>
          <w:p>
            <w:pPr>
              <w:spacing w:after="0"/>
              <w:rPr>
                <w:sz w:val="18"/>
                <w:szCs w:val="18"/>
                <w:color w:val="auto"/>
              </w:rPr>
            </w:pPr>
          </w:p>
        </w:tc>
        <w:tc>
          <w:tcPr>
            <w:tcW w:w="4040" w:type="dxa"/>
            <w:vAlign w:val="bottom"/>
            <w:tcBorders>
              <w:bottom w:val="single" w:sz="8" w:color="0000EE"/>
            </w:tcBorders>
            <w:gridSpan w:val="10"/>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Third Amended and Restated Certificate of Incorporation</w:t>
              </w:r>
            </w:hyperlink>
          </w:p>
        </w:tc>
        <w:tc>
          <w:tcPr>
            <w:tcW w:w="1340" w:type="dxa"/>
            <w:vAlign w:val="bottom"/>
            <w:gridSpan w:val="10"/>
          </w:tcPr>
          <w:p>
            <w:pPr>
              <w:spacing w:after="0"/>
              <w:rPr>
                <w:sz w:val="18"/>
                <w:szCs w:val="18"/>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10-Q</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8"/>
                <w:szCs w:val="18"/>
                <w:color w:val="auto"/>
              </w:rPr>
            </w:pPr>
          </w:p>
        </w:tc>
        <w:tc>
          <w:tcPr>
            <w:tcW w:w="820" w:type="dxa"/>
            <w:vAlign w:val="bottom"/>
            <w:gridSpan w:val="2"/>
          </w:tcPr>
          <w:p>
            <w:pPr>
              <w:jc w:val="center"/>
              <w:ind w:left="114"/>
              <w:spacing w:after="0"/>
              <w:rPr>
                <w:sz w:val="20"/>
                <w:szCs w:val="20"/>
                <w:color w:val="auto"/>
              </w:rPr>
            </w:pPr>
            <w:r>
              <w:rPr>
                <w:rFonts w:ascii="Arial" w:cs="Arial" w:eastAsia="Arial" w:hAnsi="Arial"/>
                <w:sz w:val="18"/>
                <w:szCs w:val="18"/>
                <w:color w:val="auto"/>
                <w:w w:val="88"/>
              </w:rPr>
              <w:t>5/4/2012</w:t>
            </w:r>
          </w:p>
        </w:tc>
        <w:tc>
          <w:tcPr>
            <w:tcW w:w="220" w:type="dxa"/>
            <w:vAlign w:val="bottom"/>
          </w:tcPr>
          <w:p>
            <w:pPr>
              <w:spacing w:after="0"/>
              <w:rPr>
                <w:sz w:val="18"/>
                <w:szCs w:val="18"/>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3.2</w:t>
            </w:r>
          </w:p>
        </w:tc>
        <w:tc>
          <w:tcPr>
            <w:tcW w:w="400" w:type="dxa"/>
            <w:vAlign w:val="bottom"/>
          </w:tcPr>
          <w:p>
            <w:pPr>
              <w:spacing w:after="0"/>
              <w:rPr>
                <w:sz w:val="16"/>
                <w:szCs w:val="16"/>
                <w:color w:val="auto"/>
              </w:rPr>
            </w:pPr>
          </w:p>
        </w:tc>
        <w:tc>
          <w:tcPr>
            <w:tcW w:w="2280" w:type="dxa"/>
            <w:vAlign w:val="bottom"/>
            <w:tcBorders>
              <w:bottom w:val="single" w:sz="8" w:color="0000EE"/>
            </w:tcBorders>
            <w:gridSpan w:val="7"/>
          </w:tcPr>
          <w:p>
            <w:pPr>
              <w:spacing w:after="0" w:line="190" w:lineRule="exact"/>
              <w:rPr>
                <w:rFonts w:ascii="Arial" w:cs="Arial" w:eastAsia="Arial" w:hAnsi="Arial"/>
                <w:sz w:val="18"/>
                <w:szCs w:val="18"/>
                <w:color w:val="0000EE"/>
                <w:w w:val="87"/>
              </w:rPr>
            </w:pPr>
            <w:hyperlink r:id="rId168">
              <w:r>
                <w:rPr>
                  <w:rFonts w:ascii="Arial" w:cs="Arial" w:eastAsia="Arial" w:hAnsi="Arial"/>
                  <w:sz w:val="18"/>
                  <w:szCs w:val="18"/>
                  <w:color w:val="0000EE"/>
                  <w:w w:val="87"/>
                </w:rPr>
                <w:t>Amended and Restated By-laws</w:t>
              </w:r>
            </w:hyperlink>
          </w:p>
        </w:tc>
        <w:tc>
          <w:tcPr>
            <w:tcW w:w="3100" w:type="dxa"/>
            <w:vAlign w:val="bottom"/>
            <w:gridSpan w:val="13"/>
          </w:tcPr>
          <w:p>
            <w:pPr>
              <w:spacing w:after="0"/>
              <w:rPr>
                <w:sz w:val="16"/>
                <w:szCs w:val="16"/>
                <w:color w:val="auto"/>
              </w:rPr>
            </w:pPr>
          </w:p>
        </w:tc>
        <w:tc>
          <w:tcPr>
            <w:tcW w:w="1260" w:type="dxa"/>
            <w:vAlign w:val="bottom"/>
            <w:gridSpan w:val="3"/>
          </w:tcPr>
          <w:p>
            <w:pPr>
              <w:jc w:val="center"/>
              <w:spacing w:after="0" w:line="190" w:lineRule="exact"/>
              <w:rPr>
                <w:sz w:val="20"/>
                <w:szCs w:val="20"/>
                <w:color w:val="auto"/>
              </w:rPr>
            </w:pPr>
            <w:r>
              <w:rPr>
                <w:rFonts w:ascii="Arial" w:cs="Arial" w:eastAsia="Arial" w:hAnsi="Arial"/>
                <w:sz w:val="18"/>
                <w:szCs w:val="18"/>
                <w:color w:val="auto"/>
              </w:rPr>
              <w:t>8-K/A</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6"/>
                <w:szCs w:val="16"/>
                <w:color w:val="auto"/>
              </w:rPr>
            </w:pPr>
          </w:p>
        </w:tc>
        <w:tc>
          <w:tcPr>
            <w:tcW w:w="1040" w:type="dxa"/>
            <w:vAlign w:val="bottom"/>
            <w:gridSpan w:val="3"/>
          </w:tcPr>
          <w:p>
            <w:pPr>
              <w:jc w:val="center"/>
              <w:ind w:right="20"/>
              <w:spacing w:after="0" w:line="190" w:lineRule="exact"/>
              <w:rPr>
                <w:sz w:val="20"/>
                <w:szCs w:val="20"/>
                <w:color w:val="auto"/>
              </w:rPr>
            </w:pPr>
            <w:r>
              <w:rPr>
                <w:rFonts w:ascii="Arial" w:cs="Arial" w:eastAsia="Arial" w:hAnsi="Arial"/>
                <w:sz w:val="18"/>
                <w:szCs w:val="18"/>
                <w:color w:val="auto"/>
                <w:w w:val="87"/>
              </w:rPr>
              <w:t>1/11/2021</w:t>
            </w: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4.1</w:t>
            </w:r>
          </w:p>
        </w:tc>
        <w:tc>
          <w:tcPr>
            <w:tcW w:w="400" w:type="dxa"/>
            <w:vAlign w:val="bottom"/>
          </w:tcPr>
          <w:p>
            <w:pPr>
              <w:spacing w:after="0"/>
              <w:rPr>
                <w:sz w:val="16"/>
                <w:szCs w:val="16"/>
                <w:color w:val="auto"/>
              </w:rPr>
            </w:pPr>
          </w:p>
        </w:tc>
        <w:tc>
          <w:tcPr>
            <w:tcW w:w="180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r:id="rId169">
              <w:r>
                <w:rPr>
                  <w:rFonts w:ascii="Arial" w:cs="Arial" w:eastAsia="Arial" w:hAnsi="Arial"/>
                  <w:sz w:val="18"/>
                  <w:szCs w:val="18"/>
                  <w:color w:val="0000EE"/>
                  <w:w w:val="88"/>
                </w:rPr>
                <w:t>Form of Senior Indenture</w:t>
              </w:r>
            </w:hyperlink>
          </w:p>
        </w:tc>
        <w:tc>
          <w:tcPr>
            <w:tcW w:w="3580" w:type="dxa"/>
            <w:vAlign w:val="bottom"/>
            <w:gridSpan w:val="16"/>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500"/>
              <w:spacing w:after="0" w:line="190" w:lineRule="exact"/>
              <w:rPr>
                <w:sz w:val="20"/>
                <w:szCs w:val="20"/>
                <w:color w:val="auto"/>
              </w:rPr>
            </w:pPr>
            <w:r>
              <w:rPr>
                <w:rFonts w:ascii="Arial" w:cs="Arial" w:eastAsia="Arial" w:hAnsi="Arial"/>
                <w:sz w:val="18"/>
                <w:szCs w:val="18"/>
                <w:color w:val="auto"/>
                <w:w w:val="85"/>
              </w:rPr>
              <w:t>S-3</w:t>
            </w:r>
          </w:p>
        </w:tc>
        <w:tc>
          <w:tcPr>
            <w:tcW w:w="1520" w:type="dxa"/>
            <w:vAlign w:val="bottom"/>
            <w:gridSpan w:val="3"/>
          </w:tcPr>
          <w:p>
            <w:pPr>
              <w:jc w:val="center"/>
              <w:ind w:left="94"/>
              <w:spacing w:after="0" w:line="190" w:lineRule="exact"/>
              <w:rPr>
                <w:sz w:val="20"/>
                <w:szCs w:val="20"/>
                <w:color w:val="auto"/>
              </w:rPr>
            </w:pPr>
            <w:r>
              <w:rPr>
                <w:rFonts w:ascii="Arial" w:cs="Arial" w:eastAsia="Arial" w:hAnsi="Arial"/>
                <w:sz w:val="18"/>
                <w:szCs w:val="18"/>
                <w:color w:val="auto"/>
                <w:w w:val="89"/>
              </w:rPr>
              <w:t>333-206232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820" w:type="dxa"/>
            <w:vAlign w:val="bottom"/>
            <w:gridSpan w:val="2"/>
          </w:tcPr>
          <w:p>
            <w:pPr>
              <w:jc w:val="center"/>
              <w:ind w:left="114"/>
              <w:spacing w:after="0" w:line="190" w:lineRule="exact"/>
              <w:rPr>
                <w:sz w:val="20"/>
                <w:szCs w:val="20"/>
                <w:color w:val="auto"/>
              </w:rPr>
            </w:pPr>
            <w:r>
              <w:rPr>
                <w:rFonts w:ascii="Arial" w:cs="Arial" w:eastAsia="Arial" w:hAnsi="Arial"/>
                <w:sz w:val="18"/>
                <w:szCs w:val="18"/>
                <w:color w:val="auto"/>
                <w:w w:val="88"/>
              </w:rPr>
              <w:t>8/7/2015</w:t>
            </w:r>
          </w:p>
        </w:tc>
        <w:tc>
          <w:tcPr>
            <w:tcW w:w="220" w:type="dxa"/>
            <w:vAlign w:val="bottom"/>
          </w:tcPr>
          <w:p>
            <w:pPr>
              <w:spacing w:after="0"/>
              <w:rPr>
                <w:sz w:val="16"/>
                <w:szCs w:val="16"/>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4.2</w:t>
            </w:r>
          </w:p>
        </w:tc>
        <w:tc>
          <w:tcPr>
            <w:tcW w:w="400" w:type="dxa"/>
            <w:vAlign w:val="bottom"/>
          </w:tcPr>
          <w:p>
            <w:pPr>
              <w:spacing w:after="0"/>
              <w:rPr>
                <w:sz w:val="16"/>
                <w:szCs w:val="16"/>
                <w:color w:val="auto"/>
              </w:rPr>
            </w:pPr>
          </w:p>
        </w:tc>
        <w:tc>
          <w:tcPr>
            <w:tcW w:w="2280" w:type="dxa"/>
            <w:vAlign w:val="bottom"/>
            <w:tcBorders>
              <w:bottom w:val="single" w:sz="8" w:color="0000EE"/>
            </w:tcBorders>
            <w:gridSpan w:val="7"/>
          </w:tcPr>
          <w:p>
            <w:pPr>
              <w:spacing w:after="0" w:line="190" w:lineRule="exact"/>
              <w:rPr>
                <w:rFonts w:ascii="Arial" w:cs="Arial" w:eastAsia="Arial" w:hAnsi="Arial"/>
                <w:sz w:val="18"/>
                <w:szCs w:val="18"/>
                <w:color w:val="0000EE"/>
                <w:w w:val="87"/>
              </w:rPr>
            </w:pPr>
            <w:hyperlink r:id="rId170">
              <w:r>
                <w:rPr>
                  <w:rFonts w:ascii="Arial" w:cs="Arial" w:eastAsia="Arial" w:hAnsi="Arial"/>
                  <w:sz w:val="18"/>
                  <w:szCs w:val="18"/>
                  <w:color w:val="0000EE"/>
                  <w:w w:val="87"/>
                </w:rPr>
                <w:t>Form of Subordinated Indenture</w:t>
              </w:r>
            </w:hyperlink>
          </w:p>
        </w:tc>
        <w:tc>
          <w:tcPr>
            <w:tcW w:w="3100" w:type="dxa"/>
            <w:vAlign w:val="bottom"/>
            <w:gridSpan w:val="13"/>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500"/>
              <w:spacing w:after="0" w:line="190" w:lineRule="exact"/>
              <w:rPr>
                <w:sz w:val="20"/>
                <w:szCs w:val="20"/>
                <w:color w:val="auto"/>
              </w:rPr>
            </w:pPr>
            <w:r>
              <w:rPr>
                <w:rFonts w:ascii="Arial" w:cs="Arial" w:eastAsia="Arial" w:hAnsi="Arial"/>
                <w:sz w:val="18"/>
                <w:szCs w:val="18"/>
                <w:color w:val="auto"/>
                <w:w w:val="85"/>
              </w:rPr>
              <w:t>S-3</w:t>
            </w:r>
          </w:p>
        </w:tc>
        <w:tc>
          <w:tcPr>
            <w:tcW w:w="1520" w:type="dxa"/>
            <w:vAlign w:val="bottom"/>
            <w:gridSpan w:val="3"/>
          </w:tcPr>
          <w:p>
            <w:pPr>
              <w:jc w:val="center"/>
              <w:ind w:left="94"/>
              <w:spacing w:after="0" w:line="190" w:lineRule="exact"/>
              <w:rPr>
                <w:sz w:val="20"/>
                <w:szCs w:val="20"/>
                <w:color w:val="auto"/>
              </w:rPr>
            </w:pPr>
            <w:r>
              <w:rPr>
                <w:rFonts w:ascii="Arial" w:cs="Arial" w:eastAsia="Arial" w:hAnsi="Arial"/>
                <w:sz w:val="18"/>
                <w:szCs w:val="18"/>
                <w:color w:val="auto"/>
                <w:w w:val="89"/>
              </w:rPr>
              <w:t>333-206232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6"/>
                <w:szCs w:val="16"/>
                <w:color w:val="auto"/>
              </w:rPr>
            </w:pPr>
          </w:p>
        </w:tc>
        <w:tc>
          <w:tcPr>
            <w:tcW w:w="820" w:type="dxa"/>
            <w:vAlign w:val="bottom"/>
            <w:gridSpan w:val="2"/>
          </w:tcPr>
          <w:p>
            <w:pPr>
              <w:jc w:val="center"/>
              <w:ind w:left="114"/>
              <w:spacing w:after="0" w:line="190" w:lineRule="exact"/>
              <w:rPr>
                <w:sz w:val="20"/>
                <w:szCs w:val="20"/>
                <w:color w:val="auto"/>
              </w:rPr>
            </w:pPr>
            <w:r>
              <w:rPr>
                <w:rFonts w:ascii="Arial" w:cs="Arial" w:eastAsia="Arial" w:hAnsi="Arial"/>
                <w:sz w:val="18"/>
                <w:szCs w:val="18"/>
                <w:color w:val="auto"/>
                <w:w w:val="88"/>
              </w:rPr>
              <w:t>8/7/2015</w:t>
            </w:r>
          </w:p>
        </w:tc>
        <w:tc>
          <w:tcPr>
            <w:tcW w:w="220" w:type="dxa"/>
            <w:vAlign w:val="bottom"/>
          </w:tcPr>
          <w:p>
            <w:pPr>
              <w:spacing w:after="0"/>
              <w:rPr>
                <w:sz w:val="16"/>
                <w:szCs w:val="16"/>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4.3</w:t>
            </w:r>
          </w:p>
        </w:tc>
        <w:tc>
          <w:tcPr>
            <w:tcW w:w="400" w:type="dxa"/>
            <w:vAlign w:val="bottom"/>
          </w:tcPr>
          <w:p>
            <w:pPr>
              <w:spacing w:after="0"/>
              <w:rPr>
                <w:sz w:val="16"/>
                <w:szCs w:val="16"/>
                <w:color w:val="auto"/>
              </w:rPr>
            </w:pPr>
          </w:p>
        </w:tc>
        <w:tc>
          <w:tcPr>
            <w:tcW w:w="2500" w:type="dxa"/>
            <w:vAlign w:val="bottom"/>
            <w:tcBorders>
              <w:bottom w:val="single" w:sz="8" w:color="0000EE"/>
            </w:tcBorders>
            <w:gridSpan w:val="8"/>
          </w:tcPr>
          <w:p>
            <w:pPr>
              <w:spacing w:after="0" w:line="190"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Form of Common Stock Certificate</w:t>
              </w:r>
            </w:hyperlink>
          </w:p>
        </w:tc>
        <w:tc>
          <w:tcPr>
            <w:tcW w:w="2880" w:type="dxa"/>
            <w:vAlign w:val="bottom"/>
            <w:gridSpan w:val="12"/>
          </w:tcPr>
          <w:p>
            <w:pPr>
              <w:spacing w:after="0"/>
              <w:rPr>
                <w:sz w:val="16"/>
                <w:szCs w:val="16"/>
                <w:color w:val="auto"/>
              </w:rPr>
            </w:pPr>
          </w:p>
        </w:tc>
        <w:tc>
          <w:tcPr>
            <w:tcW w:w="1260" w:type="dxa"/>
            <w:vAlign w:val="bottom"/>
            <w:gridSpan w:val="3"/>
          </w:tcPr>
          <w:p>
            <w:pPr>
              <w:jc w:val="center"/>
              <w:ind w:right="20"/>
              <w:spacing w:after="0" w:line="190" w:lineRule="exact"/>
              <w:rPr>
                <w:sz w:val="20"/>
                <w:szCs w:val="20"/>
                <w:color w:val="auto"/>
              </w:rPr>
            </w:pPr>
            <w:r>
              <w:rPr>
                <w:rFonts w:ascii="Arial" w:cs="Arial" w:eastAsia="Arial" w:hAnsi="Arial"/>
                <w:sz w:val="18"/>
                <w:szCs w:val="18"/>
                <w:color w:val="auto"/>
                <w:w w:val="89"/>
              </w:rPr>
              <w:t>10-Q</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820" w:type="dxa"/>
            <w:vAlign w:val="bottom"/>
            <w:gridSpan w:val="2"/>
          </w:tcPr>
          <w:p>
            <w:pPr>
              <w:jc w:val="center"/>
              <w:ind w:left="114"/>
              <w:spacing w:after="0" w:line="190" w:lineRule="exact"/>
              <w:rPr>
                <w:sz w:val="20"/>
                <w:szCs w:val="20"/>
                <w:color w:val="auto"/>
              </w:rPr>
            </w:pPr>
            <w:r>
              <w:rPr>
                <w:rFonts w:ascii="Arial" w:cs="Arial" w:eastAsia="Arial" w:hAnsi="Arial"/>
                <w:sz w:val="18"/>
                <w:szCs w:val="18"/>
                <w:color w:val="auto"/>
                <w:w w:val="88"/>
              </w:rPr>
              <w:t>5/4/2012</w:t>
            </w:r>
          </w:p>
        </w:tc>
        <w:tc>
          <w:tcPr>
            <w:tcW w:w="220" w:type="dxa"/>
            <w:vAlign w:val="bottom"/>
          </w:tcPr>
          <w:p>
            <w:pPr>
              <w:spacing w:after="0"/>
              <w:rPr>
                <w:sz w:val="16"/>
                <w:szCs w:val="16"/>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4.4</w:t>
            </w:r>
          </w:p>
        </w:tc>
        <w:tc>
          <w:tcPr>
            <w:tcW w:w="400" w:type="dxa"/>
            <w:vAlign w:val="bottom"/>
          </w:tcPr>
          <w:p>
            <w:pPr>
              <w:spacing w:after="0"/>
              <w:rPr>
                <w:sz w:val="16"/>
                <w:szCs w:val="16"/>
                <w:color w:val="auto"/>
              </w:rPr>
            </w:pPr>
          </w:p>
        </w:tc>
        <w:tc>
          <w:tcPr>
            <w:tcW w:w="484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Indenture, dated as of November 7, 2019, among MSCI Inc., each of</w:t>
              </w:r>
            </w:hyperlink>
          </w:p>
        </w:tc>
        <w:tc>
          <w:tcPr>
            <w:tcW w:w="540" w:type="dxa"/>
            <w:vAlign w:val="bottom"/>
            <w:gridSpan w:val="4"/>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1040" w:type="dxa"/>
            <w:vAlign w:val="bottom"/>
            <w:gridSpan w:val="3"/>
          </w:tcPr>
          <w:p>
            <w:pPr>
              <w:jc w:val="center"/>
              <w:ind w:right="20"/>
              <w:spacing w:after="0" w:line="190" w:lineRule="exact"/>
              <w:rPr>
                <w:sz w:val="20"/>
                <w:szCs w:val="20"/>
                <w:color w:val="auto"/>
              </w:rPr>
            </w:pPr>
            <w:r>
              <w:rPr>
                <w:rFonts w:ascii="Arial" w:cs="Arial" w:eastAsia="Arial" w:hAnsi="Arial"/>
                <w:sz w:val="18"/>
                <w:szCs w:val="18"/>
                <w:color w:val="auto"/>
                <w:w w:val="87"/>
              </w:rPr>
              <w:t>11/7/2019</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19"/>
          </w:tcPr>
          <w:p>
            <w:pPr>
              <w:spacing w:after="0" w:line="190" w:lineRule="exact"/>
              <w:rPr>
                <w:rFonts w:ascii="Arial" w:cs="Arial" w:eastAsia="Arial" w:hAnsi="Arial"/>
                <w:sz w:val="18"/>
                <w:szCs w:val="18"/>
                <w:color w:val="0000EE"/>
                <w:w w:val="87"/>
              </w:rPr>
            </w:pPr>
            <w:hyperlink r:id="rId172">
              <w:r>
                <w:rPr>
                  <w:rFonts w:ascii="Arial" w:cs="Arial" w:eastAsia="Arial" w:hAnsi="Arial"/>
                  <w:sz w:val="18"/>
                  <w:szCs w:val="18"/>
                  <w:color w:val="0000EE"/>
                  <w:w w:val="87"/>
                </w:rPr>
                <w:t>the subsidiary guarantors party thereto and Wells Fargo Bank, National</w:t>
              </w:r>
            </w:hyperlink>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Borders>
              <w:bottom w:val="single" w:sz="8" w:color="0000EE"/>
            </w:tcBorders>
          </w:tcPr>
          <w:p>
            <w:pPr>
              <w:spacing w:after="0" w:line="190" w:lineRule="exact"/>
              <w:rPr>
                <w:rFonts w:ascii="Arial" w:cs="Arial" w:eastAsia="Arial" w:hAnsi="Arial"/>
                <w:sz w:val="18"/>
                <w:szCs w:val="18"/>
                <w:color w:val="0000EE"/>
                <w:w w:val="86"/>
              </w:rPr>
            </w:pPr>
            <w:hyperlink r:id="rId172">
              <w:r>
                <w:rPr>
                  <w:rFonts w:ascii="Arial" w:cs="Arial" w:eastAsia="Arial" w:hAnsi="Arial"/>
                  <w:sz w:val="18"/>
                  <w:szCs w:val="18"/>
                  <w:color w:val="0000EE"/>
                  <w:w w:val="86"/>
                </w:rPr>
                <w:t>Association, as Trustee</w:t>
              </w:r>
            </w:hyperlink>
          </w:p>
        </w:tc>
        <w:tc>
          <w:tcPr>
            <w:tcW w:w="3740" w:type="dxa"/>
            <w:vAlign w:val="bottom"/>
            <w:gridSpan w:val="19"/>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4.5</w:t>
            </w:r>
          </w:p>
        </w:tc>
        <w:tc>
          <w:tcPr>
            <w:tcW w:w="400" w:type="dxa"/>
            <w:vAlign w:val="bottom"/>
          </w:tcPr>
          <w:p>
            <w:pPr>
              <w:spacing w:after="0"/>
              <w:rPr>
                <w:sz w:val="16"/>
                <w:szCs w:val="16"/>
                <w:color w:val="auto"/>
              </w:rPr>
            </w:pPr>
          </w:p>
        </w:tc>
        <w:tc>
          <w:tcPr>
            <w:tcW w:w="4880" w:type="dxa"/>
            <w:vAlign w:val="bottom"/>
            <w:tcBorders>
              <w:bottom w:val="single" w:sz="8" w:color="0000EE"/>
            </w:tcBorders>
            <w:gridSpan w:val="17"/>
          </w:tcPr>
          <w:p>
            <w:pPr>
              <w:spacing w:after="0" w:line="190"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Form of Note for MSCI Inc. 4.000% Senior Notes due November 15,</w:t>
              </w:r>
            </w:hyperlink>
          </w:p>
        </w:tc>
        <w:tc>
          <w:tcPr>
            <w:tcW w:w="500" w:type="dxa"/>
            <w:vAlign w:val="bottom"/>
            <w:gridSpan w:val="3"/>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6"/>
                <w:szCs w:val="16"/>
                <w:color w:val="auto"/>
              </w:rPr>
            </w:pPr>
          </w:p>
        </w:tc>
        <w:tc>
          <w:tcPr>
            <w:tcW w:w="1040" w:type="dxa"/>
            <w:vAlign w:val="bottom"/>
            <w:gridSpan w:val="3"/>
          </w:tcPr>
          <w:p>
            <w:pPr>
              <w:jc w:val="center"/>
              <w:ind w:right="20"/>
              <w:spacing w:after="0" w:line="190" w:lineRule="exact"/>
              <w:rPr>
                <w:sz w:val="20"/>
                <w:szCs w:val="20"/>
                <w:color w:val="auto"/>
              </w:rPr>
            </w:pPr>
            <w:r>
              <w:rPr>
                <w:rFonts w:ascii="Arial" w:cs="Arial" w:eastAsia="Arial" w:hAnsi="Arial"/>
                <w:sz w:val="18"/>
                <w:szCs w:val="18"/>
                <w:color w:val="auto"/>
                <w:w w:val="87"/>
              </w:rPr>
              <w:t>11/7/2019</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80" w:type="dxa"/>
            <w:vAlign w:val="bottom"/>
            <w:gridSpan w:val="20"/>
          </w:tcPr>
          <w:p>
            <w:pPr>
              <w:spacing w:after="0" w:line="190" w:lineRule="exact"/>
              <w:rPr>
                <w:rFonts w:ascii="Arial" w:cs="Arial" w:eastAsia="Arial" w:hAnsi="Arial"/>
                <w:sz w:val="18"/>
                <w:szCs w:val="18"/>
                <w:color w:val="0000EE"/>
              </w:rPr>
            </w:pPr>
            <w:hyperlink r:id="rId172">
              <w:r>
                <w:rPr>
                  <w:rFonts w:ascii="Arial" w:cs="Arial" w:eastAsia="Arial" w:hAnsi="Arial"/>
                  <w:sz w:val="18"/>
                  <w:szCs w:val="18"/>
                  <w:color w:val="0000EE"/>
                </w:rPr>
                <w:t>2029 (included in Exhibit 4.4)</w:t>
              </w:r>
            </w:hyperlink>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4.6</w:t>
            </w:r>
          </w:p>
        </w:tc>
        <w:tc>
          <w:tcPr>
            <w:tcW w:w="400" w:type="dxa"/>
            <w:vAlign w:val="bottom"/>
          </w:tcPr>
          <w:p>
            <w:pPr>
              <w:spacing w:after="0"/>
              <w:rPr>
                <w:sz w:val="16"/>
                <w:szCs w:val="16"/>
                <w:color w:val="auto"/>
              </w:rPr>
            </w:pPr>
          </w:p>
        </w:tc>
        <w:tc>
          <w:tcPr>
            <w:tcW w:w="482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Indenture, dated as of March 4, 2020, among MSCI Inc., each of the</w:t>
              </w:r>
            </w:hyperlink>
          </w:p>
        </w:tc>
        <w:tc>
          <w:tcPr>
            <w:tcW w:w="560" w:type="dxa"/>
            <w:vAlign w:val="bottom"/>
            <w:gridSpan w:val="5"/>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1040" w:type="dxa"/>
            <w:vAlign w:val="bottom"/>
            <w:gridSpan w:val="3"/>
          </w:tcPr>
          <w:p>
            <w:pPr>
              <w:jc w:val="center"/>
              <w:ind w:right="40"/>
              <w:spacing w:after="0" w:line="190" w:lineRule="exact"/>
              <w:rPr>
                <w:sz w:val="20"/>
                <w:szCs w:val="20"/>
                <w:color w:val="auto"/>
              </w:rPr>
            </w:pPr>
            <w:r>
              <w:rPr>
                <w:rFonts w:ascii="Arial" w:cs="Arial" w:eastAsia="Arial" w:hAnsi="Arial"/>
                <w:sz w:val="18"/>
                <w:szCs w:val="18"/>
                <w:color w:val="auto"/>
                <w:w w:val="89"/>
              </w:rPr>
              <w:t>3/04/2020</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4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subsidiary guarantors party thereto and Wells Fargo Bank, National</w:t>
              </w:r>
            </w:hyperlink>
          </w:p>
        </w:tc>
        <w:tc>
          <w:tcPr>
            <w:tcW w:w="640" w:type="dxa"/>
            <w:vAlign w:val="bottom"/>
            <w:gridSpan w:val="9"/>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Borders>
              <w:bottom w:val="single" w:sz="8" w:color="0000EE"/>
            </w:tcBorders>
            <w:gridSpan w:val="3"/>
          </w:tcPr>
          <w:p>
            <w:pPr>
              <w:spacing w:after="0" w:line="190" w:lineRule="exact"/>
              <w:rPr>
                <w:rFonts w:ascii="Arial" w:cs="Arial" w:eastAsia="Arial" w:hAnsi="Arial"/>
                <w:sz w:val="18"/>
                <w:szCs w:val="18"/>
                <w:color w:val="0000EE"/>
                <w:w w:val="87"/>
              </w:rPr>
            </w:pPr>
            <w:hyperlink r:id="rId173">
              <w:r>
                <w:rPr>
                  <w:rFonts w:ascii="Arial" w:cs="Arial" w:eastAsia="Arial" w:hAnsi="Arial"/>
                  <w:sz w:val="18"/>
                  <w:szCs w:val="18"/>
                  <w:color w:val="0000EE"/>
                  <w:w w:val="87"/>
                </w:rPr>
                <w:t>Association, as Trustee.</w:t>
              </w:r>
            </w:hyperlink>
          </w:p>
        </w:tc>
        <w:tc>
          <w:tcPr>
            <w:tcW w:w="3680" w:type="dxa"/>
            <w:vAlign w:val="bottom"/>
            <w:gridSpan w:val="17"/>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4.7</w:t>
            </w:r>
          </w:p>
        </w:tc>
        <w:tc>
          <w:tcPr>
            <w:tcW w:w="400" w:type="dxa"/>
            <w:vAlign w:val="bottom"/>
          </w:tcPr>
          <w:p>
            <w:pPr>
              <w:spacing w:after="0"/>
              <w:rPr>
                <w:sz w:val="16"/>
                <w:szCs w:val="16"/>
                <w:color w:val="auto"/>
              </w:rPr>
            </w:pPr>
          </w:p>
        </w:tc>
        <w:tc>
          <w:tcPr>
            <w:tcW w:w="480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Form of Note for MSCI Inc. 3.625% Senior Notes due September 1,</w:t>
              </w:r>
            </w:hyperlink>
          </w:p>
        </w:tc>
        <w:tc>
          <w:tcPr>
            <w:tcW w:w="580" w:type="dxa"/>
            <w:vAlign w:val="bottom"/>
            <w:gridSpan w:val="6"/>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6"/>
                <w:szCs w:val="16"/>
                <w:color w:val="auto"/>
              </w:rPr>
            </w:pPr>
          </w:p>
        </w:tc>
        <w:tc>
          <w:tcPr>
            <w:tcW w:w="1040" w:type="dxa"/>
            <w:vAlign w:val="bottom"/>
            <w:gridSpan w:val="3"/>
          </w:tcPr>
          <w:p>
            <w:pPr>
              <w:jc w:val="center"/>
              <w:ind w:right="40"/>
              <w:spacing w:after="0" w:line="190" w:lineRule="exact"/>
              <w:rPr>
                <w:sz w:val="20"/>
                <w:szCs w:val="20"/>
                <w:color w:val="auto"/>
              </w:rPr>
            </w:pPr>
            <w:r>
              <w:rPr>
                <w:rFonts w:ascii="Arial" w:cs="Arial" w:eastAsia="Arial" w:hAnsi="Arial"/>
                <w:sz w:val="18"/>
                <w:szCs w:val="18"/>
                <w:color w:val="auto"/>
                <w:w w:val="89"/>
              </w:rPr>
              <w:t>3/04/2020</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80" w:type="dxa"/>
            <w:vAlign w:val="bottom"/>
            <w:gridSpan w:val="20"/>
          </w:tcPr>
          <w:p>
            <w:pPr>
              <w:spacing w:after="0" w:line="190" w:lineRule="exact"/>
              <w:rPr>
                <w:rFonts w:ascii="Arial" w:cs="Arial" w:eastAsia="Arial" w:hAnsi="Arial"/>
                <w:sz w:val="18"/>
                <w:szCs w:val="18"/>
                <w:color w:val="0000EE"/>
              </w:rPr>
            </w:pPr>
            <w:hyperlink r:id="rId173">
              <w:r>
                <w:rPr>
                  <w:rFonts w:ascii="Arial" w:cs="Arial" w:eastAsia="Arial" w:hAnsi="Arial"/>
                  <w:sz w:val="18"/>
                  <w:szCs w:val="18"/>
                  <w:color w:val="0000EE"/>
                </w:rPr>
                <w:t>2030 (included in Exhibit 4.6).</w:t>
              </w:r>
            </w:hyperlink>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4.8</w:t>
            </w:r>
          </w:p>
        </w:tc>
        <w:tc>
          <w:tcPr>
            <w:tcW w:w="400" w:type="dxa"/>
            <w:vAlign w:val="bottom"/>
          </w:tcPr>
          <w:p>
            <w:pPr>
              <w:spacing w:after="0"/>
              <w:rPr>
                <w:sz w:val="16"/>
                <w:szCs w:val="16"/>
                <w:color w:val="auto"/>
              </w:rPr>
            </w:pPr>
          </w:p>
        </w:tc>
        <w:tc>
          <w:tcPr>
            <w:tcW w:w="476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174">
              <w:r>
                <w:rPr>
                  <w:rFonts w:ascii="Arial" w:cs="Arial" w:eastAsia="Arial" w:hAnsi="Arial"/>
                  <w:sz w:val="18"/>
                  <w:szCs w:val="18"/>
                  <w:color w:val="0000EE"/>
                  <w:w w:val="88"/>
                </w:rPr>
                <w:t>Indenture, dated as of May 26, 2020, among MSCI Inc., each of the</w:t>
              </w:r>
            </w:hyperlink>
          </w:p>
        </w:tc>
        <w:tc>
          <w:tcPr>
            <w:tcW w:w="620" w:type="dxa"/>
            <w:vAlign w:val="bottom"/>
            <w:gridSpan w:val="8"/>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1040" w:type="dxa"/>
            <w:vAlign w:val="bottom"/>
            <w:gridSpan w:val="3"/>
          </w:tcPr>
          <w:p>
            <w:pPr>
              <w:jc w:val="center"/>
              <w:ind w:right="40"/>
              <w:spacing w:after="0" w:line="190" w:lineRule="exact"/>
              <w:rPr>
                <w:sz w:val="20"/>
                <w:szCs w:val="20"/>
                <w:color w:val="auto"/>
              </w:rPr>
            </w:pPr>
            <w:r>
              <w:rPr>
                <w:rFonts w:ascii="Arial" w:cs="Arial" w:eastAsia="Arial" w:hAnsi="Arial"/>
                <w:sz w:val="18"/>
                <w:szCs w:val="18"/>
                <w:color w:val="auto"/>
                <w:w w:val="89"/>
              </w:rPr>
              <w:t>5/26/2020</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4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174">
              <w:r>
                <w:rPr>
                  <w:rFonts w:ascii="Arial" w:cs="Arial" w:eastAsia="Arial" w:hAnsi="Arial"/>
                  <w:sz w:val="18"/>
                  <w:szCs w:val="18"/>
                  <w:color w:val="0000EE"/>
                  <w:w w:val="88"/>
                </w:rPr>
                <w:t>subsidiary guarantors party thereto and Wells Fargo Bank, National</w:t>
              </w:r>
            </w:hyperlink>
          </w:p>
        </w:tc>
        <w:tc>
          <w:tcPr>
            <w:tcW w:w="640" w:type="dxa"/>
            <w:vAlign w:val="bottom"/>
            <w:gridSpan w:val="9"/>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Borders>
              <w:bottom w:val="single" w:sz="8" w:color="0000EE"/>
            </w:tcBorders>
            <w:gridSpan w:val="3"/>
          </w:tcPr>
          <w:p>
            <w:pPr>
              <w:spacing w:after="0" w:line="190" w:lineRule="exact"/>
              <w:rPr>
                <w:rFonts w:ascii="Arial" w:cs="Arial" w:eastAsia="Arial" w:hAnsi="Arial"/>
                <w:sz w:val="18"/>
                <w:szCs w:val="18"/>
                <w:color w:val="0000EE"/>
                <w:w w:val="87"/>
              </w:rPr>
            </w:pPr>
            <w:hyperlink r:id="rId174">
              <w:r>
                <w:rPr>
                  <w:rFonts w:ascii="Arial" w:cs="Arial" w:eastAsia="Arial" w:hAnsi="Arial"/>
                  <w:sz w:val="18"/>
                  <w:szCs w:val="18"/>
                  <w:color w:val="0000EE"/>
                  <w:w w:val="87"/>
                </w:rPr>
                <w:t>Association, as Trustee.</w:t>
              </w:r>
            </w:hyperlink>
          </w:p>
        </w:tc>
        <w:tc>
          <w:tcPr>
            <w:tcW w:w="3680" w:type="dxa"/>
            <w:vAlign w:val="bottom"/>
            <w:gridSpan w:val="17"/>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7"/>
              </w:rPr>
              <w:t>4.9</w:t>
            </w:r>
          </w:p>
        </w:tc>
        <w:tc>
          <w:tcPr>
            <w:tcW w:w="400" w:type="dxa"/>
            <w:vAlign w:val="bottom"/>
          </w:tcPr>
          <w:p>
            <w:pPr>
              <w:spacing w:after="0"/>
              <w:rPr>
                <w:sz w:val="16"/>
                <w:szCs w:val="16"/>
                <w:color w:val="auto"/>
              </w:rPr>
            </w:pPr>
          </w:p>
        </w:tc>
        <w:tc>
          <w:tcPr>
            <w:tcW w:w="478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Form of Note for MSCI Inc. 3.875% Senior Notes due February 15,</w:t>
              </w:r>
            </w:hyperlink>
          </w:p>
        </w:tc>
        <w:tc>
          <w:tcPr>
            <w:tcW w:w="600" w:type="dxa"/>
            <w:vAlign w:val="bottom"/>
            <w:gridSpan w:val="7"/>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6"/>
                <w:szCs w:val="16"/>
                <w:color w:val="auto"/>
              </w:rPr>
            </w:pPr>
          </w:p>
        </w:tc>
        <w:tc>
          <w:tcPr>
            <w:tcW w:w="1040" w:type="dxa"/>
            <w:vAlign w:val="bottom"/>
            <w:gridSpan w:val="3"/>
          </w:tcPr>
          <w:p>
            <w:pPr>
              <w:jc w:val="center"/>
              <w:ind w:right="40"/>
              <w:spacing w:after="0" w:line="190" w:lineRule="exact"/>
              <w:rPr>
                <w:sz w:val="20"/>
                <w:szCs w:val="20"/>
                <w:color w:val="auto"/>
              </w:rPr>
            </w:pPr>
            <w:r>
              <w:rPr>
                <w:rFonts w:ascii="Arial" w:cs="Arial" w:eastAsia="Arial" w:hAnsi="Arial"/>
                <w:sz w:val="18"/>
                <w:szCs w:val="18"/>
                <w:color w:val="auto"/>
                <w:w w:val="89"/>
              </w:rPr>
              <w:t>5/26/2020</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80" w:type="dxa"/>
            <w:vAlign w:val="bottom"/>
            <w:gridSpan w:val="20"/>
          </w:tcPr>
          <w:p>
            <w:pPr>
              <w:spacing w:after="0" w:line="190" w:lineRule="exact"/>
              <w:rPr>
                <w:rFonts w:ascii="Arial" w:cs="Arial" w:eastAsia="Arial" w:hAnsi="Arial"/>
                <w:sz w:val="18"/>
                <w:szCs w:val="18"/>
                <w:color w:val="0000EE"/>
              </w:rPr>
            </w:pPr>
            <w:hyperlink r:id="rId174">
              <w:r>
                <w:rPr>
                  <w:rFonts w:ascii="Arial" w:cs="Arial" w:eastAsia="Arial" w:hAnsi="Arial"/>
                  <w:sz w:val="18"/>
                  <w:szCs w:val="18"/>
                  <w:color w:val="0000EE"/>
                </w:rPr>
                <w:t>2031 (included in Exhibit 4.8).</w:t>
              </w:r>
            </w:hyperlink>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5"/>
              </w:rPr>
              <w:t>4.10</w:t>
            </w:r>
          </w:p>
        </w:tc>
        <w:tc>
          <w:tcPr>
            <w:tcW w:w="400" w:type="dxa"/>
            <w:vAlign w:val="bottom"/>
          </w:tcPr>
          <w:p>
            <w:pPr>
              <w:spacing w:after="0"/>
              <w:rPr>
                <w:sz w:val="16"/>
                <w:szCs w:val="16"/>
                <w:color w:val="auto"/>
              </w:rPr>
            </w:pPr>
          </w:p>
        </w:tc>
        <w:tc>
          <w:tcPr>
            <w:tcW w:w="476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175">
              <w:r>
                <w:rPr>
                  <w:rFonts w:ascii="Arial" w:cs="Arial" w:eastAsia="Arial" w:hAnsi="Arial"/>
                  <w:sz w:val="18"/>
                  <w:szCs w:val="18"/>
                  <w:color w:val="0000EE"/>
                  <w:w w:val="88"/>
                </w:rPr>
                <w:t>Indenture, dated as of May 14, 2021, among MSCI Inc., each of the</w:t>
              </w:r>
            </w:hyperlink>
          </w:p>
        </w:tc>
        <w:tc>
          <w:tcPr>
            <w:tcW w:w="620" w:type="dxa"/>
            <w:vAlign w:val="bottom"/>
            <w:gridSpan w:val="8"/>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1040" w:type="dxa"/>
            <w:vAlign w:val="bottom"/>
            <w:gridSpan w:val="3"/>
          </w:tcPr>
          <w:p>
            <w:pPr>
              <w:jc w:val="center"/>
              <w:ind w:right="40"/>
              <w:spacing w:after="0" w:line="190" w:lineRule="exact"/>
              <w:rPr>
                <w:sz w:val="20"/>
                <w:szCs w:val="20"/>
                <w:color w:val="auto"/>
              </w:rPr>
            </w:pPr>
            <w:r>
              <w:rPr>
                <w:rFonts w:ascii="Arial" w:cs="Arial" w:eastAsia="Arial" w:hAnsi="Arial"/>
                <w:sz w:val="18"/>
                <w:szCs w:val="18"/>
                <w:color w:val="auto"/>
                <w:w w:val="89"/>
              </w:rPr>
              <w:t>5/14/2021</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4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175">
              <w:r>
                <w:rPr>
                  <w:rFonts w:ascii="Arial" w:cs="Arial" w:eastAsia="Arial" w:hAnsi="Arial"/>
                  <w:sz w:val="18"/>
                  <w:szCs w:val="18"/>
                  <w:color w:val="0000EE"/>
                  <w:w w:val="88"/>
                </w:rPr>
                <w:t>subsidiary guarantors party thereto and Wells Fargo Bank, National</w:t>
              </w:r>
            </w:hyperlink>
          </w:p>
        </w:tc>
        <w:tc>
          <w:tcPr>
            <w:tcW w:w="640" w:type="dxa"/>
            <w:vAlign w:val="bottom"/>
            <w:gridSpan w:val="9"/>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Borders>
              <w:bottom w:val="single" w:sz="8" w:color="0000EE"/>
            </w:tcBorders>
            <w:gridSpan w:val="3"/>
          </w:tcPr>
          <w:p>
            <w:pPr>
              <w:spacing w:after="0" w:line="190" w:lineRule="exact"/>
              <w:rPr>
                <w:rFonts w:ascii="Arial" w:cs="Arial" w:eastAsia="Arial" w:hAnsi="Arial"/>
                <w:sz w:val="18"/>
                <w:szCs w:val="18"/>
                <w:color w:val="0000EE"/>
                <w:w w:val="87"/>
              </w:rPr>
            </w:pPr>
            <w:hyperlink r:id="rId175">
              <w:r>
                <w:rPr>
                  <w:rFonts w:ascii="Arial" w:cs="Arial" w:eastAsia="Arial" w:hAnsi="Arial"/>
                  <w:sz w:val="18"/>
                  <w:szCs w:val="18"/>
                  <w:color w:val="0000EE"/>
                  <w:w w:val="87"/>
                </w:rPr>
                <w:t>Association, as Trustee.</w:t>
              </w:r>
            </w:hyperlink>
          </w:p>
        </w:tc>
        <w:tc>
          <w:tcPr>
            <w:tcW w:w="3680" w:type="dxa"/>
            <w:vAlign w:val="bottom"/>
            <w:gridSpan w:val="17"/>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5"/>
              </w:rPr>
              <w:t>4.11</w:t>
            </w:r>
          </w:p>
        </w:tc>
        <w:tc>
          <w:tcPr>
            <w:tcW w:w="400" w:type="dxa"/>
            <w:vAlign w:val="bottom"/>
          </w:tcPr>
          <w:p>
            <w:pPr>
              <w:spacing w:after="0"/>
              <w:rPr>
                <w:sz w:val="16"/>
                <w:szCs w:val="16"/>
                <w:color w:val="auto"/>
              </w:rPr>
            </w:pPr>
          </w:p>
        </w:tc>
        <w:tc>
          <w:tcPr>
            <w:tcW w:w="5380" w:type="dxa"/>
            <w:vAlign w:val="bottom"/>
            <w:gridSpan w:val="20"/>
          </w:tcPr>
          <w:p>
            <w:pPr>
              <w:spacing w:after="0" w:line="190" w:lineRule="exact"/>
              <w:rPr>
                <w:rFonts w:ascii="Arial" w:cs="Arial" w:eastAsia="Arial" w:hAnsi="Arial"/>
                <w:sz w:val="18"/>
                <w:szCs w:val="18"/>
                <w:color w:val="0000EE"/>
              </w:rPr>
            </w:pPr>
            <w:hyperlink r:id="rId175">
              <w:r>
                <w:rPr>
                  <w:rFonts w:ascii="Arial" w:cs="Arial" w:eastAsia="Arial" w:hAnsi="Arial"/>
                  <w:sz w:val="18"/>
                  <w:szCs w:val="18"/>
                  <w:color w:val="0000EE"/>
                </w:rPr>
                <w:t>Form of Note for MSCI Inc. 3.625% Senior Notes due November 1,</w:t>
              </w:r>
            </w:hyperlink>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6"/>
                <w:szCs w:val="16"/>
                <w:color w:val="auto"/>
              </w:rPr>
            </w:pPr>
          </w:p>
        </w:tc>
        <w:tc>
          <w:tcPr>
            <w:tcW w:w="1040" w:type="dxa"/>
            <w:vAlign w:val="bottom"/>
            <w:gridSpan w:val="3"/>
          </w:tcPr>
          <w:p>
            <w:pPr>
              <w:jc w:val="center"/>
              <w:ind w:right="40"/>
              <w:spacing w:after="0" w:line="190" w:lineRule="exact"/>
              <w:rPr>
                <w:sz w:val="20"/>
                <w:szCs w:val="20"/>
                <w:color w:val="auto"/>
              </w:rPr>
            </w:pPr>
            <w:r>
              <w:rPr>
                <w:rFonts w:ascii="Arial" w:cs="Arial" w:eastAsia="Arial" w:hAnsi="Arial"/>
                <w:sz w:val="18"/>
                <w:szCs w:val="18"/>
                <w:color w:val="auto"/>
                <w:w w:val="89"/>
              </w:rPr>
              <w:t>5/14/2021</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tcBorders>
              <w:top w:val="single" w:sz="8" w:color="0000EE"/>
              <w:bottom w:val="single" w:sz="8" w:color="0000EE"/>
            </w:tcBorders>
            <w:gridSpan w:val="7"/>
          </w:tcPr>
          <w:p>
            <w:pPr>
              <w:spacing w:after="0" w:line="190"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2031 (included in Exhibit 4.10).</w:t>
              </w:r>
            </w:hyperlink>
          </w:p>
        </w:tc>
        <w:tc>
          <w:tcPr>
            <w:tcW w:w="2500" w:type="dxa"/>
            <w:vAlign w:val="bottom"/>
            <w:tcBorders>
              <w:top w:val="single" w:sz="8" w:color="0000EE"/>
            </w:tcBorders>
            <w:gridSpan w:val="6"/>
          </w:tcPr>
          <w:p>
            <w:pPr>
              <w:spacing w:after="0"/>
              <w:rPr>
                <w:sz w:val="16"/>
                <w:szCs w:val="16"/>
                <w:color w:val="auto"/>
              </w:rPr>
            </w:pPr>
          </w:p>
        </w:tc>
        <w:tc>
          <w:tcPr>
            <w:tcW w:w="600" w:type="dxa"/>
            <w:vAlign w:val="bottom"/>
            <w:gridSpan w:val="7"/>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86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auto"/>
                <w:w w:val="85"/>
              </w:rPr>
              <w:t>4.12</w:t>
            </w:r>
          </w:p>
        </w:tc>
        <w:tc>
          <w:tcPr>
            <w:tcW w:w="400" w:type="dxa"/>
            <w:vAlign w:val="bottom"/>
          </w:tcPr>
          <w:p>
            <w:pPr>
              <w:spacing w:after="0"/>
              <w:rPr>
                <w:sz w:val="16"/>
                <w:szCs w:val="16"/>
                <w:color w:val="auto"/>
              </w:rPr>
            </w:pPr>
          </w:p>
        </w:tc>
        <w:tc>
          <w:tcPr>
            <w:tcW w:w="4940" w:type="dxa"/>
            <w:vAlign w:val="bottom"/>
            <w:tcBorders>
              <w:bottom w:val="single" w:sz="8" w:color="0000EE"/>
            </w:tcBorders>
            <w:gridSpan w:val="18"/>
          </w:tcPr>
          <w:p>
            <w:pPr>
              <w:spacing w:after="0" w:line="190" w:lineRule="exact"/>
              <w:rPr>
                <w:rFonts w:ascii="Arial" w:cs="Arial" w:eastAsia="Arial" w:hAnsi="Arial"/>
                <w:sz w:val="18"/>
                <w:szCs w:val="18"/>
                <w:color w:val="0000EE"/>
                <w:w w:val="87"/>
              </w:rPr>
            </w:pPr>
            <w:hyperlink r:id="rId176">
              <w:r>
                <w:rPr>
                  <w:rFonts w:ascii="Arial" w:cs="Arial" w:eastAsia="Arial" w:hAnsi="Arial"/>
                  <w:sz w:val="18"/>
                  <w:szCs w:val="18"/>
                  <w:color w:val="0000EE"/>
                  <w:w w:val="87"/>
                </w:rPr>
                <w:t>Indenture, dated as of August 17, 2021, among MSCI Inc., each of the</w:t>
              </w:r>
            </w:hyperlink>
          </w:p>
        </w:tc>
        <w:tc>
          <w:tcPr>
            <w:tcW w:w="44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jc w:val="center"/>
              <w:ind w:right="480"/>
              <w:spacing w:after="0" w:line="190" w:lineRule="exact"/>
              <w:rPr>
                <w:sz w:val="20"/>
                <w:szCs w:val="20"/>
                <w:color w:val="auto"/>
              </w:rPr>
            </w:pPr>
            <w:r>
              <w:rPr>
                <w:rFonts w:ascii="Arial" w:cs="Arial" w:eastAsia="Arial" w:hAnsi="Arial"/>
                <w:sz w:val="18"/>
                <w:szCs w:val="18"/>
                <w:color w:val="auto"/>
                <w:w w:val="92"/>
              </w:rPr>
              <w:t>8-K</w:t>
            </w:r>
          </w:p>
        </w:tc>
        <w:tc>
          <w:tcPr>
            <w:tcW w:w="1520" w:type="dxa"/>
            <w:vAlign w:val="bottom"/>
            <w:gridSpan w:val="3"/>
          </w:tcPr>
          <w:p>
            <w:pPr>
              <w:jc w:val="center"/>
              <w:ind w:left="114"/>
              <w:spacing w:after="0" w:line="190" w:lineRule="exact"/>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1040" w:type="dxa"/>
            <w:vAlign w:val="bottom"/>
            <w:gridSpan w:val="3"/>
          </w:tcPr>
          <w:p>
            <w:pPr>
              <w:jc w:val="center"/>
              <w:ind w:right="40"/>
              <w:spacing w:after="0" w:line="190" w:lineRule="exact"/>
              <w:rPr>
                <w:sz w:val="20"/>
                <w:szCs w:val="20"/>
                <w:color w:val="auto"/>
              </w:rPr>
            </w:pPr>
            <w:r>
              <w:rPr>
                <w:rFonts w:ascii="Arial" w:cs="Arial" w:eastAsia="Arial" w:hAnsi="Arial"/>
                <w:sz w:val="18"/>
                <w:szCs w:val="18"/>
                <w:color w:val="auto"/>
                <w:w w:val="89"/>
              </w:rPr>
              <w:t>8/17/2021</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4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176">
              <w:r>
                <w:rPr>
                  <w:rFonts w:ascii="Arial" w:cs="Arial" w:eastAsia="Arial" w:hAnsi="Arial"/>
                  <w:sz w:val="18"/>
                  <w:szCs w:val="18"/>
                  <w:color w:val="0000EE"/>
                  <w:w w:val="88"/>
                </w:rPr>
                <w:t>subsidiary guarantors party thereto and Wells Fargo Bank, National</w:t>
              </w:r>
            </w:hyperlink>
          </w:p>
        </w:tc>
        <w:tc>
          <w:tcPr>
            <w:tcW w:w="640" w:type="dxa"/>
            <w:vAlign w:val="bottom"/>
            <w:gridSpan w:val="9"/>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Borders>
              <w:bottom w:val="single" w:sz="8" w:color="0000EE"/>
            </w:tcBorders>
            <w:gridSpan w:val="2"/>
          </w:tcPr>
          <w:p>
            <w:pPr>
              <w:spacing w:after="0" w:line="190" w:lineRule="exact"/>
              <w:rPr>
                <w:rFonts w:ascii="Arial" w:cs="Arial" w:eastAsia="Arial" w:hAnsi="Arial"/>
                <w:sz w:val="18"/>
                <w:szCs w:val="18"/>
                <w:color w:val="0000EE"/>
                <w:w w:val="86"/>
              </w:rPr>
            </w:pPr>
            <w:hyperlink r:id="rId176">
              <w:r>
                <w:rPr>
                  <w:rFonts w:ascii="Arial" w:cs="Arial" w:eastAsia="Arial" w:hAnsi="Arial"/>
                  <w:sz w:val="18"/>
                  <w:szCs w:val="18"/>
                  <w:color w:val="0000EE"/>
                  <w:w w:val="86"/>
                </w:rPr>
                <w:t>Association, as Trustee.</w:t>
              </w:r>
            </w:hyperlink>
          </w:p>
        </w:tc>
        <w:tc>
          <w:tcPr>
            <w:tcW w:w="3700" w:type="dxa"/>
            <w:vAlign w:val="bottom"/>
            <w:gridSpan w:val="18"/>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39"/>
        </w:trPr>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40" w:type="dxa"/>
            <w:vAlign w:val="bottom"/>
            <w:gridSpan w:val="11"/>
          </w:tcPr>
          <w:p>
            <w:pPr>
              <w:ind w:left="42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49"/>
        </w:trPr>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4"/>
        </w:trPr>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gridSpan w:val="19"/>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46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400" w:type="dxa"/>
            <w:vAlign w:val="bottom"/>
          </w:tcPr>
          <w:p>
            <w:pPr>
              <w:spacing w:after="0"/>
              <w:rPr>
                <w:sz w:val="18"/>
                <w:szCs w:val="18"/>
                <w:color w:val="auto"/>
              </w:rPr>
            </w:pPr>
          </w:p>
        </w:tc>
        <w:tc>
          <w:tcPr>
            <w:tcW w:w="5040" w:type="dxa"/>
            <w:vAlign w:val="bottom"/>
            <w:tcBorders>
              <w:bottom w:val="single" w:sz="8" w:color="0000EE"/>
            </w:tcBorders>
            <w:gridSpan w:val="29"/>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Form of Note for MSCI Inc. 3.250% Senior Notes due August 15, 2033</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40" w:type="dxa"/>
            <w:vAlign w:val="bottom"/>
            <w:gridSpan w:val="29"/>
          </w:tcPr>
          <w:p>
            <w:pPr>
              <w:spacing w:after="0" w:line="190" w:lineRule="exact"/>
              <w:rPr>
                <w:rFonts w:ascii="Arial" w:cs="Arial" w:eastAsia="Arial" w:hAnsi="Arial"/>
                <w:sz w:val="18"/>
                <w:szCs w:val="18"/>
                <w:color w:val="0000EE"/>
              </w:rPr>
            </w:pPr>
            <w:hyperlink r:id="rId176">
              <w:r>
                <w:rPr>
                  <w:rFonts w:ascii="Arial" w:cs="Arial" w:eastAsia="Arial" w:hAnsi="Arial"/>
                  <w:sz w:val="18"/>
                  <w:szCs w:val="18"/>
                  <w:color w:val="0000EE"/>
                </w:rPr>
                <w:t>(included in Exhibit 4.12).</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85"/>
              </w:rPr>
              <w:t>4.14</w:t>
            </w:r>
          </w:p>
        </w:tc>
        <w:tc>
          <w:tcPr>
            <w:tcW w:w="400" w:type="dxa"/>
            <w:vAlign w:val="bottom"/>
          </w:tcPr>
          <w:p>
            <w:pPr>
              <w:spacing w:after="0"/>
              <w:rPr>
                <w:sz w:val="16"/>
                <w:szCs w:val="16"/>
                <w:color w:val="auto"/>
              </w:rPr>
            </w:pPr>
          </w:p>
        </w:tc>
        <w:tc>
          <w:tcPr>
            <w:tcW w:w="4620" w:type="dxa"/>
            <w:vAlign w:val="bottom"/>
            <w:tcBorders>
              <w:bottom w:val="single" w:sz="8" w:color="0000EE"/>
            </w:tcBorders>
            <w:gridSpan w:val="24"/>
          </w:tcPr>
          <w:p>
            <w:pPr>
              <w:spacing w:after="0" w:line="190" w:lineRule="exact"/>
              <w:rPr>
                <w:rFonts w:ascii="Arial" w:cs="Arial" w:eastAsia="Arial" w:hAnsi="Arial"/>
                <w:sz w:val="18"/>
                <w:szCs w:val="18"/>
                <w:color w:val="0000EE"/>
                <w:w w:val="87"/>
              </w:rPr>
            </w:pPr>
            <w:hyperlink w:anchor="page122">
              <w:r>
                <w:rPr>
                  <w:rFonts w:ascii="Arial" w:cs="Arial" w:eastAsia="Arial" w:hAnsi="Arial"/>
                  <w:sz w:val="18"/>
                  <w:szCs w:val="18"/>
                  <w:color w:val="0000EE"/>
                  <w:w w:val="87"/>
                </w:rPr>
                <w:t>Description of Securities Registered Pursuant to Section 12 of the</w:t>
              </w:r>
            </w:hyperlink>
          </w:p>
        </w:tc>
        <w:tc>
          <w:tcPr>
            <w:tcW w:w="420" w:type="dxa"/>
            <w:vAlign w:val="bottom"/>
            <w:gridSpan w:val="5"/>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w:anchor="page122">
              <w:r>
                <w:rPr>
                  <w:rFonts w:ascii="Arial" w:cs="Arial" w:eastAsia="Arial" w:hAnsi="Arial"/>
                  <w:sz w:val="18"/>
                  <w:szCs w:val="18"/>
                  <w:color w:val="0000EE"/>
                  <w:w w:val="88"/>
                </w:rPr>
                <w:t>Securities Exchange Act of 1934</w:t>
              </w:r>
            </w:hyperlink>
          </w:p>
        </w:tc>
        <w:tc>
          <w:tcPr>
            <w:tcW w:w="2720" w:type="dxa"/>
            <w:vAlign w:val="bottom"/>
            <w:gridSpan w:val="18"/>
          </w:tcPr>
          <w:p>
            <w:pPr>
              <w:spacing w:after="0"/>
              <w:rPr>
                <w:sz w:val="16"/>
                <w:szCs w:val="16"/>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10.1*</w:t>
            </w:r>
          </w:p>
        </w:tc>
        <w:tc>
          <w:tcPr>
            <w:tcW w:w="400" w:type="dxa"/>
            <w:vAlign w:val="bottom"/>
          </w:tcPr>
          <w:p>
            <w:pPr>
              <w:spacing w:after="0"/>
              <w:rPr>
                <w:sz w:val="16"/>
                <w:szCs w:val="16"/>
                <w:color w:val="auto"/>
              </w:rPr>
            </w:pPr>
          </w:p>
        </w:tc>
        <w:tc>
          <w:tcPr>
            <w:tcW w:w="3700" w:type="dxa"/>
            <w:vAlign w:val="bottom"/>
            <w:tcBorders>
              <w:bottom w:val="single" w:sz="8" w:color="0000EE"/>
            </w:tcBorders>
            <w:gridSpan w:val="16"/>
          </w:tcPr>
          <w:p>
            <w:pPr>
              <w:spacing w:after="0" w:line="190"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Summary of Non-Employee Director Compensation</w:t>
              </w:r>
            </w:hyperlink>
          </w:p>
        </w:tc>
        <w:tc>
          <w:tcPr>
            <w:tcW w:w="1340" w:type="dxa"/>
            <w:vAlign w:val="bottom"/>
            <w:gridSpan w:val="13"/>
          </w:tcPr>
          <w:p>
            <w:pPr>
              <w:spacing w:after="0"/>
              <w:rPr>
                <w:sz w:val="16"/>
                <w:szCs w:val="16"/>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10.2*</w:t>
            </w:r>
          </w:p>
        </w:tc>
        <w:tc>
          <w:tcPr>
            <w:tcW w:w="400" w:type="dxa"/>
            <w:vAlign w:val="bottom"/>
          </w:tcPr>
          <w:p>
            <w:pPr>
              <w:spacing w:after="0"/>
              <w:rPr>
                <w:sz w:val="16"/>
                <w:szCs w:val="16"/>
                <w:color w:val="auto"/>
              </w:rPr>
            </w:pPr>
          </w:p>
        </w:tc>
        <w:tc>
          <w:tcPr>
            <w:tcW w:w="5040" w:type="dxa"/>
            <w:vAlign w:val="bottom"/>
            <w:gridSpan w:val="29"/>
          </w:tcPr>
          <w:p>
            <w:pPr>
              <w:spacing w:after="0" w:line="190" w:lineRule="exact"/>
              <w:rPr>
                <w:rFonts w:ascii="Arial" w:cs="Arial" w:eastAsia="Arial" w:hAnsi="Arial"/>
                <w:sz w:val="18"/>
                <w:szCs w:val="18"/>
                <w:color w:val="0000EE"/>
              </w:rPr>
            </w:pPr>
            <w:hyperlink r:id="rId179">
              <w:r>
                <w:rPr>
                  <w:rFonts w:ascii="Arial" w:cs="Arial" w:eastAsia="Arial" w:hAnsi="Arial"/>
                  <w:sz w:val="18"/>
                  <w:szCs w:val="18"/>
                  <w:color w:val="0000EE"/>
                </w:rPr>
                <w:t>Non-Employee Director Stock Ownership Guidelines</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10.3*</w:t>
            </w:r>
          </w:p>
        </w:tc>
        <w:tc>
          <w:tcPr>
            <w:tcW w:w="400" w:type="dxa"/>
            <w:vAlign w:val="bottom"/>
          </w:tcPr>
          <w:p>
            <w:pPr>
              <w:spacing w:after="0"/>
              <w:rPr>
                <w:sz w:val="16"/>
                <w:szCs w:val="16"/>
                <w:color w:val="auto"/>
              </w:rPr>
            </w:pPr>
          </w:p>
        </w:tc>
        <w:tc>
          <w:tcPr>
            <w:tcW w:w="4600" w:type="dxa"/>
            <w:vAlign w:val="bottom"/>
            <w:tcBorders>
              <w:bottom w:val="single" w:sz="8" w:color="0000EE"/>
            </w:tcBorders>
            <w:gridSpan w:val="23"/>
          </w:tcPr>
          <w:p>
            <w:pPr>
              <w:spacing w:after="0" w:line="190" w:lineRule="exact"/>
              <w:rPr>
                <w:rFonts w:ascii="Arial" w:cs="Arial" w:eastAsia="Arial" w:hAnsi="Arial"/>
                <w:sz w:val="18"/>
                <w:szCs w:val="18"/>
                <w:color w:val="0000EE"/>
                <w:w w:val="88"/>
              </w:rPr>
            </w:pPr>
            <w:hyperlink r:id="rId180">
              <w:r>
                <w:rPr>
                  <w:rFonts w:ascii="Arial" w:cs="Arial" w:eastAsia="Arial" w:hAnsi="Arial"/>
                  <w:sz w:val="18"/>
                  <w:szCs w:val="18"/>
                  <w:color w:val="0000EE"/>
                  <w:w w:val="88"/>
                </w:rPr>
                <w:t>MSCI Inc. 2016 Non-Employee Directors Compensation Plan, as</w:t>
              </w:r>
            </w:hyperlink>
          </w:p>
        </w:tc>
        <w:tc>
          <w:tcPr>
            <w:tcW w:w="440" w:type="dxa"/>
            <w:vAlign w:val="bottom"/>
            <w:gridSpan w:val="6"/>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2"/>
              </w:rPr>
            </w:pPr>
            <w:hyperlink r:id="rId180">
              <w:r>
                <w:rPr>
                  <w:rFonts w:ascii="Arial" w:cs="Arial" w:eastAsia="Arial" w:hAnsi="Arial"/>
                  <w:sz w:val="18"/>
                  <w:szCs w:val="18"/>
                  <w:color w:val="0000EE"/>
                  <w:w w:val="82"/>
                </w:rPr>
                <w:t>amended</w:t>
              </w:r>
            </w:hyperlink>
          </w:p>
        </w:tc>
        <w:tc>
          <w:tcPr>
            <w:tcW w:w="4400" w:type="dxa"/>
            <w:vAlign w:val="bottom"/>
            <w:gridSpan w:val="28"/>
          </w:tcPr>
          <w:p>
            <w:pPr>
              <w:spacing w:after="0"/>
              <w:rPr>
                <w:sz w:val="16"/>
                <w:szCs w:val="16"/>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10.4*</w:t>
            </w:r>
          </w:p>
        </w:tc>
        <w:tc>
          <w:tcPr>
            <w:tcW w:w="400" w:type="dxa"/>
            <w:vAlign w:val="bottom"/>
          </w:tcPr>
          <w:p>
            <w:pPr>
              <w:spacing w:after="0"/>
              <w:rPr>
                <w:sz w:val="16"/>
                <w:szCs w:val="16"/>
                <w:color w:val="auto"/>
              </w:rPr>
            </w:pPr>
          </w:p>
        </w:tc>
        <w:tc>
          <w:tcPr>
            <w:tcW w:w="438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MSCI Inc. Non-Employee Director Deferral Plan, as amended</w:t>
              </w:r>
            </w:hyperlink>
          </w:p>
        </w:tc>
        <w:tc>
          <w:tcPr>
            <w:tcW w:w="660" w:type="dxa"/>
            <w:vAlign w:val="bottom"/>
            <w:gridSpan w:val="11"/>
          </w:tcPr>
          <w:p>
            <w:pPr>
              <w:spacing w:after="0"/>
              <w:rPr>
                <w:sz w:val="16"/>
                <w:szCs w:val="16"/>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10.5*</w:t>
            </w:r>
          </w:p>
        </w:tc>
        <w:tc>
          <w:tcPr>
            <w:tcW w:w="400" w:type="dxa"/>
            <w:vAlign w:val="bottom"/>
          </w:tcPr>
          <w:p>
            <w:pPr>
              <w:spacing w:after="0"/>
              <w:rPr>
                <w:sz w:val="16"/>
                <w:szCs w:val="16"/>
                <w:color w:val="auto"/>
              </w:rPr>
            </w:pPr>
          </w:p>
        </w:tc>
        <w:tc>
          <w:tcPr>
            <w:tcW w:w="5040" w:type="dxa"/>
            <w:vAlign w:val="bottom"/>
            <w:gridSpan w:val="29"/>
          </w:tcPr>
          <w:p>
            <w:pPr>
              <w:spacing w:after="0" w:line="190"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MSCI Inc. Change in Control Severance Plan, adopted May 28, 2015</w:t>
              </w:r>
            </w:hyperlink>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10.6*</w:t>
            </w:r>
          </w:p>
        </w:tc>
        <w:tc>
          <w:tcPr>
            <w:tcW w:w="400" w:type="dxa"/>
            <w:vAlign w:val="bottom"/>
          </w:tcPr>
          <w:p>
            <w:pPr>
              <w:spacing w:after="0"/>
              <w:rPr>
                <w:sz w:val="16"/>
                <w:szCs w:val="16"/>
                <w:color w:val="auto"/>
              </w:rPr>
            </w:pPr>
          </w:p>
        </w:tc>
        <w:tc>
          <w:tcPr>
            <w:tcW w:w="3680" w:type="dxa"/>
            <w:vAlign w:val="bottom"/>
            <w:tcBorders>
              <w:top w:val="single" w:sz="8" w:color="0000EE"/>
              <w:bottom w:val="single" w:sz="8" w:color="0000EE"/>
            </w:tcBorders>
            <w:gridSpan w:val="15"/>
          </w:tcPr>
          <w:p>
            <w:pPr>
              <w:spacing w:after="0" w:line="190"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MSCI Inc. Performance Formula and Incentive Plan</w:t>
              </w:r>
            </w:hyperlink>
          </w:p>
        </w:tc>
        <w:tc>
          <w:tcPr>
            <w:tcW w:w="1180" w:type="dxa"/>
            <w:vAlign w:val="bottom"/>
            <w:tcBorders>
              <w:top w:val="single" w:sz="8" w:color="0000EE"/>
            </w:tcBorders>
            <w:gridSpan w:val="11"/>
          </w:tcPr>
          <w:p>
            <w:pPr>
              <w:spacing w:after="0"/>
              <w:rPr>
                <w:sz w:val="16"/>
                <w:szCs w:val="16"/>
                <w:color w:val="auto"/>
              </w:rPr>
            </w:pPr>
          </w:p>
        </w:tc>
        <w:tc>
          <w:tcPr>
            <w:tcW w:w="180" w:type="dxa"/>
            <w:vAlign w:val="bottom"/>
            <w:gridSpan w:val="3"/>
          </w:tcPr>
          <w:p>
            <w:pPr>
              <w:spacing w:after="0"/>
              <w:rPr>
                <w:sz w:val="16"/>
                <w:szCs w:val="16"/>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10.7*</w:t>
            </w:r>
          </w:p>
        </w:tc>
        <w:tc>
          <w:tcPr>
            <w:tcW w:w="400" w:type="dxa"/>
            <w:vAlign w:val="bottom"/>
          </w:tcPr>
          <w:p>
            <w:pPr>
              <w:spacing w:after="0"/>
              <w:rPr>
                <w:sz w:val="16"/>
                <w:szCs w:val="16"/>
                <w:color w:val="auto"/>
              </w:rPr>
            </w:pPr>
          </w:p>
        </w:tc>
        <w:tc>
          <w:tcPr>
            <w:tcW w:w="438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MSCI Inc. Executive Committee Stock Ownership Guidelines</w:t>
              </w:r>
            </w:hyperlink>
          </w:p>
        </w:tc>
        <w:tc>
          <w:tcPr>
            <w:tcW w:w="660" w:type="dxa"/>
            <w:vAlign w:val="bottom"/>
            <w:gridSpan w:val="11"/>
          </w:tcPr>
          <w:p>
            <w:pPr>
              <w:spacing w:after="0"/>
              <w:rPr>
                <w:sz w:val="16"/>
                <w:szCs w:val="16"/>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10.8*</w:t>
            </w:r>
          </w:p>
        </w:tc>
        <w:tc>
          <w:tcPr>
            <w:tcW w:w="400" w:type="dxa"/>
            <w:vAlign w:val="bottom"/>
          </w:tcPr>
          <w:p>
            <w:pPr>
              <w:spacing w:after="0"/>
              <w:rPr>
                <w:sz w:val="16"/>
                <w:szCs w:val="16"/>
                <w:color w:val="auto"/>
              </w:rPr>
            </w:pPr>
          </w:p>
        </w:tc>
        <w:tc>
          <w:tcPr>
            <w:tcW w:w="5040" w:type="dxa"/>
            <w:vAlign w:val="bottom"/>
            <w:gridSpan w:val="29"/>
          </w:tcPr>
          <w:p>
            <w:pPr>
              <w:spacing w:after="0" w:line="190" w:lineRule="exact"/>
              <w:rPr>
                <w:rFonts w:ascii="Arial" w:cs="Arial" w:eastAsia="Arial" w:hAnsi="Arial"/>
                <w:sz w:val="18"/>
                <w:szCs w:val="18"/>
                <w:color w:val="0000EE"/>
              </w:rPr>
            </w:pPr>
            <w:hyperlink r:id="rId184">
              <w:r>
                <w:rPr>
                  <w:rFonts w:ascii="Arial" w:cs="Arial" w:eastAsia="Arial" w:hAnsi="Arial"/>
                  <w:sz w:val="18"/>
                  <w:szCs w:val="18"/>
                  <w:color w:val="0000EE"/>
                </w:rPr>
                <w:t>MSCI Inc. Clawback Policy</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5"/>
              </w:rPr>
              <w:t>10.9*</w:t>
            </w:r>
          </w:p>
        </w:tc>
        <w:tc>
          <w:tcPr>
            <w:tcW w:w="400" w:type="dxa"/>
            <w:vAlign w:val="bottom"/>
          </w:tcPr>
          <w:p>
            <w:pPr>
              <w:spacing w:after="0"/>
              <w:rPr>
                <w:sz w:val="16"/>
                <w:szCs w:val="16"/>
                <w:color w:val="auto"/>
              </w:rPr>
            </w:pPr>
          </w:p>
        </w:tc>
        <w:tc>
          <w:tcPr>
            <w:tcW w:w="288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MSCI Inc. 2016 Omnibus Incentive Plan</w:t>
              </w:r>
            </w:hyperlink>
          </w:p>
        </w:tc>
        <w:tc>
          <w:tcPr>
            <w:tcW w:w="2160" w:type="dxa"/>
            <w:vAlign w:val="bottom"/>
            <w:gridSpan w:val="15"/>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10.10*</w:t>
            </w:r>
          </w:p>
        </w:tc>
        <w:tc>
          <w:tcPr>
            <w:tcW w:w="2360" w:type="dxa"/>
            <w:vAlign w:val="bottom"/>
            <w:tcBorders>
              <w:bottom w:val="single" w:sz="8" w:color="0000EE"/>
            </w:tcBorders>
            <w:gridSpan w:val="12"/>
          </w:tcPr>
          <w:p>
            <w:pPr>
              <w:spacing w:after="0" w:line="190"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MSCI Inc. Annual Incentive Plan</w:t>
              </w:r>
            </w:hyperlink>
          </w:p>
        </w:tc>
        <w:tc>
          <w:tcPr>
            <w:tcW w:w="2680" w:type="dxa"/>
            <w:vAlign w:val="bottom"/>
            <w:gridSpan w:val="17"/>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10.11*</w:t>
            </w:r>
          </w:p>
        </w:tc>
        <w:tc>
          <w:tcPr>
            <w:tcW w:w="444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Form of 2019 Award Agreement for Restricted Stock Units for</w:t>
              </w:r>
            </w:hyperlink>
          </w:p>
        </w:tc>
        <w:tc>
          <w:tcPr>
            <w:tcW w:w="600" w:type="dxa"/>
            <w:vAlign w:val="bottom"/>
            <w:gridSpan w:val="9"/>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Borders>
              <w:bottom w:val="single" w:sz="8" w:color="0000EE"/>
            </w:tcBorders>
            <w:gridSpan w:val="21"/>
          </w:tcPr>
          <w:p>
            <w:pPr>
              <w:spacing w:after="0" w:line="190" w:lineRule="exact"/>
              <w:rPr>
                <w:rFonts w:ascii="Arial" w:cs="Arial" w:eastAsia="Arial" w:hAnsi="Arial"/>
                <w:sz w:val="18"/>
                <w:szCs w:val="18"/>
                <w:color w:val="0000EE"/>
                <w:w w:val="89"/>
              </w:rPr>
            </w:pPr>
            <w:hyperlink r:id="rId187">
              <w:r>
                <w:rPr>
                  <w:rFonts w:ascii="Arial" w:cs="Arial" w:eastAsia="Arial" w:hAnsi="Arial"/>
                  <w:sz w:val="18"/>
                  <w:szCs w:val="18"/>
                  <w:color w:val="0000EE"/>
                  <w:w w:val="89"/>
                </w:rPr>
                <w:t>Employees Under the MSCI Inc. 2016 Omnibus Incentive Plan</w:t>
              </w:r>
            </w:hyperlink>
          </w:p>
        </w:tc>
        <w:tc>
          <w:tcPr>
            <w:tcW w:w="580" w:type="dxa"/>
            <w:vAlign w:val="bottom"/>
            <w:gridSpan w:val="8"/>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10.12*</w:t>
            </w:r>
          </w:p>
        </w:tc>
        <w:tc>
          <w:tcPr>
            <w:tcW w:w="5040" w:type="dxa"/>
            <w:vAlign w:val="bottom"/>
            <w:gridSpan w:val="29"/>
          </w:tcPr>
          <w:p>
            <w:pPr>
              <w:spacing w:after="0" w:line="190" w:lineRule="exact"/>
              <w:rPr>
                <w:rFonts w:ascii="Arial" w:cs="Arial" w:eastAsia="Arial" w:hAnsi="Arial"/>
                <w:sz w:val="18"/>
                <w:szCs w:val="18"/>
                <w:color w:val="0000EE"/>
                <w:w w:val="89"/>
              </w:rPr>
            </w:pPr>
            <w:hyperlink r:id="rId188">
              <w:r>
                <w:rPr>
                  <w:rFonts w:ascii="Arial" w:cs="Arial" w:eastAsia="Arial" w:hAnsi="Arial"/>
                  <w:sz w:val="18"/>
                  <w:szCs w:val="18"/>
                  <w:color w:val="0000EE"/>
                  <w:w w:val="89"/>
                </w:rPr>
                <w:t>Form of 2019 Annual Performance Award Agreement for Performance</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40" w:type="dxa"/>
            <w:vAlign w:val="bottom"/>
            <w:tcBorders>
              <w:top w:val="single" w:sz="8" w:color="0000EE"/>
              <w:bottom w:val="single" w:sz="8" w:color="0000EE"/>
            </w:tcBorders>
            <w:gridSpan w:val="25"/>
          </w:tcPr>
          <w:p>
            <w:pPr>
              <w:spacing w:after="0" w:line="190"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Stock Units for Managing Directors Under the MSCI Inc. Omnibus</w:t>
              </w:r>
            </w:hyperlink>
          </w:p>
        </w:tc>
        <w:tc>
          <w:tcPr>
            <w:tcW w:w="240" w:type="dxa"/>
            <w:vAlign w:val="bottom"/>
            <w:tcBorders>
              <w:top w:val="single" w:sz="8" w:color="0000EE"/>
            </w:tcBorders>
            <w:gridSpan w:val="3"/>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r:id="rId188">
              <w:r>
                <w:rPr>
                  <w:rFonts w:ascii="Arial" w:cs="Arial" w:eastAsia="Arial" w:hAnsi="Arial"/>
                  <w:sz w:val="18"/>
                  <w:szCs w:val="18"/>
                  <w:color w:val="0000EE"/>
                  <w:w w:val="88"/>
                </w:rPr>
                <w:t>Incentive Plan</w:t>
              </w:r>
            </w:hyperlink>
          </w:p>
        </w:tc>
        <w:tc>
          <w:tcPr>
            <w:tcW w:w="4020" w:type="dxa"/>
            <w:vAlign w:val="bottom"/>
            <w:gridSpan w:val="27"/>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10.13*</w:t>
            </w:r>
          </w:p>
        </w:tc>
        <w:tc>
          <w:tcPr>
            <w:tcW w:w="5040" w:type="dxa"/>
            <w:vAlign w:val="bottom"/>
            <w:gridSpan w:val="29"/>
          </w:tcPr>
          <w:p>
            <w:pPr>
              <w:spacing w:after="0" w:line="190"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Form of 2019 Annual Performance Award Agreement for Performance</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40" w:type="dxa"/>
            <w:vAlign w:val="bottom"/>
            <w:tcBorders>
              <w:top w:val="single" w:sz="8" w:color="0000EE"/>
              <w:bottom w:val="single" w:sz="8" w:color="0000EE"/>
            </w:tcBorders>
            <w:gridSpan w:val="25"/>
          </w:tcPr>
          <w:p>
            <w:pPr>
              <w:spacing w:after="0" w:line="190"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Stock Units for Managing Directors Under the MSCI Inc. Omnibus</w:t>
              </w:r>
            </w:hyperlink>
          </w:p>
        </w:tc>
        <w:tc>
          <w:tcPr>
            <w:tcW w:w="240" w:type="dxa"/>
            <w:vAlign w:val="bottom"/>
            <w:tcBorders>
              <w:top w:val="single" w:sz="8" w:color="0000EE"/>
            </w:tcBorders>
            <w:gridSpan w:val="3"/>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r:id="rId189">
              <w:r>
                <w:rPr>
                  <w:rFonts w:ascii="Arial" w:cs="Arial" w:eastAsia="Arial" w:hAnsi="Arial"/>
                  <w:sz w:val="18"/>
                  <w:szCs w:val="18"/>
                  <w:color w:val="0000EE"/>
                  <w:w w:val="88"/>
                </w:rPr>
                <w:t>Incentive Plan</w:t>
              </w:r>
            </w:hyperlink>
          </w:p>
        </w:tc>
        <w:tc>
          <w:tcPr>
            <w:tcW w:w="4020" w:type="dxa"/>
            <w:vAlign w:val="bottom"/>
            <w:gridSpan w:val="27"/>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10.14*</w:t>
            </w:r>
          </w:p>
        </w:tc>
        <w:tc>
          <w:tcPr>
            <w:tcW w:w="5040" w:type="dxa"/>
            <w:vAlign w:val="bottom"/>
            <w:gridSpan w:val="29"/>
          </w:tcPr>
          <w:p>
            <w:pPr>
              <w:spacing w:after="0" w:line="190"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Special Restricted Stock Unit Award Agreement Under the MSCI Inc.</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Borders>
              <w:top w:val="single" w:sz="8" w:color="0000EE"/>
              <w:bottom w:val="single" w:sz="8" w:color="0000EE"/>
            </w:tcBorders>
            <w:gridSpan w:val="9"/>
          </w:tcPr>
          <w:p>
            <w:pPr>
              <w:spacing w:after="0" w:line="190"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2016 Omnibus Incentive Plan</w:t>
              </w:r>
            </w:hyperlink>
          </w:p>
        </w:tc>
        <w:tc>
          <w:tcPr>
            <w:tcW w:w="2820" w:type="dxa"/>
            <w:vAlign w:val="bottom"/>
            <w:tcBorders>
              <w:top w:val="single" w:sz="8" w:color="0000EE"/>
            </w:tcBorders>
            <w:gridSpan w:val="18"/>
          </w:tcPr>
          <w:p>
            <w:pPr>
              <w:spacing w:after="0"/>
              <w:rPr>
                <w:sz w:val="16"/>
                <w:szCs w:val="16"/>
                <w:color w:val="auto"/>
              </w:rPr>
            </w:pPr>
          </w:p>
        </w:tc>
        <w:tc>
          <w:tcPr>
            <w:tcW w:w="120" w:type="dxa"/>
            <w:vAlign w:val="bottom"/>
            <w:gridSpan w:val="2"/>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10.15*</w:t>
            </w:r>
          </w:p>
        </w:tc>
        <w:tc>
          <w:tcPr>
            <w:tcW w:w="442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Form of 2019 Award Agreement for Restricted Stock Units for</w:t>
              </w:r>
            </w:hyperlink>
          </w:p>
        </w:tc>
        <w:tc>
          <w:tcPr>
            <w:tcW w:w="620" w:type="dxa"/>
            <w:vAlign w:val="bottom"/>
            <w:gridSpan w:val="10"/>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40" w:type="dxa"/>
            <w:vAlign w:val="bottom"/>
            <w:gridSpan w:val="29"/>
          </w:tcPr>
          <w:p>
            <w:pPr>
              <w:spacing w:after="0" w:line="190" w:lineRule="exact"/>
              <w:rPr>
                <w:rFonts w:ascii="Arial" w:cs="Arial" w:eastAsia="Arial" w:hAnsi="Arial"/>
                <w:sz w:val="18"/>
                <w:szCs w:val="18"/>
                <w:color w:val="0000EE"/>
              </w:rPr>
            </w:pPr>
            <w:hyperlink r:id="rId191">
              <w:r>
                <w:rPr>
                  <w:rFonts w:ascii="Arial" w:cs="Arial" w:eastAsia="Arial" w:hAnsi="Arial"/>
                  <w:sz w:val="18"/>
                  <w:szCs w:val="18"/>
                  <w:color w:val="0000EE"/>
                </w:rPr>
                <w:t>Directors Under the MSCI Inc. 2016 Non-Employee Directors</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86"/>
              </w:rPr>
            </w:pPr>
            <w:hyperlink r:id="rId191">
              <w:r>
                <w:rPr>
                  <w:rFonts w:ascii="Arial" w:cs="Arial" w:eastAsia="Arial" w:hAnsi="Arial"/>
                  <w:sz w:val="18"/>
                  <w:szCs w:val="18"/>
                  <w:color w:val="0000EE"/>
                  <w:w w:val="86"/>
                </w:rPr>
                <w:t>Compensation Plan</w:t>
              </w:r>
            </w:hyperlink>
          </w:p>
        </w:tc>
        <w:tc>
          <w:tcPr>
            <w:tcW w:w="3000" w:type="dxa"/>
            <w:vAlign w:val="bottom"/>
            <w:tcBorders>
              <w:top w:val="single" w:sz="8" w:color="0000EE"/>
            </w:tcBorders>
            <w:gridSpan w:val="15"/>
          </w:tcPr>
          <w:p>
            <w:pPr>
              <w:spacing w:after="0"/>
              <w:rPr>
                <w:sz w:val="16"/>
                <w:szCs w:val="16"/>
                <w:color w:val="auto"/>
              </w:rPr>
            </w:pPr>
          </w:p>
        </w:tc>
        <w:tc>
          <w:tcPr>
            <w:tcW w:w="660" w:type="dxa"/>
            <w:vAlign w:val="bottom"/>
            <w:gridSpan w:val="11"/>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10.16*</w:t>
            </w:r>
          </w:p>
        </w:tc>
        <w:tc>
          <w:tcPr>
            <w:tcW w:w="444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Form of 2020 Award Agreement for Restricted Stock Units for</w:t>
              </w:r>
            </w:hyperlink>
          </w:p>
        </w:tc>
        <w:tc>
          <w:tcPr>
            <w:tcW w:w="600" w:type="dxa"/>
            <w:vAlign w:val="bottom"/>
            <w:gridSpan w:val="9"/>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Borders>
              <w:bottom w:val="single" w:sz="8" w:color="0000EE"/>
            </w:tcBorders>
            <w:gridSpan w:val="21"/>
          </w:tcPr>
          <w:p>
            <w:pPr>
              <w:spacing w:after="0" w:line="190" w:lineRule="exact"/>
              <w:rPr>
                <w:rFonts w:ascii="Arial" w:cs="Arial" w:eastAsia="Arial" w:hAnsi="Arial"/>
                <w:sz w:val="18"/>
                <w:szCs w:val="18"/>
                <w:color w:val="0000EE"/>
                <w:w w:val="89"/>
              </w:rPr>
            </w:pPr>
            <w:hyperlink r:id="rId192">
              <w:r>
                <w:rPr>
                  <w:rFonts w:ascii="Arial" w:cs="Arial" w:eastAsia="Arial" w:hAnsi="Arial"/>
                  <w:sz w:val="18"/>
                  <w:szCs w:val="18"/>
                  <w:color w:val="0000EE"/>
                  <w:w w:val="89"/>
                </w:rPr>
                <w:t>Employees Under the MSCI Inc. 2016 Omnibus Incentive Plan</w:t>
              </w:r>
            </w:hyperlink>
          </w:p>
        </w:tc>
        <w:tc>
          <w:tcPr>
            <w:tcW w:w="580" w:type="dxa"/>
            <w:vAlign w:val="bottom"/>
            <w:gridSpan w:val="8"/>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10.17*</w:t>
            </w:r>
          </w:p>
        </w:tc>
        <w:tc>
          <w:tcPr>
            <w:tcW w:w="5040" w:type="dxa"/>
            <w:vAlign w:val="bottom"/>
            <w:gridSpan w:val="29"/>
          </w:tcPr>
          <w:p>
            <w:pPr>
              <w:spacing w:after="0" w:line="190"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Form of 2020 Annual Performance Award Agreement for Performance</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80" w:type="dxa"/>
            <w:vAlign w:val="bottom"/>
            <w:tcBorders>
              <w:top w:val="single" w:sz="8" w:color="0000EE"/>
              <w:bottom w:val="single" w:sz="8" w:color="0000EE"/>
            </w:tcBorders>
            <w:gridSpan w:val="22"/>
          </w:tcPr>
          <w:p>
            <w:pPr>
              <w:spacing w:after="0" w:line="190"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Stock Units for Managing Directors Under the MSCI Inc. 2016</w:t>
              </w:r>
            </w:hyperlink>
          </w:p>
        </w:tc>
        <w:tc>
          <w:tcPr>
            <w:tcW w:w="500" w:type="dxa"/>
            <w:vAlign w:val="bottom"/>
            <w:tcBorders>
              <w:top w:val="single" w:sz="8" w:color="0000EE"/>
            </w:tcBorders>
            <w:gridSpan w:val="6"/>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Omnibus Incentive Plan</w:t>
              </w:r>
            </w:hyperlink>
          </w:p>
        </w:tc>
        <w:tc>
          <w:tcPr>
            <w:tcW w:w="3320" w:type="dxa"/>
            <w:vAlign w:val="bottom"/>
            <w:gridSpan w:val="23"/>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10.18*</w:t>
            </w:r>
          </w:p>
        </w:tc>
        <w:tc>
          <w:tcPr>
            <w:tcW w:w="5040" w:type="dxa"/>
            <w:vAlign w:val="bottom"/>
            <w:gridSpan w:val="29"/>
          </w:tcPr>
          <w:p>
            <w:pPr>
              <w:spacing w:after="0" w:line="190"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Form of 2020 Annual Performance Award Agreement for Performance</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80" w:type="dxa"/>
            <w:vAlign w:val="bottom"/>
            <w:tcBorders>
              <w:top w:val="single" w:sz="8" w:color="0000EE"/>
              <w:bottom w:val="single" w:sz="8" w:color="0000EE"/>
            </w:tcBorders>
            <w:gridSpan w:val="22"/>
          </w:tcPr>
          <w:p>
            <w:pPr>
              <w:spacing w:after="0" w:line="190"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Stock Units for Managing Directors Under the MSCI Inc. 2016</w:t>
              </w:r>
            </w:hyperlink>
          </w:p>
        </w:tc>
        <w:tc>
          <w:tcPr>
            <w:tcW w:w="500" w:type="dxa"/>
            <w:vAlign w:val="bottom"/>
            <w:tcBorders>
              <w:top w:val="single" w:sz="8" w:color="0000EE"/>
            </w:tcBorders>
            <w:gridSpan w:val="6"/>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Omnibus Incentive Plan</w:t>
              </w:r>
            </w:hyperlink>
          </w:p>
        </w:tc>
        <w:tc>
          <w:tcPr>
            <w:tcW w:w="3320" w:type="dxa"/>
            <w:vAlign w:val="bottom"/>
            <w:gridSpan w:val="23"/>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10.19*</w:t>
            </w:r>
          </w:p>
        </w:tc>
        <w:tc>
          <w:tcPr>
            <w:tcW w:w="442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Form of 2020 Award Agreement for Restricted Stock Units for</w:t>
              </w:r>
            </w:hyperlink>
          </w:p>
        </w:tc>
        <w:tc>
          <w:tcPr>
            <w:tcW w:w="620" w:type="dxa"/>
            <w:vAlign w:val="bottom"/>
            <w:gridSpan w:val="10"/>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40" w:type="dxa"/>
            <w:vAlign w:val="bottom"/>
            <w:gridSpan w:val="29"/>
          </w:tcPr>
          <w:p>
            <w:pPr>
              <w:spacing w:after="0" w:line="190" w:lineRule="exact"/>
              <w:rPr>
                <w:rFonts w:ascii="Arial" w:cs="Arial" w:eastAsia="Arial" w:hAnsi="Arial"/>
                <w:sz w:val="18"/>
                <w:szCs w:val="18"/>
                <w:color w:val="0000EE"/>
              </w:rPr>
            </w:pPr>
            <w:hyperlink r:id="rId195">
              <w:r>
                <w:rPr>
                  <w:rFonts w:ascii="Arial" w:cs="Arial" w:eastAsia="Arial" w:hAnsi="Arial"/>
                  <w:sz w:val="18"/>
                  <w:szCs w:val="18"/>
                  <w:color w:val="0000EE"/>
                </w:rPr>
                <w:t>Directors Under the MSCI Inc. 2016 Non-Employee Directors</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80" w:type="dxa"/>
            <w:vAlign w:val="bottom"/>
            <w:tcBorders>
              <w:top w:val="single" w:sz="8" w:color="0000EE"/>
            </w:tcBorders>
            <w:gridSpan w:val="18"/>
          </w:tcPr>
          <w:p>
            <w:pPr>
              <w:spacing w:after="0" w:line="190" w:lineRule="exact"/>
              <w:rPr>
                <w:rFonts w:ascii="Arial" w:cs="Arial" w:eastAsia="Arial" w:hAnsi="Arial"/>
                <w:sz w:val="18"/>
                <w:szCs w:val="18"/>
                <w:color w:val="0000EE"/>
              </w:rPr>
            </w:pPr>
            <w:hyperlink r:id="rId195">
              <w:r>
                <w:rPr>
                  <w:rFonts w:ascii="Arial" w:cs="Arial" w:eastAsia="Arial" w:hAnsi="Arial"/>
                  <w:sz w:val="18"/>
                  <w:szCs w:val="18"/>
                  <w:color w:val="0000EE"/>
                </w:rPr>
                <w:t>Compensation Program</w:t>
              </w:r>
            </w:hyperlink>
          </w:p>
        </w:tc>
        <w:tc>
          <w:tcPr>
            <w:tcW w:w="660" w:type="dxa"/>
            <w:vAlign w:val="bottom"/>
            <w:gridSpan w:val="11"/>
          </w:tcPr>
          <w:p>
            <w:pPr>
              <w:spacing w:after="0"/>
              <w:rPr>
                <w:sz w:val="16"/>
                <w:szCs w:val="16"/>
                <w:color w:val="auto"/>
              </w:rPr>
            </w:pPr>
          </w:p>
        </w:tc>
      </w:tr>
      <w:tr>
        <w:trPr>
          <w:trHeight w:val="20"/>
        </w:trPr>
        <w:tc>
          <w:tcPr>
            <w:tcW w:w="860" w:type="dxa"/>
            <w:vAlign w:val="bottom"/>
            <w:gridSpan w:val="2"/>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24"/>
          </w:tcPr>
          <w:p>
            <w:pPr>
              <w:spacing w:after="0" w:line="20" w:lineRule="exact"/>
              <w:rPr>
                <w:sz w:val="1"/>
                <w:szCs w:val="1"/>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10.20*</w:t>
            </w:r>
          </w:p>
        </w:tc>
        <w:tc>
          <w:tcPr>
            <w:tcW w:w="444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Form of 2021 Award Agreement for Restricted Stock Units for</w:t>
              </w:r>
            </w:hyperlink>
          </w:p>
        </w:tc>
        <w:tc>
          <w:tcPr>
            <w:tcW w:w="600" w:type="dxa"/>
            <w:vAlign w:val="bottom"/>
            <w:gridSpan w:val="9"/>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Borders>
              <w:bottom w:val="single" w:sz="8" w:color="0000EE"/>
            </w:tcBorders>
            <w:gridSpan w:val="21"/>
          </w:tcPr>
          <w:p>
            <w:pPr>
              <w:spacing w:after="0" w:line="190"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Employees Under the MSCI Inc. 2016 Omnibus Incentive Plan</w:t>
              </w:r>
            </w:hyperlink>
          </w:p>
        </w:tc>
        <w:tc>
          <w:tcPr>
            <w:tcW w:w="580" w:type="dxa"/>
            <w:vAlign w:val="bottom"/>
            <w:gridSpan w:val="8"/>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10.21*</w:t>
            </w:r>
          </w:p>
        </w:tc>
        <w:tc>
          <w:tcPr>
            <w:tcW w:w="5040" w:type="dxa"/>
            <w:vAlign w:val="bottom"/>
            <w:gridSpan w:val="29"/>
          </w:tcPr>
          <w:p>
            <w:pPr>
              <w:spacing w:after="0" w:line="190"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Form of 2021 Annual Performance Award Agreement for Performance</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80" w:type="dxa"/>
            <w:vAlign w:val="bottom"/>
            <w:tcBorders>
              <w:top w:val="single" w:sz="8" w:color="0000EE"/>
              <w:bottom w:val="single" w:sz="8" w:color="0000EE"/>
            </w:tcBorders>
            <w:gridSpan w:val="22"/>
          </w:tcPr>
          <w:p>
            <w:pPr>
              <w:spacing w:after="0" w:line="190"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Stock Units for Managing Directors Under the MSCI Inc. 2016</w:t>
              </w:r>
            </w:hyperlink>
          </w:p>
        </w:tc>
        <w:tc>
          <w:tcPr>
            <w:tcW w:w="500" w:type="dxa"/>
            <w:vAlign w:val="bottom"/>
            <w:tcBorders>
              <w:top w:val="single" w:sz="8" w:color="0000EE"/>
            </w:tcBorders>
            <w:gridSpan w:val="6"/>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Borders>
              <w:bottom w:val="single" w:sz="8" w:color="0000EE"/>
            </w:tcBorders>
            <w:gridSpan w:val="5"/>
          </w:tcPr>
          <w:p>
            <w:pPr>
              <w:spacing w:after="0" w:line="190" w:lineRule="exact"/>
              <w:rPr>
                <w:rFonts w:ascii="Arial" w:cs="Arial" w:eastAsia="Arial" w:hAnsi="Arial"/>
                <w:sz w:val="18"/>
                <w:szCs w:val="18"/>
                <w:color w:val="0000EE"/>
                <w:w w:val="88"/>
              </w:rPr>
            </w:pPr>
            <w:hyperlink r:id="rId197">
              <w:r>
                <w:rPr>
                  <w:rFonts w:ascii="Arial" w:cs="Arial" w:eastAsia="Arial" w:hAnsi="Arial"/>
                  <w:sz w:val="18"/>
                  <w:szCs w:val="18"/>
                  <w:color w:val="0000EE"/>
                  <w:w w:val="88"/>
                </w:rPr>
                <w:t>Omnibus Incentive Plan</w:t>
              </w:r>
            </w:hyperlink>
          </w:p>
        </w:tc>
        <w:tc>
          <w:tcPr>
            <w:tcW w:w="3340" w:type="dxa"/>
            <w:vAlign w:val="bottom"/>
            <w:gridSpan w:val="24"/>
          </w:tcPr>
          <w:p>
            <w:pPr>
              <w:spacing w:after="0"/>
              <w:rPr>
                <w:sz w:val="16"/>
                <w:szCs w:val="16"/>
                <w:color w:val="auto"/>
              </w:rPr>
            </w:pPr>
          </w:p>
        </w:tc>
      </w:tr>
      <w:tr>
        <w:trPr>
          <w:trHeight w:val="439"/>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gridSpan w:val="23"/>
          </w:tcPr>
          <w:p>
            <w:pPr>
              <w:ind w:left="42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54610</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2"/>
              </w:rPr>
              <w:t>Form</w:t>
            </w:r>
          </w:p>
        </w:tc>
        <w:tc>
          <w:tcPr>
            <w:tcW w:w="1540" w:type="dxa"/>
            <w:vAlign w:val="bottom"/>
            <w:gridSpan w:val="3"/>
          </w:tcPr>
          <w:p>
            <w:pPr>
              <w:ind w:left="660"/>
              <w:spacing w:after="0"/>
              <w:rPr>
                <w:sz w:val="20"/>
                <w:szCs w:val="20"/>
                <w:color w:val="auto"/>
              </w:rPr>
            </w:pPr>
            <w:r>
              <w:rPr>
                <w:rFonts w:ascii="Arial" w:cs="Arial" w:eastAsia="Arial" w:hAnsi="Arial"/>
                <w:sz w:val="13"/>
                <w:szCs w:val="13"/>
                <w:b w:val="1"/>
                <w:bCs w:val="1"/>
                <w:color w:val="auto"/>
              </w:rPr>
              <w:t>File No.</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920" w:type="dxa"/>
            <w:vAlign w:val="bottom"/>
            <w:gridSpan w:val="3"/>
          </w:tcPr>
          <w:p>
            <w:pPr>
              <w:ind w:left="220"/>
              <w:spacing w:after="0"/>
              <w:rPr>
                <w:sz w:val="20"/>
                <w:szCs w:val="20"/>
                <w:color w:val="auto"/>
              </w:rPr>
            </w:pPr>
            <w:r>
              <w:rPr>
                <w:rFonts w:ascii="Arial" w:cs="Arial" w:eastAsia="Arial" w:hAnsi="Arial"/>
                <w:sz w:val="13"/>
                <w:szCs w:val="13"/>
                <w:b w:val="1"/>
                <w:bCs w:val="1"/>
                <w:color w:val="auto"/>
              </w:rPr>
              <w:t>Filing Date</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5"/>
        </w:trPr>
        <w:tc>
          <w:tcPr>
            <w:tcW w:w="60" w:type="dxa"/>
            <w:vAlign w:val="bottom"/>
          </w:tcPr>
          <w:p>
            <w:pPr>
              <w:spacing w:after="0"/>
              <w:rPr>
                <w:sz w:val="22"/>
                <w:szCs w:val="22"/>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460" w:type="dxa"/>
            <w:vAlign w:val="bottom"/>
          </w:tcPr>
          <w:p>
            <w:pPr>
              <w:spacing w:after="0"/>
              <w:rPr>
                <w:sz w:val="22"/>
                <w:szCs w:val="22"/>
                <w:color w:val="auto"/>
              </w:rPr>
            </w:pP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8/17/2021</w:t>
            </w:r>
          </w:p>
        </w:tc>
      </w:tr>
      <w:tr>
        <w:trPr>
          <w:trHeight w:val="421"/>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w w:val="99"/>
              </w:rPr>
              <w:t>Filed Herewith</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w w:val="99"/>
              </w:rPr>
              <w:t>Filed Herewith</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18"/>
                <w:szCs w:val="18"/>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4/29/2016</w:t>
            </w:r>
          </w:p>
        </w:tc>
      </w:tr>
      <w:tr>
        <w:trPr>
          <w:trHeight w:val="222"/>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9"/>
                <w:szCs w:val="19"/>
                <w:color w:val="auto"/>
              </w:rPr>
            </w:pPr>
          </w:p>
        </w:tc>
        <w:tc>
          <w:tcPr>
            <w:tcW w:w="84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5/5/2017</w:t>
            </w:r>
          </w:p>
        </w:tc>
        <w:tc>
          <w:tcPr>
            <w:tcW w:w="80" w:type="dxa"/>
            <w:vAlign w:val="bottom"/>
          </w:tcPr>
          <w:p>
            <w:pPr>
              <w:spacing w:after="0"/>
              <w:rPr>
                <w:sz w:val="19"/>
                <w:szCs w:val="19"/>
                <w:color w:val="auto"/>
              </w:rPr>
            </w:pPr>
          </w:p>
        </w:tc>
      </w:tr>
      <w:tr>
        <w:trPr>
          <w:trHeight w:val="409"/>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4/29/2016</w:t>
            </w:r>
          </w:p>
        </w:tc>
      </w:tr>
      <w:tr>
        <w:trPr>
          <w:trHeight w:val="210"/>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10.109</w:t>
            </w:r>
          </w:p>
        </w:tc>
        <w:tc>
          <w:tcPr>
            <w:tcW w:w="120" w:type="dxa"/>
            <w:vAlign w:val="bottom"/>
          </w:tcPr>
          <w:p>
            <w:pPr>
              <w:spacing w:after="0"/>
              <w:rPr>
                <w:sz w:val="18"/>
                <w:szCs w:val="18"/>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2/24/2017</w:t>
            </w:r>
          </w:p>
        </w:tc>
      </w:tr>
      <w:tr>
        <w:trPr>
          <w:trHeight w:val="210"/>
        </w:trPr>
        <w:tc>
          <w:tcPr>
            <w:tcW w:w="82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Proxy</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760" w:type="dxa"/>
            <w:vAlign w:val="bottom"/>
            <w:gridSpan w:val="2"/>
          </w:tcPr>
          <w:p>
            <w:pPr>
              <w:spacing w:after="0"/>
              <w:rPr>
                <w:sz w:val="20"/>
                <w:szCs w:val="20"/>
                <w:color w:val="auto"/>
              </w:rPr>
            </w:pPr>
            <w:r>
              <w:rPr>
                <w:rFonts w:ascii="Arial" w:cs="Arial" w:eastAsia="Arial" w:hAnsi="Arial"/>
                <w:sz w:val="18"/>
                <w:szCs w:val="18"/>
                <w:color w:val="auto"/>
              </w:rPr>
              <w:t>Annex C</w:t>
            </w: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2/28/2008</w:t>
            </w:r>
          </w:p>
        </w:tc>
      </w:tr>
      <w:tr>
        <w:trPr>
          <w:trHeight w:val="210"/>
        </w:trPr>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w w:val="99"/>
              </w:rPr>
              <w:t>Filed Herewith</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10.189</w:t>
            </w:r>
          </w:p>
        </w:tc>
        <w:tc>
          <w:tcPr>
            <w:tcW w:w="120" w:type="dxa"/>
            <w:vAlign w:val="bottom"/>
          </w:tcPr>
          <w:p>
            <w:pPr>
              <w:spacing w:after="0"/>
              <w:rPr>
                <w:sz w:val="18"/>
                <w:szCs w:val="18"/>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2/22/2019</w:t>
            </w:r>
          </w:p>
        </w:tc>
      </w:tr>
      <w:tr>
        <w:trPr>
          <w:trHeight w:val="210"/>
        </w:trPr>
        <w:tc>
          <w:tcPr>
            <w:tcW w:w="60" w:type="dxa"/>
            <w:vAlign w:val="bottom"/>
          </w:tcPr>
          <w:p>
            <w:pPr>
              <w:spacing w:after="0"/>
              <w:rPr>
                <w:sz w:val="18"/>
                <w:szCs w:val="18"/>
                <w:color w:val="auto"/>
              </w:rPr>
            </w:pPr>
          </w:p>
        </w:tc>
        <w:tc>
          <w:tcPr>
            <w:tcW w:w="76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S-8</w:t>
            </w:r>
          </w:p>
        </w:tc>
        <w:tc>
          <w:tcPr>
            <w:tcW w:w="1540" w:type="dxa"/>
            <w:vAlign w:val="bottom"/>
            <w:gridSpan w:val="3"/>
          </w:tcPr>
          <w:p>
            <w:pPr>
              <w:jc w:val="center"/>
              <w:ind w:left="113"/>
              <w:spacing w:after="0"/>
              <w:rPr>
                <w:sz w:val="20"/>
                <w:szCs w:val="20"/>
                <w:color w:val="auto"/>
              </w:rPr>
            </w:pPr>
            <w:r>
              <w:rPr>
                <w:rFonts w:ascii="Arial" w:cs="Arial" w:eastAsia="Arial" w:hAnsi="Arial"/>
                <w:sz w:val="18"/>
                <w:szCs w:val="18"/>
                <w:color w:val="auto"/>
                <w:w w:val="89"/>
              </w:rPr>
              <w:t>333-210987</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18"/>
                <w:szCs w:val="18"/>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8"/>
              </w:rPr>
              <w:t>04/28/2016</w:t>
            </w:r>
          </w:p>
        </w:tc>
      </w:tr>
      <w:tr>
        <w:trPr>
          <w:trHeight w:val="210"/>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10.166</w:t>
            </w:r>
          </w:p>
        </w:tc>
        <w:tc>
          <w:tcPr>
            <w:tcW w:w="120" w:type="dxa"/>
            <w:vAlign w:val="bottom"/>
          </w:tcPr>
          <w:p>
            <w:pPr>
              <w:spacing w:after="0"/>
              <w:rPr>
                <w:sz w:val="18"/>
                <w:szCs w:val="18"/>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2/26/2018</w:t>
            </w:r>
          </w:p>
        </w:tc>
      </w:tr>
      <w:tr>
        <w:trPr>
          <w:trHeight w:val="222"/>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10.185</w:t>
            </w:r>
          </w:p>
        </w:tc>
        <w:tc>
          <w:tcPr>
            <w:tcW w:w="120" w:type="dxa"/>
            <w:vAlign w:val="bottom"/>
          </w:tcPr>
          <w:p>
            <w:pPr>
              <w:spacing w:after="0"/>
              <w:rPr>
                <w:sz w:val="19"/>
                <w:szCs w:val="19"/>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2/22/2019</w:t>
            </w:r>
          </w:p>
        </w:tc>
      </w:tr>
      <w:tr>
        <w:trPr>
          <w:trHeight w:val="42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10.186</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2/22/2019</w:t>
            </w:r>
          </w:p>
        </w:tc>
      </w:tr>
      <w:tr>
        <w:trPr>
          <w:trHeight w:val="63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10.187</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2/22/2019</w:t>
            </w:r>
          </w:p>
        </w:tc>
      </w:tr>
      <w:tr>
        <w:trPr>
          <w:trHeight w:val="63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84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5/3/2019</w:t>
            </w:r>
          </w:p>
        </w:tc>
        <w:tc>
          <w:tcPr>
            <w:tcW w:w="80" w:type="dxa"/>
            <w:vAlign w:val="bottom"/>
          </w:tcPr>
          <w:p>
            <w:pPr>
              <w:spacing w:after="0"/>
              <w:rPr>
                <w:sz w:val="24"/>
                <w:szCs w:val="24"/>
                <w:color w:val="auto"/>
              </w:rPr>
            </w:pPr>
          </w:p>
        </w:tc>
      </w:tr>
      <w:tr>
        <w:trPr>
          <w:trHeight w:val="42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84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5/3/2019</w:t>
            </w:r>
          </w:p>
        </w:tc>
        <w:tc>
          <w:tcPr>
            <w:tcW w:w="80" w:type="dxa"/>
            <w:vAlign w:val="bottom"/>
          </w:tcPr>
          <w:p>
            <w:pPr>
              <w:spacing w:after="0"/>
              <w:rPr>
                <w:sz w:val="24"/>
                <w:szCs w:val="24"/>
                <w:color w:val="auto"/>
              </w:rPr>
            </w:pPr>
          </w:p>
        </w:tc>
      </w:tr>
      <w:tr>
        <w:trPr>
          <w:trHeight w:val="63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10.216</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2/18/2020</w:t>
            </w:r>
          </w:p>
        </w:tc>
      </w:tr>
      <w:tr>
        <w:trPr>
          <w:trHeight w:val="42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10.217</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2/18/2020</w:t>
            </w:r>
          </w:p>
        </w:tc>
      </w:tr>
      <w:tr>
        <w:trPr>
          <w:trHeight w:val="63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10.218</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2/18/2020</w:t>
            </w:r>
          </w:p>
        </w:tc>
      </w:tr>
      <w:tr>
        <w:trPr>
          <w:trHeight w:val="63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4/29/2020</w:t>
            </w:r>
          </w:p>
        </w:tc>
      </w:tr>
      <w:tr>
        <w:trPr>
          <w:trHeight w:val="63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10.232</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2/12/2021</w:t>
            </w:r>
          </w:p>
        </w:tc>
      </w:tr>
      <w:tr>
        <w:trPr>
          <w:trHeight w:val="421"/>
        </w:trPr>
        <w:tc>
          <w:tcPr>
            <w:tcW w:w="8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4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10.233</w:t>
            </w:r>
          </w:p>
        </w:tc>
        <w:tc>
          <w:tcPr>
            <w:tcW w:w="120" w:type="dxa"/>
            <w:vAlign w:val="bottom"/>
          </w:tcPr>
          <w:p>
            <w:pPr>
              <w:spacing w:after="0"/>
              <w:rPr>
                <w:sz w:val="24"/>
                <w:szCs w:val="24"/>
                <w:color w:val="auto"/>
              </w:rPr>
            </w:pPr>
          </w:p>
        </w:tc>
        <w:tc>
          <w:tcPr>
            <w:tcW w:w="920" w:type="dxa"/>
            <w:vAlign w:val="bottom"/>
            <w:gridSpan w:val="3"/>
          </w:tcPr>
          <w:p>
            <w:pPr>
              <w:jc w:val="center"/>
              <w:ind w:left="33"/>
              <w:spacing w:after="0"/>
              <w:rPr>
                <w:sz w:val="20"/>
                <w:szCs w:val="20"/>
                <w:color w:val="auto"/>
              </w:rPr>
            </w:pPr>
            <w:r>
              <w:rPr>
                <w:rFonts w:ascii="Arial" w:cs="Arial" w:eastAsia="Arial" w:hAnsi="Arial"/>
                <w:sz w:val="18"/>
                <w:szCs w:val="18"/>
                <w:color w:val="auto"/>
                <w:w w:val="89"/>
              </w:rPr>
              <w:t>2/12/2021</w:t>
            </w:r>
          </w:p>
        </w:tc>
      </w:tr>
    </w:tbl>
    <w:p>
      <w:pPr>
        <w:sectPr>
          <w:pgSz w:w="11900" w:h="16838" w:orient="portrait"/>
          <w:cols w:equalWidth="0" w:num="2">
            <w:col w:w="5940" w:space="720"/>
            <w:col w:w="4040"/>
          </w:cols>
          <w:pgMar w:left="720" w:top="332" w:right="47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18"/>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5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10.22*</w:t>
            </w:r>
          </w:p>
        </w:tc>
        <w:tc>
          <w:tcPr>
            <w:tcW w:w="5000" w:type="dxa"/>
            <w:vAlign w:val="bottom"/>
            <w:tcBorders>
              <w:bottom w:val="single" w:sz="8" w:color="0000EE"/>
            </w:tcBorders>
            <w:gridSpan w:val="21"/>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Form of 2021 Annual Performance Award Agreement for Performance</w:t>
              </w:r>
            </w:hyperlink>
          </w:p>
        </w:tc>
        <w:tc>
          <w:tcPr>
            <w:tcW w:w="80" w:type="dxa"/>
            <w:vAlign w:val="bottom"/>
            <w:gridSpan w:val="4"/>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Stock Units for Managing Directors Under the MSCI Inc. 2016</w:t>
              </w:r>
            </w:hyperlink>
          </w:p>
        </w:tc>
        <w:tc>
          <w:tcPr>
            <w:tcW w:w="620" w:type="dxa"/>
            <w:vAlign w:val="bottom"/>
            <w:gridSpan w:val="12"/>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Borders>
              <w:bottom w:val="single" w:sz="8" w:color="0000EE"/>
            </w:tcBorders>
            <w:gridSpan w:val="5"/>
          </w:tcPr>
          <w:p>
            <w:pPr>
              <w:spacing w:after="0" w:line="190"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Omnibus Incentive Plan</w:t>
              </w:r>
            </w:hyperlink>
          </w:p>
        </w:tc>
        <w:tc>
          <w:tcPr>
            <w:tcW w:w="3380" w:type="dxa"/>
            <w:vAlign w:val="bottom"/>
            <w:gridSpan w:val="20"/>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10.23*</w:t>
            </w:r>
          </w:p>
        </w:tc>
        <w:tc>
          <w:tcPr>
            <w:tcW w:w="442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r:id="rId200">
              <w:r>
                <w:rPr>
                  <w:rFonts w:ascii="Arial" w:cs="Arial" w:eastAsia="Arial" w:hAnsi="Arial"/>
                  <w:sz w:val="18"/>
                  <w:szCs w:val="18"/>
                  <w:color w:val="0000EE"/>
                  <w:w w:val="89"/>
                </w:rPr>
                <w:t>Form of 2021 Award Agreement for Restricted Stock Units for</w:t>
              </w:r>
            </w:hyperlink>
          </w:p>
        </w:tc>
        <w:tc>
          <w:tcPr>
            <w:tcW w:w="660" w:type="dxa"/>
            <w:vAlign w:val="bottom"/>
            <w:gridSpan w:val="14"/>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rPr>
            </w:pPr>
            <w:hyperlink r:id="rId200">
              <w:r>
                <w:rPr>
                  <w:rFonts w:ascii="Arial" w:cs="Arial" w:eastAsia="Arial" w:hAnsi="Arial"/>
                  <w:sz w:val="18"/>
                  <w:szCs w:val="18"/>
                  <w:color w:val="0000EE"/>
                </w:rPr>
                <w:t>Directors Under the MSCI Inc. 2016 Non-Employee Directors</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2"/>
          </w:tcPr>
          <w:p>
            <w:pPr>
              <w:spacing w:after="0" w:line="190" w:lineRule="exact"/>
              <w:rPr>
                <w:rFonts w:ascii="Arial" w:cs="Arial" w:eastAsia="Arial" w:hAnsi="Arial"/>
                <w:sz w:val="18"/>
                <w:szCs w:val="18"/>
                <w:color w:val="0000EE"/>
                <w:w w:val="86"/>
              </w:rPr>
            </w:pPr>
            <w:hyperlink r:id="rId200">
              <w:r>
                <w:rPr>
                  <w:rFonts w:ascii="Arial" w:cs="Arial" w:eastAsia="Arial" w:hAnsi="Arial"/>
                  <w:sz w:val="18"/>
                  <w:szCs w:val="18"/>
                  <w:color w:val="0000EE"/>
                  <w:w w:val="86"/>
                </w:rPr>
                <w:t>Compensation Plan.</w:t>
              </w:r>
            </w:hyperlink>
          </w:p>
        </w:tc>
        <w:tc>
          <w:tcPr>
            <w:tcW w:w="2960" w:type="dxa"/>
            <w:vAlign w:val="bottom"/>
            <w:tcBorders>
              <w:top w:val="single" w:sz="8" w:color="0000EE"/>
            </w:tcBorders>
            <w:gridSpan w:val="8"/>
          </w:tcPr>
          <w:p>
            <w:pPr>
              <w:spacing w:after="0"/>
              <w:rPr>
                <w:sz w:val="16"/>
                <w:szCs w:val="16"/>
                <w:color w:val="auto"/>
              </w:rPr>
            </w:pPr>
          </w:p>
        </w:tc>
        <w:tc>
          <w:tcPr>
            <w:tcW w:w="700" w:type="dxa"/>
            <w:vAlign w:val="bottom"/>
            <w:gridSpan w:val="15"/>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10.24*</w:t>
            </w:r>
          </w:p>
        </w:tc>
        <w:tc>
          <w:tcPr>
            <w:tcW w:w="442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Form of 2022 Award Agreement for Restricted Stock Units for</w:t>
              </w:r>
            </w:hyperlink>
          </w:p>
        </w:tc>
        <w:tc>
          <w:tcPr>
            <w:tcW w:w="660" w:type="dxa"/>
            <w:vAlign w:val="bottom"/>
            <w:gridSpan w:val="14"/>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4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Employees Under the MSCI Inc. 2016 Omnibus Incentive Plan</w:t>
              </w:r>
            </w:hyperlink>
          </w:p>
        </w:tc>
        <w:tc>
          <w:tcPr>
            <w:tcW w:w="640" w:type="dxa"/>
            <w:vAlign w:val="bottom"/>
            <w:gridSpan w:val="13"/>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10.25*</w:t>
            </w:r>
          </w:p>
        </w:tc>
        <w:tc>
          <w:tcPr>
            <w:tcW w:w="5000" w:type="dxa"/>
            <w:vAlign w:val="bottom"/>
            <w:tcBorders>
              <w:bottom w:val="single" w:sz="8" w:color="0000EE"/>
            </w:tcBorders>
            <w:gridSpan w:val="21"/>
          </w:tcPr>
          <w:p>
            <w:pPr>
              <w:spacing w:after="0" w:line="190"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Form of 2022 Annual Performance Award Agreement for Performance</w:t>
              </w:r>
            </w:hyperlink>
          </w:p>
        </w:tc>
        <w:tc>
          <w:tcPr>
            <w:tcW w:w="80" w:type="dxa"/>
            <w:vAlign w:val="bottom"/>
            <w:gridSpan w:val="4"/>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Stock Units for Managing Directors Under the MSCI Inc. 2016</w:t>
              </w:r>
            </w:hyperlink>
          </w:p>
        </w:tc>
        <w:tc>
          <w:tcPr>
            <w:tcW w:w="620" w:type="dxa"/>
            <w:vAlign w:val="bottom"/>
            <w:gridSpan w:val="12"/>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Borders>
              <w:bottom w:val="single" w:sz="8" w:color="0000EE"/>
            </w:tcBorders>
            <w:gridSpan w:val="5"/>
          </w:tcPr>
          <w:p>
            <w:pPr>
              <w:spacing w:after="0" w:line="190"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Omnibus Incentive Plan</w:t>
              </w:r>
            </w:hyperlink>
          </w:p>
        </w:tc>
        <w:tc>
          <w:tcPr>
            <w:tcW w:w="3380" w:type="dxa"/>
            <w:vAlign w:val="bottom"/>
            <w:gridSpan w:val="20"/>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10.26*</w:t>
            </w:r>
          </w:p>
        </w:tc>
        <w:tc>
          <w:tcPr>
            <w:tcW w:w="452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Form of 2022 Annual Performance Stock Option Agreement for</w:t>
              </w:r>
            </w:hyperlink>
          </w:p>
        </w:tc>
        <w:tc>
          <w:tcPr>
            <w:tcW w:w="560" w:type="dxa"/>
            <w:vAlign w:val="bottom"/>
            <w:gridSpan w:val="11"/>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21"/>
          </w:tcPr>
          <w:p>
            <w:pPr>
              <w:spacing w:after="0" w:line="190"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Performance Stock Units for Managing Directors Under the MSCI Inc.</w:t>
              </w:r>
            </w:hyperlink>
          </w:p>
        </w:tc>
        <w:tc>
          <w:tcPr>
            <w:tcW w:w="80" w:type="dxa"/>
            <w:vAlign w:val="bottom"/>
            <w:gridSpan w:val="4"/>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Borders>
              <w:bottom w:val="single" w:sz="8" w:color="0000EE"/>
            </w:tcBorders>
            <w:gridSpan w:val="6"/>
          </w:tcPr>
          <w:p>
            <w:pPr>
              <w:spacing w:after="0" w:line="190"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2016 Omnibus Incentive Plan</w:t>
              </w:r>
            </w:hyperlink>
          </w:p>
        </w:tc>
        <w:tc>
          <w:tcPr>
            <w:tcW w:w="2980" w:type="dxa"/>
            <w:vAlign w:val="bottom"/>
            <w:gridSpan w:val="19"/>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10.27*</w:t>
            </w:r>
          </w:p>
        </w:tc>
        <w:tc>
          <w:tcPr>
            <w:tcW w:w="4980" w:type="dxa"/>
            <w:vAlign w:val="bottom"/>
            <w:tcBorders>
              <w:bottom w:val="single" w:sz="8" w:color="0000EE"/>
            </w:tcBorders>
            <w:gridSpan w:val="20"/>
          </w:tcPr>
          <w:p>
            <w:pPr>
              <w:spacing w:after="0" w:line="190" w:lineRule="exact"/>
              <w:rPr>
                <w:rFonts w:ascii="Arial" w:cs="Arial" w:eastAsia="Arial" w:hAnsi="Arial"/>
                <w:sz w:val="18"/>
                <w:szCs w:val="18"/>
                <w:color w:val="0000EE"/>
                <w:w w:val="88"/>
              </w:rPr>
            </w:pPr>
            <w:hyperlink r:id="rId201">
              <w:r>
                <w:rPr>
                  <w:rFonts w:ascii="Arial" w:cs="Arial" w:eastAsia="Arial" w:hAnsi="Arial"/>
                  <w:sz w:val="18"/>
                  <w:szCs w:val="18"/>
                  <w:color w:val="0000EE"/>
                  <w:w w:val="88"/>
                </w:rPr>
                <w:t>Offer Letter, executed March 11, 2014, by and between MSCI Inc. and</w:t>
              </w:r>
            </w:hyperlink>
          </w:p>
        </w:tc>
        <w:tc>
          <w:tcPr>
            <w:tcW w:w="100" w:type="dxa"/>
            <w:vAlign w:val="bottom"/>
            <w:gridSpan w:val="5"/>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Borders>
              <w:bottom w:val="single" w:sz="8" w:color="0000EE"/>
            </w:tcBorders>
          </w:tcPr>
          <w:p>
            <w:pPr>
              <w:spacing w:after="0" w:line="190" w:lineRule="exact"/>
              <w:rPr>
                <w:rFonts w:ascii="Arial" w:cs="Arial" w:eastAsia="Arial" w:hAnsi="Arial"/>
                <w:sz w:val="18"/>
                <w:szCs w:val="18"/>
                <w:color w:val="0000EE"/>
                <w:w w:val="88"/>
              </w:rPr>
            </w:pPr>
            <w:hyperlink r:id="rId201">
              <w:r>
                <w:rPr>
                  <w:rFonts w:ascii="Arial" w:cs="Arial" w:eastAsia="Arial" w:hAnsi="Arial"/>
                  <w:sz w:val="18"/>
                  <w:szCs w:val="18"/>
                  <w:color w:val="0000EE"/>
                  <w:w w:val="88"/>
                </w:rPr>
                <w:t>Scott Crum</w:t>
              </w:r>
            </w:hyperlink>
          </w:p>
        </w:tc>
        <w:tc>
          <w:tcPr>
            <w:tcW w:w="4260" w:type="dxa"/>
            <w:vAlign w:val="bottom"/>
            <w:gridSpan w:val="24"/>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10.28*</w:t>
            </w:r>
          </w:p>
        </w:tc>
        <w:tc>
          <w:tcPr>
            <w:tcW w:w="5080" w:type="dxa"/>
            <w:vAlign w:val="bottom"/>
            <w:gridSpan w:val="25"/>
          </w:tcPr>
          <w:p>
            <w:pPr>
              <w:spacing w:after="0" w:line="190" w:lineRule="exact"/>
              <w:rPr>
                <w:rFonts w:ascii="Arial" w:cs="Arial" w:eastAsia="Arial" w:hAnsi="Arial"/>
                <w:sz w:val="18"/>
                <w:szCs w:val="18"/>
                <w:color w:val="0000EE"/>
                <w:w w:val="93"/>
              </w:rPr>
            </w:pPr>
            <w:hyperlink r:id="rId202">
              <w:r>
                <w:rPr>
                  <w:rFonts w:ascii="Arial" w:cs="Arial" w:eastAsia="Arial" w:hAnsi="Arial"/>
                  <w:sz w:val="18"/>
                  <w:szCs w:val="18"/>
                  <w:color w:val="0000EE"/>
                  <w:w w:val="93"/>
                </w:rPr>
                <w:t>Offer Letter, executed September 24, 2020, between MSCI Inc. and</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Andrew C. Wiechmann</w:t>
              </w:r>
            </w:hyperlink>
          </w:p>
        </w:tc>
        <w:tc>
          <w:tcPr>
            <w:tcW w:w="3080" w:type="dxa"/>
            <w:vAlign w:val="bottom"/>
            <w:tcBorders>
              <w:top w:val="single" w:sz="8" w:color="0000EE"/>
            </w:tcBorders>
            <w:gridSpan w:val="12"/>
          </w:tcPr>
          <w:p>
            <w:pPr>
              <w:spacing w:after="0"/>
              <w:rPr>
                <w:sz w:val="16"/>
                <w:szCs w:val="16"/>
                <w:color w:val="auto"/>
              </w:rPr>
            </w:pPr>
          </w:p>
        </w:tc>
        <w:tc>
          <w:tcPr>
            <w:tcW w:w="340" w:type="dxa"/>
            <w:vAlign w:val="bottom"/>
            <w:gridSpan w:val="9"/>
          </w:tcPr>
          <w:p>
            <w:pPr>
              <w:spacing w:after="0"/>
              <w:rPr>
                <w:sz w:val="16"/>
                <w:szCs w:val="16"/>
                <w:color w:val="auto"/>
              </w:rPr>
            </w:pPr>
          </w:p>
        </w:tc>
      </w:tr>
      <w:tr>
        <w:trPr>
          <w:trHeight w:val="190"/>
        </w:trPr>
        <w:tc>
          <w:tcPr>
            <w:tcW w:w="86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92"/>
              </w:rPr>
              <w:t>10.29*</w:t>
            </w:r>
          </w:p>
        </w:tc>
        <w:tc>
          <w:tcPr>
            <w:tcW w:w="5040" w:type="dxa"/>
            <w:vAlign w:val="bottom"/>
            <w:tcBorders>
              <w:bottom w:val="single" w:sz="8" w:color="0000EE"/>
            </w:tcBorders>
            <w:gridSpan w:val="23"/>
          </w:tcPr>
          <w:p>
            <w:pPr>
              <w:spacing w:after="0" w:line="190"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Employment Letter, entered into on April 27, 2021, between MSCI Inc.</w:t>
              </w:r>
            </w:hyperlink>
          </w:p>
        </w:tc>
        <w:tc>
          <w:tcPr>
            <w:tcW w:w="40" w:type="dxa"/>
            <w:vAlign w:val="bottom"/>
            <w:gridSpan w:val="2"/>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rPr>
            </w:pPr>
            <w:hyperlink r:id="rId203">
              <w:r>
                <w:rPr>
                  <w:rFonts w:ascii="Arial" w:cs="Arial" w:eastAsia="Arial" w:hAnsi="Arial"/>
                  <w:sz w:val="18"/>
                  <w:szCs w:val="18"/>
                  <w:color w:val="0000EE"/>
                </w:rPr>
                <w:t>and C.D. Baer Pettit.</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88"/>
              </w:rPr>
              <w:t>10.30</w:t>
            </w:r>
          </w:p>
        </w:tc>
        <w:tc>
          <w:tcPr>
            <w:tcW w:w="400" w:type="dxa"/>
            <w:vAlign w:val="bottom"/>
          </w:tcPr>
          <w:p>
            <w:pPr>
              <w:spacing w:after="0"/>
              <w:rPr>
                <w:sz w:val="16"/>
                <w:szCs w:val="16"/>
                <w:color w:val="auto"/>
              </w:rPr>
            </w:pPr>
          </w:p>
        </w:tc>
        <w:tc>
          <w:tcPr>
            <w:tcW w:w="490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Revolving Credit Agreement, dated as of November 20, 2014, among</w:t>
              </w:r>
            </w:hyperlink>
          </w:p>
        </w:tc>
        <w:tc>
          <w:tcPr>
            <w:tcW w:w="180" w:type="dxa"/>
            <w:vAlign w:val="bottom"/>
            <w:gridSpan w:val="7"/>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MSCI Inc., as the Borrower, each of the Subsidiary Guarantors party</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thereto, JPMorgan Chase Bank, N.A., as the Administrative Agent and</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tcBorders>
              <w:bottom w:val="single" w:sz="8" w:color="0000EE"/>
            </w:tcBorders>
            <w:gridSpan w:val="25"/>
          </w:tcPr>
          <w:p>
            <w:pPr>
              <w:spacing w:after="0" w:line="190" w:lineRule="exact"/>
              <w:rPr>
                <w:rFonts w:ascii="Arial" w:cs="Arial" w:eastAsia="Arial" w:hAnsi="Arial"/>
                <w:sz w:val="18"/>
                <w:szCs w:val="18"/>
                <w:color w:val="0000EE"/>
                <w:w w:val="87"/>
              </w:rPr>
            </w:pPr>
            <w:hyperlink r:id="rId204">
              <w:r>
                <w:rPr>
                  <w:rFonts w:ascii="Arial" w:cs="Arial" w:eastAsia="Arial" w:hAnsi="Arial"/>
                  <w:sz w:val="18"/>
                  <w:szCs w:val="18"/>
                  <w:color w:val="0000EE"/>
                  <w:w w:val="87"/>
                </w:rPr>
                <w:t>L/C Issuer, the Other Lenders Party Thereto and JPMorgan Chase Bank,</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rPr>
            </w:pPr>
            <w:hyperlink r:id="rId204">
              <w:r>
                <w:rPr>
                  <w:rFonts w:ascii="Arial" w:cs="Arial" w:eastAsia="Arial" w:hAnsi="Arial"/>
                  <w:sz w:val="18"/>
                  <w:szCs w:val="18"/>
                  <w:color w:val="0000EE"/>
                </w:rPr>
                <w:t>N.A., as Lead Arranger and Bookrunner</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88"/>
              </w:rPr>
              <w:t>10.31</w:t>
            </w:r>
          </w:p>
        </w:tc>
        <w:tc>
          <w:tcPr>
            <w:tcW w:w="400" w:type="dxa"/>
            <w:vAlign w:val="bottom"/>
          </w:tcPr>
          <w:p>
            <w:pPr>
              <w:spacing w:after="0"/>
              <w:rPr>
                <w:sz w:val="16"/>
                <w:szCs w:val="16"/>
                <w:color w:val="auto"/>
              </w:rPr>
            </w:pPr>
          </w:p>
        </w:tc>
        <w:tc>
          <w:tcPr>
            <w:tcW w:w="5020" w:type="dxa"/>
            <w:vAlign w:val="bottom"/>
            <w:tcBorders>
              <w:bottom w:val="single" w:sz="8" w:color="0000EE"/>
            </w:tcBorders>
            <w:gridSpan w:val="22"/>
          </w:tcPr>
          <w:p>
            <w:pPr>
              <w:spacing w:after="0" w:line="190"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Amendment No. 1 to the Revolving Credit Agreement, dated August 4,</w:t>
              </w:r>
            </w:hyperlink>
          </w:p>
        </w:tc>
        <w:tc>
          <w:tcPr>
            <w:tcW w:w="60" w:type="dxa"/>
            <w:vAlign w:val="bottom"/>
            <w:gridSpan w:val="3"/>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2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05">
              <w:r>
                <w:rPr>
                  <w:rFonts w:ascii="Arial" w:cs="Arial" w:eastAsia="Arial" w:hAnsi="Arial"/>
                  <w:sz w:val="18"/>
                  <w:szCs w:val="18"/>
                  <w:color w:val="0000EE"/>
                  <w:w w:val="88"/>
                </w:rPr>
                <w:t>2016, among MSCI Inc., each of the subsidiary guarantors party</w:t>
              </w:r>
            </w:hyperlink>
          </w:p>
        </w:tc>
        <w:tc>
          <w:tcPr>
            <w:tcW w:w="560" w:type="dxa"/>
            <w:vAlign w:val="bottom"/>
            <w:gridSpan w:val="11"/>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thereto, JPMorgan Chase Bank, N.A., as Administrative Agent and L/C</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top w:val="single" w:sz="8" w:color="0000EE"/>
            </w:tcBorders>
            <w:gridSpan w:val="22"/>
          </w:tcPr>
          <w:p>
            <w:pPr>
              <w:spacing w:after="0" w:line="190" w:lineRule="exact"/>
              <w:rPr>
                <w:rFonts w:ascii="Arial" w:cs="Arial" w:eastAsia="Arial" w:hAnsi="Arial"/>
                <w:sz w:val="18"/>
                <w:szCs w:val="18"/>
                <w:color w:val="0000EE"/>
              </w:rPr>
            </w:pPr>
            <w:hyperlink r:id="rId205">
              <w:r>
                <w:rPr>
                  <w:rFonts w:ascii="Arial" w:cs="Arial" w:eastAsia="Arial" w:hAnsi="Arial"/>
                  <w:sz w:val="18"/>
                  <w:szCs w:val="18"/>
                  <w:color w:val="0000EE"/>
                </w:rPr>
                <w:t>Issuer and the other lenders party thereto</w:t>
              </w:r>
            </w:hyperlink>
          </w:p>
        </w:tc>
        <w:tc>
          <w:tcPr>
            <w:tcW w:w="60" w:type="dxa"/>
            <w:vAlign w:val="bottom"/>
            <w:gridSpan w:val="3"/>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88"/>
              </w:rPr>
              <w:t>10.32</w:t>
            </w:r>
          </w:p>
        </w:tc>
        <w:tc>
          <w:tcPr>
            <w:tcW w:w="400" w:type="dxa"/>
            <w:vAlign w:val="bottom"/>
          </w:tcPr>
          <w:p>
            <w:pPr>
              <w:spacing w:after="0"/>
              <w:rPr>
                <w:sz w:val="16"/>
                <w:szCs w:val="16"/>
                <w:color w:val="auto"/>
              </w:rPr>
            </w:pPr>
          </w:p>
        </w:tc>
        <w:tc>
          <w:tcPr>
            <w:tcW w:w="496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Amendment No. 2 to the Revolving Credit Agreement, dated May 18,</w:t>
              </w:r>
            </w:hyperlink>
          </w:p>
        </w:tc>
        <w:tc>
          <w:tcPr>
            <w:tcW w:w="120" w:type="dxa"/>
            <w:vAlign w:val="bottom"/>
            <w:gridSpan w:val="6"/>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2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2018, among MSCI Inc., each of the subsidiary guarantors party</w:t>
              </w:r>
            </w:hyperlink>
          </w:p>
        </w:tc>
        <w:tc>
          <w:tcPr>
            <w:tcW w:w="560" w:type="dxa"/>
            <w:vAlign w:val="bottom"/>
            <w:gridSpan w:val="11"/>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thereto, JPMorgan Chase Bank, N.A., as Administrative Agent and L/C</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top w:val="single" w:sz="8" w:color="0000EE"/>
            </w:tcBorders>
            <w:gridSpan w:val="22"/>
          </w:tcPr>
          <w:p>
            <w:pPr>
              <w:spacing w:after="0" w:line="190" w:lineRule="exact"/>
              <w:rPr>
                <w:rFonts w:ascii="Arial" w:cs="Arial" w:eastAsia="Arial" w:hAnsi="Arial"/>
                <w:sz w:val="18"/>
                <w:szCs w:val="18"/>
                <w:color w:val="0000EE"/>
              </w:rPr>
            </w:pPr>
            <w:hyperlink r:id="rId204">
              <w:r>
                <w:rPr>
                  <w:rFonts w:ascii="Arial" w:cs="Arial" w:eastAsia="Arial" w:hAnsi="Arial"/>
                  <w:sz w:val="18"/>
                  <w:szCs w:val="18"/>
                  <w:color w:val="0000EE"/>
                </w:rPr>
                <w:t>Issuer and the other lenders party thereto</w:t>
              </w:r>
            </w:hyperlink>
          </w:p>
        </w:tc>
        <w:tc>
          <w:tcPr>
            <w:tcW w:w="60" w:type="dxa"/>
            <w:vAlign w:val="bottom"/>
            <w:gridSpan w:val="3"/>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88"/>
              </w:rPr>
              <w:t>10.33</w:t>
            </w:r>
          </w:p>
        </w:tc>
        <w:tc>
          <w:tcPr>
            <w:tcW w:w="400" w:type="dxa"/>
            <w:vAlign w:val="bottom"/>
          </w:tcPr>
          <w:p>
            <w:pPr>
              <w:spacing w:after="0"/>
              <w:rPr>
                <w:sz w:val="16"/>
                <w:szCs w:val="16"/>
                <w:color w:val="auto"/>
              </w:rPr>
            </w:pPr>
          </w:p>
        </w:tc>
        <w:tc>
          <w:tcPr>
            <w:tcW w:w="5080" w:type="dxa"/>
            <w:vAlign w:val="bottom"/>
            <w:tcBorders>
              <w:bottom w:val="single" w:sz="8" w:color="0000EE"/>
            </w:tcBorders>
            <w:gridSpan w:val="25"/>
          </w:tcPr>
          <w:p>
            <w:pPr>
              <w:spacing w:after="0" w:line="190"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Amendment No. 3 to the Revolving Credit Agreement, dated November</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7"/>
          </w:tcPr>
          <w:p>
            <w:pPr>
              <w:spacing w:after="0" w:line="190" w:lineRule="exact"/>
              <w:rPr>
                <w:rFonts w:ascii="Arial" w:cs="Arial" w:eastAsia="Arial" w:hAnsi="Arial"/>
                <w:sz w:val="18"/>
                <w:szCs w:val="18"/>
                <w:color w:val="0000EE"/>
                <w:w w:val="88"/>
              </w:rPr>
            </w:pPr>
            <w:hyperlink r:id="rId206">
              <w:r>
                <w:rPr>
                  <w:rFonts w:ascii="Arial" w:cs="Arial" w:eastAsia="Arial" w:hAnsi="Arial"/>
                  <w:sz w:val="18"/>
                  <w:szCs w:val="18"/>
                  <w:color w:val="0000EE"/>
                  <w:w w:val="88"/>
                </w:rPr>
                <w:t>15, 2019, among MSCI Inc., each of the subsidiary guarantors party</w:t>
              </w:r>
            </w:hyperlink>
          </w:p>
        </w:tc>
        <w:tc>
          <w:tcPr>
            <w:tcW w:w="260" w:type="dxa"/>
            <w:vAlign w:val="bottom"/>
            <w:gridSpan w:val="8"/>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thereto, JPMorgan Chase Bank, N.A., as Administrative Agent and L/C</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top w:val="single" w:sz="8" w:color="0000EE"/>
            </w:tcBorders>
            <w:gridSpan w:val="22"/>
          </w:tcPr>
          <w:p>
            <w:pPr>
              <w:spacing w:after="0" w:line="190" w:lineRule="exact"/>
              <w:rPr>
                <w:rFonts w:ascii="Arial" w:cs="Arial" w:eastAsia="Arial" w:hAnsi="Arial"/>
                <w:sz w:val="18"/>
                <w:szCs w:val="18"/>
                <w:color w:val="0000EE"/>
              </w:rPr>
            </w:pPr>
            <w:hyperlink r:id="rId206">
              <w:r>
                <w:rPr>
                  <w:rFonts w:ascii="Arial" w:cs="Arial" w:eastAsia="Arial" w:hAnsi="Arial"/>
                  <w:sz w:val="18"/>
                  <w:szCs w:val="18"/>
                  <w:color w:val="0000EE"/>
                </w:rPr>
                <w:t>Issuer and the other lenders party thereto</w:t>
              </w:r>
            </w:hyperlink>
          </w:p>
        </w:tc>
        <w:tc>
          <w:tcPr>
            <w:tcW w:w="60" w:type="dxa"/>
            <w:vAlign w:val="bottom"/>
            <w:gridSpan w:val="3"/>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88"/>
              </w:rPr>
              <w:t>10.34</w:t>
            </w:r>
          </w:p>
        </w:tc>
        <w:tc>
          <w:tcPr>
            <w:tcW w:w="400" w:type="dxa"/>
            <w:vAlign w:val="bottom"/>
          </w:tcPr>
          <w:p>
            <w:pPr>
              <w:spacing w:after="0"/>
              <w:rPr>
                <w:sz w:val="16"/>
                <w:szCs w:val="16"/>
                <w:color w:val="auto"/>
              </w:rPr>
            </w:pPr>
          </w:p>
        </w:tc>
        <w:tc>
          <w:tcPr>
            <w:tcW w:w="5060" w:type="dxa"/>
            <w:vAlign w:val="bottom"/>
            <w:tcBorders>
              <w:bottom w:val="single" w:sz="8" w:color="0000EE"/>
            </w:tcBorders>
            <w:gridSpan w:val="24"/>
          </w:tcPr>
          <w:p>
            <w:pPr>
              <w:spacing w:after="0" w:line="190"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Amendment No. 4 to the Revolving Credit Agreement, dated March 29,</w:t>
              </w:r>
            </w:hyperlink>
          </w:p>
        </w:tc>
        <w:tc>
          <w:tcPr>
            <w:tcW w:w="2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2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07">
              <w:r>
                <w:rPr>
                  <w:rFonts w:ascii="Arial" w:cs="Arial" w:eastAsia="Arial" w:hAnsi="Arial"/>
                  <w:sz w:val="18"/>
                  <w:szCs w:val="18"/>
                  <w:color w:val="0000EE"/>
                  <w:w w:val="88"/>
                </w:rPr>
                <w:t>2021, among MSCI Inc., each of the subsidiary guarantors party</w:t>
              </w:r>
            </w:hyperlink>
          </w:p>
        </w:tc>
        <w:tc>
          <w:tcPr>
            <w:tcW w:w="560" w:type="dxa"/>
            <w:vAlign w:val="bottom"/>
            <w:gridSpan w:val="11"/>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thereto, JPMorgan Chase Bank, N.A., as Administrative Agent and L/C</w:t>
              </w:r>
            </w:hyperlink>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top w:val="single" w:sz="8" w:color="0000EE"/>
            </w:tcBorders>
            <w:gridSpan w:val="22"/>
          </w:tcPr>
          <w:p>
            <w:pPr>
              <w:spacing w:after="0" w:line="190" w:lineRule="exact"/>
              <w:rPr>
                <w:rFonts w:ascii="Arial" w:cs="Arial" w:eastAsia="Arial" w:hAnsi="Arial"/>
                <w:sz w:val="18"/>
                <w:szCs w:val="18"/>
                <w:color w:val="0000EE"/>
              </w:rPr>
            </w:pPr>
            <w:hyperlink r:id="rId207">
              <w:r>
                <w:rPr>
                  <w:rFonts w:ascii="Arial" w:cs="Arial" w:eastAsia="Arial" w:hAnsi="Arial"/>
                  <w:sz w:val="18"/>
                  <w:szCs w:val="18"/>
                  <w:color w:val="0000EE"/>
                </w:rPr>
                <w:t>Issuer and the other lenders party thereto</w:t>
              </w:r>
            </w:hyperlink>
          </w:p>
        </w:tc>
        <w:tc>
          <w:tcPr>
            <w:tcW w:w="60" w:type="dxa"/>
            <w:vAlign w:val="bottom"/>
            <w:gridSpan w:val="3"/>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r>
      <w:tr>
        <w:trPr>
          <w:trHeight w:val="190"/>
        </w:trPr>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88"/>
              </w:rPr>
              <w:t>10.35</w:t>
            </w:r>
          </w:p>
        </w:tc>
        <w:tc>
          <w:tcPr>
            <w:tcW w:w="400" w:type="dxa"/>
            <w:vAlign w:val="bottom"/>
          </w:tcPr>
          <w:p>
            <w:pPr>
              <w:spacing w:after="0"/>
              <w:rPr>
                <w:sz w:val="16"/>
                <w:szCs w:val="16"/>
                <w:color w:val="auto"/>
              </w:rPr>
            </w:pPr>
          </w:p>
        </w:tc>
        <w:tc>
          <w:tcPr>
            <w:tcW w:w="4620" w:type="dxa"/>
            <w:vAlign w:val="bottom"/>
            <w:tcBorders>
              <w:bottom w:val="single" w:sz="8" w:color="0000EE"/>
            </w:tcBorders>
            <w:gridSpan w:val="15"/>
          </w:tcPr>
          <w:p>
            <w:pPr>
              <w:spacing w:after="0" w:line="190" w:lineRule="exact"/>
              <w:rPr>
                <w:rFonts w:ascii="Arial" w:cs="Arial" w:eastAsia="Arial" w:hAnsi="Arial"/>
                <w:sz w:val="18"/>
                <w:szCs w:val="18"/>
                <w:color w:val="0000EE"/>
                <w:w w:val="86"/>
              </w:rPr>
            </w:pPr>
            <w:hyperlink r:id="rId208">
              <w:r>
                <w:rPr>
                  <w:rFonts w:ascii="Arial" w:cs="Arial" w:eastAsia="Arial" w:hAnsi="Arial"/>
                  <w:sz w:val="18"/>
                  <w:szCs w:val="18"/>
                  <w:color w:val="0000EE"/>
                  <w:w w:val="86"/>
                </w:rPr>
                <w:t>Agreement of Lease dated September 16, 2011, by and between 7</w:t>
              </w:r>
            </w:hyperlink>
          </w:p>
        </w:tc>
        <w:tc>
          <w:tcPr>
            <w:tcW w:w="460" w:type="dxa"/>
            <w:vAlign w:val="bottom"/>
            <w:gridSpan w:val="10"/>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5"/>
          </w:tcPr>
          <w:p>
            <w:pPr>
              <w:spacing w:after="0" w:line="190" w:lineRule="exact"/>
              <w:rPr>
                <w:rFonts w:ascii="Arial" w:cs="Arial" w:eastAsia="Arial" w:hAnsi="Arial"/>
                <w:sz w:val="18"/>
                <w:szCs w:val="18"/>
                <w:color w:val="0000EE"/>
              </w:rPr>
            </w:pPr>
            <w:hyperlink r:id="rId208">
              <w:r>
                <w:rPr>
                  <w:rFonts w:ascii="Arial" w:cs="Arial" w:eastAsia="Arial" w:hAnsi="Arial"/>
                  <w:sz w:val="18"/>
                  <w:szCs w:val="18"/>
                  <w:color w:val="0000EE"/>
                </w:rPr>
                <w:t>World Trade Center, LLC and MSCI Inc.</w:t>
              </w:r>
            </w:hyperlink>
          </w:p>
        </w:tc>
      </w:tr>
      <w:tr>
        <w:trPr>
          <w:trHeight w:val="439"/>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60" w:type="dxa"/>
            <w:vAlign w:val="bottom"/>
            <w:tcBorders>
              <w:top w:val="single" w:sz="8" w:color="0000EE"/>
            </w:tcBorders>
            <w:gridSpan w:val="9"/>
          </w:tcPr>
          <w:p>
            <w:pPr>
              <w:spacing w:after="0"/>
              <w:rPr>
                <w:sz w:val="24"/>
                <w:szCs w:val="24"/>
                <w:color w:val="auto"/>
              </w:rPr>
            </w:pPr>
          </w:p>
        </w:tc>
        <w:tc>
          <w:tcPr>
            <w:tcW w:w="1660" w:type="dxa"/>
            <w:vAlign w:val="bottom"/>
            <w:gridSpan w:val="5"/>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54610</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Form</w:t>
            </w:r>
          </w:p>
        </w:tc>
        <w:tc>
          <w:tcPr>
            <w:tcW w:w="1560" w:type="dxa"/>
            <w:vAlign w:val="bottom"/>
            <w:gridSpan w:val="3"/>
          </w:tcPr>
          <w:p>
            <w:pPr>
              <w:jc w:val="center"/>
              <w:ind w:left="154"/>
              <w:spacing w:after="0"/>
              <w:rPr>
                <w:sz w:val="20"/>
                <w:szCs w:val="20"/>
                <w:color w:val="auto"/>
              </w:rPr>
            </w:pPr>
            <w:r>
              <w:rPr>
                <w:rFonts w:ascii="Arial" w:cs="Arial" w:eastAsia="Arial" w:hAnsi="Arial"/>
                <w:sz w:val="13"/>
                <w:szCs w:val="13"/>
                <w:b w:val="1"/>
                <w:bCs w:val="1"/>
                <w:color w:val="auto"/>
                <w:w w:val="93"/>
              </w:rPr>
              <w:t>File No.</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920" w:type="dxa"/>
            <w:vAlign w:val="bottom"/>
            <w:gridSpan w:val="3"/>
          </w:tcPr>
          <w:p>
            <w:pPr>
              <w:ind w:left="220"/>
              <w:spacing w:after="0"/>
              <w:rPr>
                <w:sz w:val="20"/>
                <w:szCs w:val="20"/>
                <w:color w:val="auto"/>
              </w:rPr>
            </w:pPr>
            <w:r>
              <w:rPr>
                <w:rFonts w:ascii="Arial" w:cs="Arial" w:eastAsia="Arial" w:hAnsi="Arial"/>
                <w:sz w:val="13"/>
                <w:szCs w:val="13"/>
                <w:b w:val="1"/>
                <w:bCs w:val="1"/>
                <w:color w:val="auto"/>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5"/>
        </w:trPr>
        <w:tc>
          <w:tcPr>
            <w:tcW w:w="7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10-K</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10.234</w:t>
            </w:r>
          </w:p>
        </w:tc>
        <w:tc>
          <w:tcPr>
            <w:tcW w:w="120" w:type="dxa"/>
            <w:vAlign w:val="bottom"/>
          </w:tcPr>
          <w:p>
            <w:pPr>
              <w:spacing w:after="0"/>
              <w:rPr>
                <w:sz w:val="22"/>
                <w:szCs w:val="22"/>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2/12/2021</w:t>
            </w:r>
          </w:p>
        </w:tc>
      </w:tr>
      <w:tr>
        <w:trPr>
          <w:trHeight w:val="631"/>
        </w:trPr>
        <w:tc>
          <w:tcPr>
            <w:tcW w:w="7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7/27/2021</w:t>
            </w:r>
          </w:p>
        </w:tc>
      </w:tr>
      <w:tr>
        <w:trPr>
          <w:trHeight w:val="631"/>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gridSpan w:val="3"/>
          </w:tcPr>
          <w:p>
            <w:pPr>
              <w:ind w:left="400"/>
              <w:spacing w:after="0"/>
              <w:rPr>
                <w:sz w:val="20"/>
                <w:szCs w:val="20"/>
                <w:color w:val="auto"/>
              </w:rPr>
            </w:pPr>
            <w:r>
              <w:rPr>
                <w:rFonts w:ascii="Arial" w:cs="Arial" w:eastAsia="Arial" w:hAnsi="Arial"/>
                <w:sz w:val="18"/>
                <w:szCs w:val="18"/>
                <w:color w:val="auto"/>
                <w:w w:val="99"/>
              </w:rPr>
              <w:t>Filed Herewith</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1"/>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gridSpan w:val="3"/>
          </w:tcPr>
          <w:p>
            <w:pPr>
              <w:ind w:left="400"/>
              <w:spacing w:after="0"/>
              <w:rPr>
                <w:sz w:val="20"/>
                <w:szCs w:val="20"/>
                <w:color w:val="auto"/>
              </w:rPr>
            </w:pPr>
            <w:r>
              <w:rPr>
                <w:rFonts w:ascii="Arial" w:cs="Arial" w:eastAsia="Arial" w:hAnsi="Arial"/>
                <w:sz w:val="18"/>
                <w:szCs w:val="18"/>
                <w:color w:val="auto"/>
                <w:w w:val="99"/>
              </w:rPr>
              <w:t>Filed Herewith</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1"/>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gridSpan w:val="3"/>
          </w:tcPr>
          <w:p>
            <w:pPr>
              <w:ind w:left="400"/>
              <w:spacing w:after="0"/>
              <w:rPr>
                <w:sz w:val="20"/>
                <w:szCs w:val="20"/>
                <w:color w:val="auto"/>
              </w:rPr>
            </w:pPr>
            <w:r>
              <w:rPr>
                <w:rFonts w:ascii="Arial" w:cs="Arial" w:eastAsia="Arial" w:hAnsi="Arial"/>
                <w:sz w:val="18"/>
                <w:szCs w:val="18"/>
                <w:color w:val="auto"/>
                <w:w w:val="99"/>
              </w:rPr>
              <w:t>Filed Herewith</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1"/>
        </w:trPr>
        <w:tc>
          <w:tcPr>
            <w:tcW w:w="7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840" w:type="dxa"/>
            <w:vAlign w:val="bottom"/>
            <w:gridSpan w:val="2"/>
          </w:tcPr>
          <w:p>
            <w:pPr>
              <w:jc w:val="center"/>
              <w:ind w:left="134"/>
              <w:spacing w:after="0"/>
              <w:rPr>
                <w:sz w:val="20"/>
                <w:szCs w:val="20"/>
                <w:color w:val="auto"/>
              </w:rPr>
            </w:pPr>
            <w:r>
              <w:rPr>
                <w:rFonts w:ascii="Arial" w:cs="Arial" w:eastAsia="Arial" w:hAnsi="Arial"/>
                <w:sz w:val="18"/>
                <w:szCs w:val="18"/>
                <w:color w:val="auto"/>
                <w:w w:val="88"/>
              </w:rPr>
              <w:t>5/4/2018</w:t>
            </w:r>
          </w:p>
        </w:tc>
        <w:tc>
          <w:tcPr>
            <w:tcW w:w="80" w:type="dxa"/>
            <w:vAlign w:val="bottom"/>
          </w:tcPr>
          <w:p>
            <w:pPr>
              <w:spacing w:after="0"/>
              <w:rPr>
                <w:sz w:val="24"/>
                <w:szCs w:val="24"/>
                <w:color w:val="auto"/>
              </w:rPr>
            </w:pPr>
          </w:p>
        </w:tc>
      </w:tr>
      <w:tr>
        <w:trPr>
          <w:trHeight w:val="421"/>
        </w:trPr>
        <w:tc>
          <w:tcPr>
            <w:tcW w:w="40" w:type="dxa"/>
            <w:vAlign w:val="bottom"/>
          </w:tcPr>
          <w:p>
            <w:pPr>
              <w:spacing w:after="0"/>
              <w:rPr>
                <w:sz w:val="24"/>
                <w:szCs w:val="2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8-K</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9/25/2020</w:t>
            </w:r>
          </w:p>
        </w:tc>
      </w:tr>
      <w:tr>
        <w:trPr>
          <w:trHeight w:val="421"/>
        </w:trPr>
        <w:tc>
          <w:tcPr>
            <w:tcW w:w="7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4/28/2021</w:t>
            </w:r>
          </w:p>
        </w:tc>
      </w:tr>
      <w:tr>
        <w:trPr>
          <w:trHeight w:val="421"/>
        </w:trPr>
        <w:tc>
          <w:tcPr>
            <w:tcW w:w="40" w:type="dxa"/>
            <w:vAlign w:val="bottom"/>
          </w:tcPr>
          <w:p>
            <w:pPr>
              <w:spacing w:after="0"/>
              <w:rPr>
                <w:sz w:val="24"/>
                <w:szCs w:val="2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8-K</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5/18/2018</w:t>
            </w:r>
          </w:p>
        </w:tc>
      </w:tr>
      <w:tr>
        <w:trPr>
          <w:trHeight w:val="1051"/>
        </w:trPr>
        <w:tc>
          <w:tcPr>
            <w:tcW w:w="40" w:type="dxa"/>
            <w:vAlign w:val="bottom"/>
          </w:tcPr>
          <w:p>
            <w:pPr>
              <w:spacing w:after="0"/>
              <w:rPr>
                <w:sz w:val="24"/>
                <w:szCs w:val="2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8-K</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8/05/2016</w:t>
            </w:r>
          </w:p>
        </w:tc>
      </w:tr>
      <w:tr>
        <w:trPr>
          <w:trHeight w:val="841"/>
        </w:trPr>
        <w:tc>
          <w:tcPr>
            <w:tcW w:w="40" w:type="dxa"/>
            <w:vAlign w:val="bottom"/>
          </w:tcPr>
          <w:p>
            <w:pPr>
              <w:spacing w:after="0"/>
              <w:rPr>
                <w:sz w:val="24"/>
                <w:szCs w:val="2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8-K</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5/18/2018</w:t>
            </w:r>
          </w:p>
        </w:tc>
      </w:tr>
      <w:tr>
        <w:trPr>
          <w:trHeight w:val="841"/>
        </w:trPr>
        <w:tc>
          <w:tcPr>
            <w:tcW w:w="40" w:type="dxa"/>
            <w:vAlign w:val="bottom"/>
          </w:tcPr>
          <w:p>
            <w:pPr>
              <w:spacing w:after="0"/>
              <w:rPr>
                <w:sz w:val="24"/>
                <w:szCs w:val="2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8-K</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8"/>
              </w:rPr>
              <w:t>11/19/2019</w:t>
            </w:r>
          </w:p>
        </w:tc>
      </w:tr>
      <w:tr>
        <w:trPr>
          <w:trHeight w:val="841"/>
        </w:trPr>
        <w:tc>
          <w:tcPr>
            <w:tcW w:w="40" w:type="dxa"/>
            <w:vAlign w:val="bottom"/>
          </w:tcPr>
          <w:p>
            <w:pPr>
              <w:spacing w:after="0"/>
              <w:rPr>
                <w:sz w:val="24"/>
                <w:szCs w:val="2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8-K</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3/30/2021</w:t>
            </w:r>
          </w:p>
        </w:tc>
      </w:tr>
      <w:tr>
        <w:trPr>
          <w:trHeight w:val="841"/>
        </w:trPr>
        <w:tc>
          <w:tcPr>
            <w:tcW w:w="40" w:type="dxa"/>
            <w:vAlign w:val="bottom"/>
          </w:tcPr>
          <w:p>
            <w:pPr>
              <w:spacing w:after="0"/>
              <w:rPr>
                <w:sz w:val="24"/>
                <w:szCs w:val="2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8-K</w:t>
            </w:r>
          </w:p>
        </w:tc>
        <w:tc>
          <w:tcPr>
            <w:tcW w:w="1560" w:type="dxa"/>
            <w:vAlign w:val="bottom"/>
            <w:gridSpan w:val="3"/>
          </w:tcPr>
          <w:p>
            <w:pPr>
              <w:jc w:val="center"/>
              <w:ind w:left="15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54"/>
              <w:spacing w:after="0"/>
              <w:rPr>
                <w:sz w:val="20"/>
                <w:szCs w:val="20"/>
                <w:color w:val="auto"/>
              </w:rPr>
            </w:pPr>
            <w:r>
              <w:rPr>
                <w:rFonts w:ascii="Arial" w:cs="Arial" w:eastAsia="Arial" w:hAnsi="Arial"/>
                <w:sz w:val="18"/>
                <w:szCs w:val="18"/>
                <w:color w:val="auto"/>
                <w:w w:val="87"/>
              </w:rPr>
              <w:t>9/22/2011</w:t>
            </w:r>
          </w:p>
        </w:tc>
      </w:tr>
    </w:tbl>
    <w:p>
      <w:pPr>
        <w:sectPr>
          <w:pgSz w:w="11900" w:h="16838" w:orient="portrait"/>
          <w:cols w:equalWidth="0" w:num="2">
            <w:col w:w="5960" w:space="720"/>
            <w:col w:w="4020"/>
          </w:cols>
          <w:pgMar w:left="720" w:top="332" w:right="47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20" w:type="dxa"/>
            <w:vAlign w:val="bottom"/>
            <w:gridSpan w:val="25"/>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10.36††#</w:t>
            </w:r>
          </w:p>
        </w:tc>
        <w:tc>
          <w:tcPr>
            <w:tcW w:w="4600" w:type="dxa"/>
            <w:vAlign w:val="bottom"/>
            <w:tcBorders>
              <w:bottom w:val="single" w:sz="8" w:color="0000EE"/>
            </w:tcBorders>
            <w:gridSpan w:val="13"/>
          </w:tcPr>
          <w:p>
            <w:pPr>
              <w:spacing w:after="0"/>
              <w:rPr>
                <w:rFonts w:ascii="Arial" w:cs="Arial" w:eastAsia="Arial" w:hAnsi="Arial"/>
                <w:sz w:val="18"/>
                <w:szCs w:val="18"/>
                <w:color w:val="0000EE"/>
                <w:w w:val="88"/>
              </w:rPr>
            </w:pPr>
            <w:hyperlink r:id="rId210">
              <w:r>
                <w:rPr>
                  <w:rFonts w:ascii="Arial" w:cs="Arial" w:eastAsia="Arial" w:hAnsi="Arial"/>
                  <w:sz w:val="18"/>
                  <w:szCs w:val="18"/>
                  <w:color w:val="0000EE"/>
                  <w:w w:val="88"/>
                </w:rPr>
                <w:t>Index License Agreement for Funds, dated as of March 18, 2000,</w:t>
              </w:r>
            </w:hyperlink>
          </w:p>
        </w:tc>
        <w:tc>
          <w:tcPr>
            <w:tcW w:w="480" w:type="dxa"/>
            <w:vAlign w:val="bottom"/>
            <w:gridSpan w:val="16"/>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10">
              <w:r>
                <w:rPr>
                  <w:rFonts w:ascii="Arial" w:cs="Arial" w:eastAsia="Arial" w:hAnsi="Arial"/>
                  <w:sz w:val="18"/>
                  <w:szCs w:val="18"/>
                  <w:color w:val="0000EE"/>
                  <w:w w:val="88"/>
                </w:rPr>
                <w:t>between Morgan Stanley Capital International and Barclays Global</w:t>
              </w:r>
            </w:hyperlink>
          </w:p>
        </w:tc>
        <w:tc>
          <w:tcPr>
            <w:tcW w:w="360" w:type="dxa"/>
            <w:vAlign w:val="bottom"/>
            <w:gridSpan w:val="1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Borders>
              <w:bottom w:val="single" w:sz="8" w:color="0000EE"/>
            </w:tcBorders>
            <w:gridSpan w:val="2"/>
          </w:tcPr>
          <w:p>
            <w:pPr>
              <w:spacing w:after="0" w:line="190"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Investors, N.A.</w:t>
              </w:r>
            </w:hyperlink>
          </w:p>
        </w:tc>
        <w:tc>
          <w:tcPr>
            <w:tcW w:w="4000" w:type="dxa"/>
            <w:vAlign w:val="bottom"/>
            <w:gridSpan w:val="27"/>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10.37††#</w:t>
            </w:r>
          </w:p>
        </w:tc>
        <w:tc>
          <w:tcPr>
            <w:tcW w:w="486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211">
              <w:r>
                <w:rPr>
                  <w:rFonts w:ascii="Arial" w:cs="Arial" w:eastAsia="Arial" w:hAnsi="Arial"/>
                  <w:sz w:val="18"/>
                  <w:szCs w:val="18"/>
                  <w:color w:val="0000EE"/>
                  <w:w w:val="88"/>
                </w:rPr>
                <w:t>Amendment to Index License Agreement for Funds between Morgan</w:t>
              </w:r>
            </w:hyperlink>
          </w:p>
        </w:tc>
        <w:tc>
          <w:tcPr>
            <w:tcW w:w="22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w w:val="98"/>
              </w:rPr>
            </w:pPr>
            <w:hyperlink r:id="rId211">
              <w:r>
                <w:rPr>
                  <w:rFonts w:ascii="Arial" w:cs="Arial" w:eastAsia="Arial" w:hAnsi="Arial"/>
                  <w:sz w:val="18"/>
                  <w:szCs w:val="18"/>
                  <w:color w:val="0000EE"/>
                  <w:w w:val="98"/>
                </w:rPr>
                <w:t>Stanley Capital International and Barclays Global Investors, N.A.</w:t>
              </w:r>
            </w:hyperlink>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10.38††#</w:t>
            </w:r>
          </w:p>
        </w:tc>
        <w:tc>
          <w:tcPr>
            <w:tcW w:w="4260" w:type="dxa"/>
            <w:vAlign w:val="bottom"/>
            <w:tcBorders>
              <w:top w:val="single" w:sz="8" w:color="0000EE"/>
              <w:bottom w:val="single" w:sz="8" w:color="0000EE"/>
            </w:tcBorders>
            <w:gridSpan w:val="9"/>
          </w:tcPr>
          <w:p>
            <w:pPr>
              <w:spacing w:after="0" w:line="190"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Letter Agreement to Amend MSCI-BGI Fund Index License</w:t>
              </w:r>
            </w:hyperlink>
          </w:p>
        </w:tc>
        <w:tc>
          <w:tcPr>
            <w:tcW w:w="340" w:type="dxa"/>
            <w:vAlign w:val="bottom"/>
            <w:tcBorders>
              <w:top w:val="single" w:sz="8" w:color="0000EE"/>
            </w:tcBorders>
            <w:gridSpan w:val="4"/>
          </w:tcPr>
          <w:p>
            <w:pPr>
              <w:spacing w:after="0"/>
              <w:rPr>
                <w:sz w:val="16"/>
                <w:szCs w:val="16"/>
                <w:color w:val="auto"/>
              </w:rPr>
            </w:pPr>
          </w:p>
        </w:tc>
        <w:tc>
          <w:tcPr>
            <w:tcW w:w="480" w:type="dxa"/>
            <w:vAlign w:val="bottom"/>
            <w:gridSpan w:val="1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40" w:type="dxa"/>
            <w:vAlign w:val="bottom"/>
            <w:tcBorders>
              <w:bottom w:val="single" w:sz="8" w:color="0000EE"/>
            </w:tcBorders>
            <w:gridSpan w:val="27"/>
          </w:tcPr>
          <w:p>
            <w:pPr>
              <w:spacing w:after="0" w:line="190" w:lineRule="exact"/>
              <w:rPr>
                <w:rFonts w:ascii="Arial" w:cs="Arial" w:eastAsia="Arial" w:hAnsi="Arial"/>
                <w:sz w:val="18"/>
                <w:szCs w:val="18"/>
                <w:color w:val="0000EE"/>
                <w:w w:val="87"/>
              </w:rPr>
            </w:pPr>
            <w:hyperlink r:id="rId212">
              <w:r>
                <w:rPr>
                  <w:rFonts w:ascii="Arial" w:cs="Arial" w:eastAsia="Arial" w:hAnsi="Arial"/>
                  <w:sz w:val="18"/>
                  <w:szCs w:val="18"/>
                  <w:color w:val="0000EE"/>
                  <w:w w:val="87"/>
                </w:rPr>
                <w:t>Agreement, dated as of June 21, 2001, between Morgan Stanley Capital</w:t>
              </w:r>
            </w:hyperlink>
          </w:p>
        </w:tc>
        <w:tc>
          <w:tcPr>
            <w:tcW w:w="4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rPr>
            </w:pPr>
            <w:hyperlink r:id="rId212">
              <w:r>
                <w:rPr>
                  <w:rFonts w:ascii="Arial" w:cs="Arial" w:eastAsia="Arial" w:hAnsi="Arial"/>
                  <w:sz w:val="18"/>
                  <w:szCs w:val="18"/>
                  <w:color w:val="0000EE"/>
                </w:rPr>
                <w:t>International Inc. and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10.39††#</w:t>
            </w:r>
          </w:p>
        </w:tc>
        <w:tc>
          <w:tcPr>
            <w:tcW w:w="5080" w:type="dxa"/>
            <w:vAlign w:val="bottom"/>
            <w:gridSpan w:val="29"/>
          </w:tcPr>
          <w:p>
            <w:pPr>
              <w:spacing w:after="0" w:line="190" w:lineRule="exact"/>
              <w:rPr>
                <w:rFonts w:ascii="Arial" w:cs="Arial" w:eastAsia="Arial" w:hAnsi="Arial"/>
                <w:sz w:val="18"/>
                <w:szCs w:val="18"/>
                <w:color w:val="0000EE"/>
                <w:w w:val="96"/>
              </w:rPr>
            </w:pPr>
            <w:hyperlink r:id="rId213">
              <w:r>
                <w:rPr>
                  <w:rFonts w:ascii="Arial" w:cs="Arial" w:eastAsia="Arial" w:hAnsi="Arial"/>
                  <w:sz w:val="18"/>
                  <w:szCs w:val="18"/>
                  <w:color w:val="0000EE"/>
                  <w:w w:val="96"/>
                </w:rPr>
                <w:t>Addendum to the Index License Agreement for Funds, dated as of</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w w:val="88"/>
              </w:rPr>
            </w:pPr>
            <w:hyperlink r:id="rId213">
              <w:r>
                <w:rPr>
                  <w:rFonts w:ascii="Arial" w:cs="Arial" w:eastAsia="Arial" w:hAnsi="Arial"/>
                  <w:sz w:val="18"/>
                  <w:szCs w:val="18"/>
                  <w:color w:val="0000EE"/>
                  <w:w w:val="88"/>
                </w:rPr>
                <w:t>September 18, 2002, between Morgan Stanley Capital International Inc.</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5"/>
          </w:tcPr>
          <w:p>
            <w:pPr>
              <w:spacing w:after="0" w:line="190" w:lineRule="exact"/>
              <w:rPr>
                <w:rFonts w:ascii="Arial" w:cs="Arial" w:eastAsia="Arial" w:hAnsi="Arial"/>
                <w:sz w:val="18"/>
                <w:szCs w:val="18"/>
                <w:color w:val="0000EE"/>
                <w:w w:val="89"/>
              </w:rPr>
            </w:pPr>
            <w:hyperlink r:id="rId213">
              <w:r>
                <w:rPr>
                  <w:rFonts w:ascii="Arial" w:cs="Arial" w:eastAsia="Arial" w:hAnsi="Arial"/>
                  <w:sz w:val="18"/>
                  <w:szCs w:val="18"/>
                  <w:color w:val="0000EE"/>
                  <w:w w:val="89"/>
                </w:rPr>
                <w:t>and Barclays Global Investors, N.A.</w:t>
              </w:r>
            </w:hyperlink>
          </w:p>
        </w:tc>
        <w:tc>
          <w:tcPr>
            <w:tcW w:w="2480" w:type="dxa"/>
            <w:vAlign w:val="bottom"/>
            <w:tcBorders>
              <w:top w:val="single" w:sz="8" w:color="0000EE"/>
            </w:tcBorders>
            <w:gridSpan w:val="22"/>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10.40††#</w:t>
            </w:r>
          </w:p>
        </w:tc>
        <w:tc>
          <w:tcPr>
            <w:tcW w:w="476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tcBorders>
              <w:bottom w:val="single" w:sz="8" w:color="0000EE"/>
            </w:tcBorders>
            <w:gridSpan w:val="23"/>
          </w:tcPr>
          <w:p>
            <w:pPr>
              <w:spacing w:after="0" w:line="190"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December 3, 2004, between Morgan Stanley Capital International Inc.</w:t>
              </w:r>
            </w:hyperlink>
          </w:p>
        </w:tc>
        <w:tc>
          <w:tcPr>
            <w:tcW w:w="14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Borders>
              <w:bottom w:val="single" w:sz="8" w:color="0000EE"/>
            </w:tcBorders>
            <w:gridSpan w:val="5"/>
          </w:tcPr>
          <w:p>
            <w:pPr>
              <w:spacing w:after="0" w:line="190"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and Barclays Global Investors, N.A.</w:t>
              </w:r>
            </w:hyperlink>
          </w:p>
        </w:tc>
        <w:tc>
          <w:tcPr>
            <w:tcW w:w="2520" w:type="dxa"/>
            <w:vAlign w:val="bottom"/>
            <w:gridSpan w:val="24"/>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10.41††#</w:t>
            </w:r>
          </w:p>
        </w:tc>
        <w:tc>
          <w:tcPr>
            <w:tcW w:w="476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May 1, 2005, between Morgan Stanley Capital International Inc. and</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89"/>
              </w:rPr>
            </w:pPr>
            <w:hyperlink r:id="rId215">
              <w:r>
                <w:rPr>
                  <w:rFonts w:ascii="Arial" w:cs="Arial" w:eastAsia="Arial" w:hAnsi="Arial"/>
                  <w:sz w:val="18"/>
                  <w:szCs w:val="18"/>
                  <w:color w:val="0000EE"/>
                  <w:w w:val="89"/>
                </w:rPr>
                <w:t>Barclays Global Investors, N.A.</w:t>
              </w:r>
            </w:hyperlink>
          </w:p>
        </w:tc>
        <w:tc>
          <w:tcPr>
            <w:tcW w:w="2560" w:type="dxa"/>
            <w:vAlign w:val="bottom"/>
            <w:tcBorders>
              <w:top w:val="single" w:sz="8" w:color="0000EE"/>
            </w:tcBorders>
            <w:gridSpan w:val="16"/>
          </w:tcPr>
          <w:p>
            <w:pPr>
              <w:spacing w:after="0"/>
              <w:rPr>
                <w:sz w:val="16"/>
                <w:szCs w:val="16"/>
                <w:color w:val="auto"/>
              </w:rPr>
            </w:pPr>
          </w:p>
        </w:tc>
        <w:tc>
          <w:tcPr>
            <w:tcW w:w="260" w:type="dxa"/>
            <w:vAlign w:val="bottom"/>
            <w:gridSpan w:val="9"/>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10.42††#</w:t>
            </w:r>
          </w:p>
        </w:tc>
        <w:tc>
          <w:tcPr>
            <w:tcW w:w="476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r:id="rId216">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w w:val="93"/>
              </w:rPr>
            </w:pPr>
            <w:hyperlink r:id="rId216">
              <w:r>
                <w:rPr>
                  <w:rFonts w:ascii="Arial" w:cs="Arial" w:eastAsia="Arial" w:hAnsi="Arial"/>
                  <w:sz w:val="18"/>
                  <w:szCs w:val="18"/>
                  <w:color w:val="0000EE"/>
                  <w:w w:val="93"/>
                </w:rPr>
                <w:t>July 1, 2006, between Morgan Stanley Capital International Inc. and</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89"/>
              </w:rPr>
            </w:pPr>
            <w:hyperlink r:id="rId216">
              <w:r>
                <w:rPr>
                  <w:rFonts w:ascii="Arial" w:cs="Arial" w:eastAsia="Arial" w:hAnsi="Arial"/>
                  <w:sz w:val="18"/>
                  <w:szCs w:val="18"/>
                  <w:color w:val="0000EE"/>
                  <w:w w:val="89"/>
                </w:rPr>
                <w:t>Barclays Global Investors, N.A.</w:t>
              </w:r>
            </w:hyperlink>
          </w:p>
        </w:tc>
        <w:tc>
          <w:tcPr>
            <w:tcW w:w="2540" w:type="dxa"/>
            <w:vAlign w:val="bottom"/>
            <w:tcBorders>
              <w:top w:val="single" w:sz="8" w:color="0000EE"/>
            </w:tcBorders>
            <w:gridSpan w:val="15"/>
          </w:tcPr>
          <w:p>
            <w:pPr>
              <w:spacing w:after="0"/>
              <w:rPr>
                <w:sz w:val="16"/>
                <w:szCs w:val="16"/>
                <w:color w:val="auto"/>
              </w:rPr>
            </w:pPr>
          </w:p>
        </w:tc>
        <w:tc>
          <w:tcPr>
            <w:tcW w:w="280" w:type="dxa"/>
            <w:vAlign w:val="bottom"/>
            <w:gridSpan w:val="10"/>
          </w:tcPr>
          <w:p>
            <w:pPr>
              <w:spacing w:after="0"/>
              <w:rPr>
                <w:sz w:val="16"/>
                <w:szCs w:val="16"/>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10.43</w:t>
            </w:r>
          </w:p>
        </w:tc>
        <w:tc>
          <w:tcPr>
            <w:tcW w:w="400" w:type="dxa"/>
            <w:vAlign w:val="bottom"/>
          </w:tcPr>
          <w:p>
            <w:pPr>
              <w:spacing w:after="0"/>
              <w:rPr>
                <w:sz w:val="16"/>
                <w:szCs w:val="16"/>
                <w:color w:val="auto"/>
              </w:rPr>
            </w:pPr>
          </w:p>
        </w:tc>
        <w:tc>
          <w:tcPr>
            <w:tcW w:w="5020" w:type="dxa"/>
            <w:vAlign w:val="bottom"/>
            <w:tcBorders>
              <w:bottom w:val="single" w:sz="8" w:color="0000EE"/>
            </w:tcBorders>
            <w:gridSpan w:val="26"/>
          </w:tcPr>
          <w:p>
            <w:pPr>
              <w:spacing w:after="0" w:line="190" w:lineRule="exact"/>
              <w:rPr>
                <w:rFonts w:ascii="Arial" w:cs="Arial" w:eastAsia="Arial" w:hAnsi="Arial"/>
                <w:sz w:val="18"/>
                <w:szCs w:val="18"/>
                <w:color w:val="0000EE"/>
                <w:w w:val="87"/>
              </w:rPr>
            </w:pPr>
            <w:hyperlink r:id="rId217">
              <w:r>
                <w:rPr>
                  <w:rFonts w:ascii="Arial" w:cs="Arial" w:eastAsia="Arial" w:hAnsi="Arial"/>
                  <w:sz w:val="18"/>
                  <w:szCs w:val="18"/>
                  <w:color w:val="0000EE"/>
                  <w:w w:val="87"/>
                </w:rPr>
                <w:t>Amendment to Index License Agreement for Funds, dated as of June 5,</w:t>
              </w:r>
            </w:hyperlink>
          </w:p>
        </w:tc>
        <w:tc>
          <w:tcPr>
            <w:tcW w:w="60" w:type="dxa"/>
            <w:vAlign w:val="bottom"/>
            <w:gridSpan w:val="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2007, between Morgan Stanley Capital International Inc. and Barclays</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Global Investors, N.A.</w:t>
              </w:r>
            </w:hyperlink>
          </w:p>
        </w:tc>
        <w:tc>
          <w:tcPr>
            <w:tcW w:w="3340" w:type="dxa"/>
            <w:vAlign w:val="bottom"/>
            <w:tcBorders>
              <w:top w:val="single" w:sz="8" w:color="0000EE"/>
            </w:tcBorders>
            <w:gridSpan w:val="20"/>
          </w:tcPr>
          <w:p>
            <w:pPr>
              <w:spacing w:after="0"/>
              <w:rPr>
                <w:sz w:val="16"/>
                <w:szCs w:val="16"/>
                <w:color w:val="auto"/>
              </w:rPr>
            </w:pPr>
          </w:p>
        </w:tc>
        <w:tc>
          <w:tcPr>
            <w:tcW w:w="140" w:type="dxa"/>
            <w:vAlign w:val="bottom"/>
            <w:gridSpan w:val="6"/>
          </w:tcPr>
          <w:p>
            <w:pPr>
              <w:spacing w:after="0"/>
              <w:rPr>
                <w:sz w:val="16"/>
                <w:szCs w:val="16"/>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10.44</w:t>
            </w:r>
          </w:p>
        </w:tc>
        <w:tc>
          <w:tcPr>
            <w:tcW w:w="400" w:type="dxa"/>
            <w:vAlign w:val="bottom"/>
          </w:tcPr>
          <w:p>
            <w:pPr>
              <w:spacing w:after="0"/>
              <w:rPr>
                <w:sz w:val="16"/>
                <w:szCs w:val="16"/>
                <w:color w:val="auto"/>
              </w:rPr>
            </w:pPr>
          </w:p>
        </w:tc>
        <w:tc>
          <w:tcPr>
            <w:tcW w:w="448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218">
              <w:r>
                <w:rPr>
                  <w:rFonts w:ascii="Arial" w:cs="Arial" w:eastAsia="Arial" w:hAnsi="Arial"/>
                  <w:sz w:val="18"/>
                  <w:szCs w:val="18"/>
                  <w:color w:val="0000EE"/>
                  <w:w w:val="88"/>
                </w:rPr>
                <w:t>Amendment to Index License Agreement for Funds, dated as of</w:t>
              </w:r>
            </w:hyperlink>
          </w:p>
        </w:tc>
        <w:tc>
          <w:tcPr>
            <w:tcW w:w="600" w:type="dxa"/>
            <w:vAlign w:val="bottom"/>
            <w:gridSpan w:val="1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tcBorders>
              <w:bottom w:val="single" w:sz="8" w:color="0000EE"/>
            </w:tcBorders>
            <w:gridSpan w:val="25"/>
          </w:tcPr>
          <w:p>
            <w:pPr>
              <w:spacing w:after="0" w:line="190" w:lineRule="exact"/>
              <w:rPr>
                <w:rFonts w:ascii="Arial" w:cs="Arial" w:eastAsia="Arial" w:hAnsi="Arial"/>
                <w:sz w:val="18"/>
                <w:szCs w:val="18"/>
                <w:color w:val="0000EE"/>
                <w:w w:val="88"/>
              </w:rPr>
            </w:pPr>
            <w:hyperlink r:id="rId218">
              <w:r>
                <w:rPr>
                  <w:rFonts w:ascii="Arial" w:cs="Arial" w:eastAsia="Arial" w:hAnsi="Arial"/>
                  <w:sz w:val="18"/>
                  <w:szCs w:val="18"/>
                  <w:color w:val="0000EE"/>
                  <w:w w:val="88"/>
                </w:rPr>
                <w:t>November 7, 2008, between MSCI Inc. and Barclays Global Investors,</w:t>
              </w:r>
            </w:hyperlink>
          </w:p>
        </w:tc>
        <w:tc>
          <w:tcPr>
            <w:tcW w:w="10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rPr>
            </w:pPr>
            <w:hyperlink r:id="rId218">
              <w:r>
                <w:rPr>
                  <w:rFonts w:ascii="Arial" w:cs="Arial" w:eastAsia="Arial" w:hAnsi="Arial"/>
                  <w:sz w:val="18"/>
                  <w:szCs w:val="18"/>
                  <w:color w:val="0000EE"/>
                </w:rPr>
                <w:t>N.A.</w:t>
              </w:r>
            </w:hyperlink>
          </w:p>
        </w:tc>
      </w:tr>
      <w:tr>
        <w:trPr>
          <w:trHeight w:val="20"/>
        </w:trPr>
        <w:tc>
          <w:tcPr>
            <w:tcW w:w="9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10.45††#</w:t>
            </w:r>
          </w:p>
        </w:tc>
        <w:tc>
          <w:tcPr>
            <w:tcW w:w="448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219">
              <w:r>
                <w:rPr>
                  <w:rFonts w:ascii="Arial" w:cs="Arial" w:eastAsia="Arial" w:hAnsi="Arial"/>
                  <w:sz w:val="18"/>
                  <w:szCs w:val="18"/>
                  <w:color w:val="0000EE"/>
                  <w:w w:val="88"/>
                </w:rPr>
                <w:t>Amendment to Index License Agreement for Funds, dated as of</w:t>
              </w:r>
            </w:hyperlink>
          </w:p>
        </w:tc>
        <w:tc>
          <w:tcPr>
            <w:tcW w:w="600" w:type="dxa"/>
            <w:vAlign w:val="bottom"/>
            <w:gridSpan w:val="1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60" w:type="dxa"/>
            <w:vAlign w:val="bottom"/>
            <w:tcBorders>
              <w:bottom w:val="single" w:sz="8" w:color="0000EE"/>
            </w:tcBorders>
            <w:gridSpan w:val="24"/>
          </w:tcPr>
          <w:p>
            <w:pPr>
              <w:spacing w:after="0" w:line="190" w:lineRule="exact"/>
              <w:rPr>
                <w:rFonts w:ascii="Arial" w:cs="Arial" w:eastAsia="Arial" w:hAnsi="Arial"/>
                <w:sz w:val="18"/>
                <w:szCs w:val="18"/>
                <w:color w:val="0000EE"/>
                <w:w w:val="88"/>
              </w:rPr>
            </w:pPr>
            <w:hyperlink r:id="rId219">
              <w:r>
                <w:rPr>
                  <w:rFonts w:ascii="Arial" w:cs="Arial" w:eastAsia="Arial" w:hAnsi="Arial"/>
                  <w:sz w:val="18"/>
                  <w:szCs w:val="18"/>
                  <w:color w:val="0000EE"/>
                  <w:w w:val="88"/>
                </w:rPr>
                <w:t>December 9, 2008, between MSCI Inc. and Barclays Global Investors,</w:t>
              </w:r>
            </w:hyperlink>
          </w:p>
        </w:tc>
        <w:tc>
          <w:tcPr>
            <w:tcW w:w="12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rPr>
            </w:pPr>
            <w:hyperlink r:id="rId219">
              <w:r>
                <w:rPr>
                  <w:rFonts w:ascii="Arial" w:cs="Arial" w:eastAsia="Arial" w:hAnsi="Arial"/>
                  <w:sz w:val="18"/>
                  <w:szCs w:val="18"/>
                  <w:color w:val="0000EE"/>
                </w:rPr>
                <w:t>N.A.</w:t>
              </w:r>
            </w:hyperlink>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10.46</w:t>
            </w: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w w:val="89"/>
              </w:rPr>
            </w:pPr>
            <w:hyperlink r:id="rId220">
              <w:r>
                <w:rPr>
                  <w:rFonts w:ascii="Arial" w:cs="Arial" w:eastAsia="Arial" w:hAnsi="Arial"/>
                  <w:sz w:val="18"/>
                  <w:szCs w:val="18"/>
                  <w:color w:val="0000EE"/>
                  <w:w w:val="89"/>
                </w:rPr>
                <w:t>Amendment to Index License Agreement for Funds, dated as of April 1,</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0" w:type="dxa"/>
            <w:vAlign w:val="bottom"/>
            <w:tcBorders>
              <w:top w:val="single" w:sz="8" w:color="0000EE"/>
              <w:bottom w:val="single" w:sz="8" w:color="0000EE"/>
            </w:tcBorders>
            <w:gridSpan w:val="10"/>
          </w:tcPr>
          <w:p>
            <w:pPr>
              <w:spacing w:after="0" w:line="190" w:lineRule="exact"/>
              <w:rPr>
                <w:rFonts w:ascii="Arial" w:cs="Arial" w:eastAsia="Arial" w:hAnsi="Arial"/>
                <w:sz w:val="18"/>
                <w:szCs w:val="18"/>
                <w:color w:val="0000EE"/>
                <w:w w:val="89"/>
              </w:rPr>
            </w:pPr>
            <w:hyperlink r:id="rId220">
              <w:r>
                <w:rPr>
                  <w:rFonts w:ascii="Arial" w:cs="Arial" w:eastAsia="Arial" w:hAnsi="Arial"/>
                  <w:sz w:val="18"/>
                  <w:szCs w:val="18"/>
                  <w:color w:val="0000EE"/>
                  <w:w w:val="89"/>
                </w:rPr>
                <w:t>2009, between MSCI Inc. and Barclays Global Investors, N.A.</w:t>
              </w:r>
            </w:hyperlink>
          </w:p>
        </w:tc>
        <w:tc>
          <w:tcPr>
            <w:tcW w:w="660" w:type="dxa"/>
            <w:vAlign w:val="bottom"/>
            <w:tcBorders>
              <w:top w:val="single" w:sz="8" w:color="0000EE"/>
            </w:tcBorders>
            <w:gridSpan w:val="18"/>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10.47††#</w:t>
            </w:r>
          </w:p>
        </w:tc>
        <w:tc>
          <w:tcPr>
            <w:tcW w:w="484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221">
              <w:r>
                <w:rPr>
                  <w:rFonts w:ascii="Arial" w:cs="Arial" w:eastAsia="Arial" w:hAnsi="Arial"/>
                  <w:sz w:val="18"/>
                  <w:szCs w:val="18"/>
                  <w:color w:val="0000EE"/>
                  <w:w w:val="88"/>
                </w:rPr>
                <w:t>Amendment to Index License Agreement for Funds, dated as of May</w:t>
              </w:r>
            </w:hyperlink>
          </w:p>
        </w:tc>
        <w:tc>
          <w:tcPr>
            <w:tcW w:w="24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w w:val="97"/>
              </w:rPr>
            </w:pPr>
            <w:hyperlink r:id="rId221">
              <w:r>
                <w:rPr>
                  <w:rFonts w:ascii="Arial" w:cs="Arial" w:eastAsia="Arial" w:hAnsi="Arial"/>
                  <w:sz w:val="18"/>
                  <w:szCs w:val="18"/>
                  <w:color w:val="0000EE"/>
                  <w:w w:val="97"/>
                </w:rPr>
                <w:t>21, 2009, between MSCI Inc. and Barclays Global Investors, N.A.</w:t>
              </w:r>
            </w:hyperlink>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10.48</w:t>
            </w:r>
          </w:p>
        </w:tc>
        <w:tc>
          <w:tcPr>
            <w:tcW w:w="400" w:type="dxa"/>
            <w:vAlign w:val="bottom"/>
          </w:tcPr>
          <w:p>
            <w:pPr>
              <w:spacing w:after="0"/>
              <w:rPr>
                <w:sz w:val="16"/>
                <w:szCs w:val="16"/>
                <w:color w:val="auto"/>
              </w:rPr>
            </w:pPr>
          </w:p>
        </w:tc>
        <w:tc>
          <w:tcPr>
            <w:tcW w:w="4480" w:type="dxa"/>
            <w:vAlign w:val="bottom"/>
            <w:tcBorders>
              <w:top w:val="single" w:sz="8" w:color="0000EE"/>
              <w:bottom w:val="single" w:sz="8" w:color="0000EE"/>
            </w:tcBorders>
            <w:gridSpan w:val="11"/>
          </w:tcPr>
          <w:p>
            <w:pPr>
              <w:spacing w:after="0" w:line="190" w:lineRule="exact"/>
              <w:rPr>
                <w:rFonts w:ascii="Arial" w:cs="Arial" w:eastAsia="Arial" w:hAnsi="Arial"/>
                <w:sz w:val="18"/>
                <w:szCs w:val="18"/>
                <w:color w:val="0000EE"/>
                <w:w w:val="88"/>
              </w:rPr>
            </w:pPr>
            <w:hyperlink r:id="rId222">
              <w:r>
                <w:rPr>
                  <w:rFonts w:ascii="Arial" w:cs="Arial" w:eastAsia="Arial" w:hAnsi="Arial"/>
                  <w:sz w:val="18"/>
                  <w:szCs w:val="18"/>
                  <w:color w:val="0000EE"/>
                  <w:w w:val="88"/>
                </w:rPr>
                <w:t>Amendment to Index License Agreement for Funds, dated as of</w:t>
              </w:r>
            </w:hyperlink>
          </w:p>
        </w:tc>
        <w:tc>
          <w:tcPr>
            <w:tcW w:w="180" w:type="dxa"/>
            <w:vAlign w:val="bottom"/>
            <w:tcBorders>
              <w:top w:val="single" w:sz="8" w:color="0000EE"/>
            </w:tcBorders>
            <w:gridSpan w:val="4"/>
          </w:tcPr>
          <w:p>
            <w:pPr>
              <w:spacing w:after="0"/>
              <w:rPr>
                <w:sz w:val="16"/>
                <w:szCs w:val="16"/>
                <w:color w:val="auto"/>
              </w:rPr>
            </w:pPr>
          </w:p>
        </w:tc>
        <w:tc>
          <w:tcPr>
            <w:tcW w:w="420" w:type="dxa"/>
            <w:vAlign w:val="bottom"/>
            <w:gridSpan w:val="1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tcBorders>
              <w:bottom w:val="single" w:sz="8" w:color="0000EE"/>
            </w:tcBorders>
            <w:gridSpan w:val="29"/>
          </w:tcPr>
          <w:p>
            <w:pPr>
              <w:spacing w:after="0" w:line="190" w:lineRule="exact"/>
              <w:rPr>
                <w:rFonts w:ascii="Arial" w:cs="Arial" w:eastAsia="Arial" w:hAnsi="Arial"/>
                <w:sz w:val="18"/>
                <w:szCs w:val="18"/>
                <w:color w:val="0000EE"/>
                <w:w w:val="88"/>
              </w:rPr>
            </w:pPr>
            <w:hyperlink r:id="rId222">
              <w:r>
                <w:rPr>
                  <w:rFonts w:ascii="Arial" w:cs="Arial" w:eastAsia="Arial" w:hAnsi="Arial"/>
                  <w:sz w:val="18"/>
                  <w:szCs w:val="18"/>
                  <w:color w:val="0000EE"/>
                  <w:w w:val="88"/>
                </w:rPr>
                <w:t>September 30, 2009, between MSCI Inc. and Barclays Global Investors,</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rPr>
            </w:pPr>
            <w:hyperlink r:id="rId222">
              <w:r>
                <w:rPr>
                  <w:rFonts w:ascii="Arial" w:cs="Arial" w:eastAsia="Arial" w:hAnsi="Arial"/>
                  <w:sz w:val="18"/>
                  <w:szCs w:val="18"/>
                  <w:color w:val="0000EE"/>
                </w:rPr>
                <w:t>N.A.</w:t>
              </w:r>
            </w:hyperlink>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10.49</w:t>
            </w:r>
          </w:p>
        </w:tc>
        <w:tc>
          <w:tcPr>
            <w:tcW w:w="400" w:type="dxa"/>
            <w:vAlign w:val="bottom"/>
          </w:tcPr>
          <w:p>
            <w:pPr>
              <w:spacing w:after="0"/>
              <w:rPr>
                <w:sz w:val="16"/>
                <w:szCs w:val="16"/>
                <w:color w:val="auto"/>
              </w:rPr>
            </w:pPr>
          </w:p>
        </w:tc>
        <w:tc>
          <w:tcPr>
            <w:tcW w:w="5080" w:type="dxa"/>
            <w:vAlign w:val="bottom"/>
            <w:tcBorders>
              <w:bottom w:val="single" w:sz="8" w:color="0000EE"/>
            </w:tcBorders>
            <w:gridSpan w:val="29"/>
          </w:tcPr>
          <w:p>
            <w:pPr>
              <w:spacing w:after="0" w:line="190" w:lineRule="exact"/>
              <w:rPr>
                <w:rFonts w:ascii="Arial" w:cs="Arial" w:eastAsia="Arial" w:hAnsi="Arial"/>
                <w:sz w:val="18"/>
                <w:szCs w:val="18"/>
                <w:color w:val="0000EE"/>
                <w:w w:val="87"/>
              </w:rPr>
            </w:pPr>
            <w:hyperlink r:id="rId223">
              <w:r>
                <w:rPr>
                  <w:rFonts w:ascii="Arial" w:cs="Arial" w:eastAsia="Arial" w:hAnsi="Arial"/>
                  <w:sz w:val="18"/>
                  <w:szCs w:val="18"/>
                  <w:color w:val="0000EE"/>
                  <w:w w:val="87"/>
                </w:rPr>
                <w:t>Amendment to Index License Agreement for Funds, dated as of October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8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r:id="rId223">
              <w:r>
                <w:rPr>
                  <w:rFonts w:ascii="Arial" w:cs="Arial" w:eastAsia="Arial" w:hAnsi="Arial"/>
                  <w:sz w:val="18"/>
                  <w:szCs w:val="18"/>
                  <w:color w:val="0000EE"/>
                  <w:w w:val="89"/>
                </w:rPr>
                <w:t>6, 2009, between MSCI Inc. and Barclays Global Investors, N.A.</w:t>
              </w:r>
            </w:hyperlink>
          </w:p>
        </w:tc>
        <w:tc>
          <w:tcPr>
            <w:tcW w:w="500" w:type="dxa"/>
            <w:vAlign w:val="bottom"/>
            <w:gridSpan w:val="17"/>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10.50††#</w:t>
            </w:r>
          </w:p>
        </w:tc>
        <w:tc>
          <w:tcPr>
            <w:tcW w:w="4740" w:type="dxa"/>
            <w:vAlign w:val="bottom"/>
            <w:tcBorders>
              <w:bottom w:val="single" w:sz="8" w:color="0000EE"/>
            </w:tcBorders>
            <w:gridSpan w:val="17"/>
          </w:tcPr>
          <w:p>
            <w:pPr>
              <w:spacing w:after="0" w:line="190" w:lineRule="exact"/>
              <w:rPr>
                <w:rFonts w:ascii="Arial" w:cs="Arial" w:eastAsia="Arial" w:hAnsi="Arial"/>
                <w:sz w:val="18"/>
                <w:szCs w:val="18"/>
                <w:color w:val="0000EE"/>
                <w:w w:val="88"/>
              </w:rPr>
            </w:pPr>
            <w:hyperlink r:id="rId224">
              <w:r>
                <w:rPr>
                  <w:rFonts w:ascii="Arial" w:cs="Arial" w:eastAsia="Arial" w:hAnsi="Arial"/>
                  <w:sz w:val="18"/>
                  <w:szCs w:val="18"/>
                  <w:color w:val="0000EE"/>
                  <w:w w:val="88"/>
                </w:rPr>
                <w:t>Amendment to the Index License Agreement for Funds, dated as of</w:t>
              </w:r>
            </w:hyperlink>
          </w:p>
        </w:tc>
        <w:tc>
          <w:tcPr>
            <w:tcW w:w="34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9"/>
          </w:tcPr>
          <w:p>
            <w:pPr>
              <w:spacing w:after="0" w:line="190" w:lineRule="exact"/>
              <w:rPr>
                <w:rFonts w:ascii="Arial" w:cs="Arial" w:eastAsia="Arial" w:hAnsi="Arial"/>
                <w:sz w:val="18"/>
                <w:szCs w:val="18"/>
                <w:color w:val="0000EE"/>
              </w:rPr>
            </w:pPr>
            <w:hyperlink r:id="rId224">
              <w:r>
                <w:rPr>
                  <w:rFonts w:ascii="Arial" w:cs="Arial" w:eastAsia="Arial" w:hAnsi="Arial"/>
                  <w:sz w:val="18"/>
                  <w:szCs w:val="18"/>
                  <w:color w:val="0000EE"/>
                </w:rPr>
                <w:t>October 4, 2011, by and between MSCI Inc. and BlackRock</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gridSpan w:val="8"/>
            <w:shd w:val="clear" w:color="auto" w:fill="0000EE"/>
          </w:tcPr>
          <w:p>
            <w:pPr>
              <w:spacing w:after="0" w:line="20" w:lineRule="exact"/>
              <w:rPr>
                <w:sz w:val="1"/>
                <w:szCs w:val="1"/>
                <w:color w:val="auto"/>
              </w:rPr>
            </w:pPr>
          </w:p>
        </w:tc>
        <w:tc>
          <w:tcPr>
            <w:tcW w:w="84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28"/>
          </w:tcPr>
          <w:p>
            <w:pPr>
              <w:spacing w:after="0" w:line="190"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Institutional Trust Company, N.A. (formerly, Barclays Global Investors,</w:t>
              </w:r>
            </w:hyperlink>
          </w:p>
        </w:tc>
        <w:tc>
          <w:tcPr>
            <w:tcW w:w="20" w:type="dxa"/>
            <w:vAlign w:val="bottom"/>
          </w:tcPr>
          <w:p>
            <w:pPr>
              <w:spacing w:after="0"/>
              <w:rPr>
                <w:sz w:val="16"/>
                <w:szCs w:val="16"/>
                <w:color w:val="auto"/>
              </w:rPr>
            </w:pPr>
          </w:p>
        </w:tc>
      </w:tr>
    </w:tbl>
    <w:p>
      <w:pPr>
        <w:spacing w:after="0" w:line="14" w:lineRule="exact"/>
        <w:rPr>
          <w:sz w:val="20"/>
          <w:szCs w:val="20"/>
          <w:color w:val="auto"/>
        </w:rPr>
      </w:pPr>
    </w:p>
    <w:p>
      <w:pPr>
        <w:ind w:left="960" w:right="20"/>
        <w:spacing w:after="0" w:line="290" w:lineRule="auto"/>
        <w:rPr>
          <w:rFonts w:ascii="Arial" w:cs="Arial" w:eastAsia="Arial" w:hAnsi="Arial"/>
          <w:sz w:val="16"/>
          <w:szCs w:val="16"/>
          <w:u w:val="single" w:color="auto"/>
          <w:color w:val="0000EE"/>
        </w:rPr>
      </w:pPr>
      <w:hyperlink r:id="rId224">
        <w:r>
          <w:rPr>
            <w:rFonts w:ascii="Arial" w:cs="Arial" w:eastAsia="Arial" w:hAnsi="Arial"/>
            <w:sz w:val="16"/>
            <w:szCs w:val="16"/>
            <w:u w:val="single" w:color="auto"/>
            <w:color w:val="0000EE"/>
          </w:rPr>
          <w:t>N.A.). Replaces in its entirety the Amendment to Index License</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Agreement for Funds, dated as of October 27, 2009, between MSCI Inc.</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and Barclays Global Investors, N.A. filed as Exhibit 10.15 to Form 10-</w:t>
        </w:r>
      </w:hyperlink>
      <w:hyperlink r:id="rId224">
        <w:r>
          <w:rPr>
            <w:rFonts w:ascii="Arial" w:cs="Arial" w:eastAsia="Arial" w:hAnsi="Arial"/>
            <w:sz w:val="16"/>
            <w:szCs w:val="16"/>
            <w:u w:val="single" w:color="auto"/>
            <w:color w:val="0000EE"/>
          </w:rPr>
          <w:t>K (001-33812) filed with the SEC on February 29, 2012</w:t>
        </w:r>
      </w:hyperlink>
    </w:p>
    <w:p>
      <w:pPr>
        <w:spacing w:after="0" w:line="162" w:lineRule="exact"/>
        <w:rPr>
          <w:rFonts w:ascii="Arial" w:cs="Arial" w:eastAsia="Arial" w:hAnsi="Arial"/>
          <w:sz w:val="16"/>
          <w:szCs w:val="16"/>
          <w:u w:val="single" w:color="auto"/>
          <w:color w:val="0000EE"/>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-199390</wp:posOffset>
            </wp:positionH>
            <wp:positionV relativeFrom="paragraph">
              <wp:posOffset>64135</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124"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860" w:type="dxa"/>
            <w:vAlign w:val="bottom"/>
            <w:gridSpan w:val="3"/>
          </w:tcPr>
          <w:p>
            <w:pPr>
              <w:ind w:left="200"/>
              <w:spacing w:after="0"/>
              <w:rPr>
                <w:sz w:val="20"/>
                <w:szCs w:val="20"/>
                <w:color w:val="auto"/>
              </w:rPr>
            </w:pPr>
            <w:r>
              <w:rPr>
                <w:rFonts w:ascii="Arial" w:cs="Arial" w:eastAsia="Arial" w:hAnsi="Arial"/>
                <w:sz w:val="13"/>
                <w:szCs w:val="13"/>
                <w:b w:val="1"/>
                <w:bCs w:val="1"/>
                <w:color w:val="auto"/>
                <w:w w:val="96"/>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42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40" w:type="dxa"/>
            <w:vAlign w:val="bottom"/>
          </w:tcPr>
          <w:p>
            <w:pPr>
              <w:spacing w:after="0"/>
              <w:rPr>
                <w:sz w:val="24"/>
                <w:szCs w:val="24"/>
                <w:color w:val="auto"/>
              </w:rPr>
            </w:pPr>
          </w:p>
        </w:tc>
        <w:tc>
          <w:tcPr>
            <w:tcW w:w="860" w:type="dxa"/>
            <w:vAlign w:val="bottom"/>
            <w:gridSpan w:val="3"/>
          </w:tcPr>
          <w:p>
            <w:pPr>
              <w:jc w:val="center"/>
              <w:ind w:left="74"/>
              <w:spacing w:after="0"/>
              <w:rPr>
                <w:sz w:val="20"/>
                <w:szCs w:val="20"/>
                <w:color w:val="auto"/>
              </w:rPr>
            </w:pPr>
            <w:r>
              <w:rPr>
                <w:rFonts w:ascii="Arial" w:cs="Arial" w:eastAsia="Arial" w:hAnsi="Arial"/>
                <w:sz w:val="18"/>
                <w:szCs w:val="18"/>
                <w:color w:val="auto"/>
                <w:w w:val="87"/>
              </w:rPr>
              <w:t>1/31/2011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2/29/2012</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1/29/2010</w:t>
            </w:r>
          </w:p>
        </w:tc>
      </w:tr>
      <w:tr>
        <w:trPr>
          <w:trHeight w:val="42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42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10-Q</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820" w:type="dxa"/>
            <w:vAlign w:val="bottom"/>
            <w:gridSpan w:val="2"/>
          </w:tcPr>
          <w:p>
            <w:pPr>
              <w:jc w:val="center"/>
              <w:ind w:left="114"/>
              <w:spacing w:after="0"/>
              <w:rPr>
                <w:sz w:val="20"/>
                <w:szCs w:val="20"/>
                <w:color w:val="auto"/>
              </w:rPr>
            </w:pPr>
            <w:r>
              <w:rPr>
                <w:rFonts w:ascii="Arial" w:cs="Arial" w:eastAsia="Arial" w:hAnsi="Arial"/>
                <w:sz w:val="18"/>
                <w:szCs w:val="18"/>
                <w:color w:val="auto"/>
                <w:w w:val="88"/>
              </w:rPr>
              <w:t>7/2/2010</w:t>
            </w:r>
          </w:p>
        </w:tc>
        <w:tc>
          <w:tcPr>
            <w:tcW w:w="40" w:type="dxa"/>
            <w:vAlign w:val="bottom"/>
          </w:tcPr>
          <w:p>
            <w:pPr>
              <w:spacing w:after="0"/>
              <w:rPr>
                <w:sz w:val="24"/>
                <w:szCs w:val="24"/>
                <w:color w:val="auto"/>
              </w:rPr>
            </w:pP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1/29/2010</w:t>
            </w:r>
          </w:p>
        </w:tc>
      </w:tr>
      <w:tr>
        <w:trPr>
          <w:trHeight w:val="42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bl>
    <w:p>
      <w:pPr>
        <w:sectPr>
          <w:pgSz w:w="11900" w:h="16838" w:orient="portrait"/>
          <w:cols w:equalWidth="0" w:num="2">
            <w:col w:w="6060" w:space="720"/>
            <w:col w:w="3980"/>
          </w:cols>
          <w:pgMar w:left="620" w:top="332" w:right="51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40" w:type="dxa"/>
            <w:vAlign w:val="bottom"/>
            <w:gridSpan w:val="18"/>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10.51††#</w:t>
            </w:r>
          </w:p>
        </w:tc>
        <w:tc>
          <w:tcPr>
            <w:tcW w:w="4480" w:type="dxa"/>
            <w:vAlign w:val="bottom"/>
            <w:tcBorders>
              <w:bottom w:val="single" w:sz="8" w:color="0000EE"/>
            </w:tcBorders>
            <w:gridSpan w:val="12"/>
          </w:tcPr>
          <w:p>
            <w:pPr>
              <w:spacing w:after="0"/>
              <w:rPr>
                <w:rFonts w:ascii="Arial" w:cs="Arial" w:eastAsia="Arial" w:hAnsi="Arial"/>
                <w:sz w:val="18"/>
                <w:szCs w:val="18"/>
                <w:color w:val="0000EE"/>
                <w:w w:val="88"/>
              </w:rPr>
            </w:pPr>
            <w:hyperlink r:id="rId226">
              <w:r>
                <w:rPr>
                  <w:rFonts w:ascii="Arial" w:cs="Arial" w:eastAsia="Arial" w:hAnsi="Arial"/>
                  <w:sz w:val="18"/>
                  <w:szCs w:val="18"/>
                  <w:color w:val="0000EE"/>
                  <w:w w:val="88"/>
                </w:rPr>
                <w:t>Amendment to Index License Agreement for Funds, dated as of</w:t>
              </w:r>
            </w:hyperlink>
          </w:p>
        </w:tc>
        <w:tc>
          <w:tcPr>
            <w:tcW w:w="580" w:type="dxa"/>
            <w:vAlign w:val="bottom"/>
            <w:gridSpan w:val="14"/>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226">
              <w:r>
                <w:rPr>
                  <w:rFonts w:ascii="Arial" w:cs="Arial" w:eastAsia="Arial" w:hAnsi="Arial"/>
                  <w:sz w:val="18"/>
                  <w:szCs w:val="18"/>
                  <w:color w:val="0000EE"/>
                  <w:w w:val="89"/>
                </w:rPr>
                <w:t>December 15, 2009, between MSCI Inc. and Blackrock Institutional</w:t>
              </w:r>
            </w:hyperlink>
          </w:p>
        </w:tc>
        <w:tc>
          <w:tcPr>
            <w:tcW w:w="24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r:id="rId226">
              <w:r>
                <w:rPr>
                  <w:rFonts w:ascii="Arial" w:cs="Arial" w:eastAsia="Arial" w:hAnsi="Arial"/>
                  <w:sz w:val="18"/>
                  <w:szCs w:val="18"/>
                  <w:color w:val="0000EE"/>
                  <w:w w:val="89"/>
                </w:rPr>
                <w:t>Trust Company, N.A.</w:t>
              </w:r>
            </w:hyperlink>
          </w:p>
        </w:tc>
        <w:tc>
          <w:tcPr>
            <w:tcW w:w="3540" w:type="dxa"/>
            <w:vAlign w:val="bottom"/>
            <w:gridSpan w:val="19"/>
          </w:tcPr>
          <w:p>
            <w:pPr>
              <w:spacing w:after="0"/>
              <w:rPr>
                <w:sz w:val="16"/>
                <w:szCs w:val="16"/>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10.52</w:t>
            </w:r>
          </w:p>
        </w:tc>
        <w:tc>
          <w:tcPr>
            <w:tcW w:w="400" w:type="dxa"/>
            <w:vAlign w:val="bottom"/>
          </w:tcPr>
          <w:p>
            <w:pPr>
              <w:spacing w:after="0"/>
              <w:rPr>
                <w:sz w:val="16"/>
                <w:szCs w:val="16"/>
                <w:color w:val="auto"/>
              </w:rPr>
            </w:pPr>
          </w:p>
        </w:tc>
        <w:tc>
          <w:tcPr>
            <w:tcW w:w="448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27">
              <w:r>
                <w:rPr>
                  <w:rFonts w:ascii="Arial" w:cs="Arial" w:eastAsia="Arial" w:hAnsi="Arial"/>
                  <w:sz w:val="18"/>
                  <w:szCs w:val="18"/>
                  <w:color w:val="0000EE"/>
                  <w:w w:val="88"/>
                </w:rPr>
                <w:t>Amendment to Index License Agreement for Funds, dated as of</w:t>
              </w:r>
            </w:hyperlink>
          </w:p>
        </w:tc>
        <w:tc>
          <w:tcPr>
            <w:tcW w:w="580" w:type="dxa"/>
            <w:vAlign w:val="bottom"/>
            <w:gridSpan w:val="1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21"/>
          </w:tcPr>
          <w:p>
            <w:pPr>
              <w:spacing w:after="0" w:line="190" w:lineRule="exact"/>
              <w:rPr>
                <w:rFonts w:ascii="Arial" w:cs="Arial" w:eastAsia="Arial" w:hAnsi="Arial"/>
                <w:sz w:val="18"/>
                <w:szCs w:val="18"/>
                <w:color w:val="0000EE"/>
                <w:w w:val="89"/>
              </w:rPr>
            </w:pPr>
            <w:hyperlink r:id="rId227">
              <w:r>
                <w:rPr>
                  <w:rFonts w:ascii="Arial" w:cs="Arial" w:eastAsia="Arial" w:hAnsi="Arial"/>
                  <w:sz w:val="18"/>
                  <w:szCs w:val="18"/>
                  <w:color w:val="0000EE"/>
                  <w:w w:val="89"/>
                </w:rPr>
                <w:t>June 13, 2011, between MSCI Inc. and BlackRock Institutional Trust</w:t>
              </w:r>
            </w:hyperlink>
          </w:p>
        </w:tc>
        <w:tc>
          <w:tcPr>
            <w:tcW w:w="20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27">
              <w:r>
                <w:rPr>
                  <w:rFonts w:ascii="Arial" w:cs="Arial" w:eastAsia="Arial" w:hAnsi="Arial"/>
                  <w:sz w:val="18"/>
                  <w:szCs w:val="18"/>
                  <w:color w:val="0000EE"/>
                </w:rPr>
                <w:t>Company, N.A.</w:t>
              </w:r>
            </w:hyperlink>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10.53</w:t>
            </w:r>
          </w:p>
        </w:tc>
        <w:tc>
          <w:tcPr>
            <w:tcW w:w="400" w:type="dxa"/>
            <w:vAlign w:val="bottom"/>
          </w:tcPr>
          <w:p>
            <w:pPr>
              <w:spacing w:after="0"/>
              <w:rPr>
                <w:sz w:val="16"/>
                <w:szCs w:val="16"/>
                <w:color w:val="auto"/>
              </w:rPr>
            </w:pPr>
          </w:p>
        </w:tc>
        <w:tc>
          <w:tcPr>
            <w:tcW w:w="448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28">
              <w:r>
                <w:rPr>
                  <w:rFonts w:ascii="Arial" w:cs="Arial" w:eastAsia="Arial" w:hAnsi="Arial"/>
                  <w:sz w:val="18"/>
                  <w:szCs w:val="18"/>
                  <w:color w:val="0000EE"/>
                  <w:w w:val="88"/>
                </w:rPr>
                <w:t>Amendment to Index License Agreement for Funds, dated as of</w:t>
              </w:r>
            </w:hyperlink>
          </w:p>
        </w:tc>
        <w:tc>
          <w:tcPr>
            <w:tcW w:w="580" w:type="dxa"/>
            <w:vAlign w:val="bottom"/>
            <w:gridSpan w:val="1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28">
              <w:r>
                <w:rPr>
                  <w:rFonts w:ascii="Arial" w:cs="Arial" w:eastAsia="Arial" w:hAnsi="Arial"/>
                  <w:sz w:val="18"/>
                  <w:szCs w:val="18"/>
                  <w:color w:val="0000EE"/>
                </w:rPr>
                <w:t>May 20, 2010</w:t>
              </w:r>
            </w:hyperlink>
          </w:p>
        </w:tc>
      </w:tr>
      <w:tr>
        <w:trPr>
          <w:trHeight w:val="20"/>
        </w:trPr>
        <w:tc>
          <w:tcPr>
            <w:tcW w:w="9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10.54††#</w:t>
            </w:r>
          </w:p>
        </w:tc>
        <w:tc>
          <w:tcPr>
            <w:tcW w:w="494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229">
              <w:r>
                <w:rPr>
                  <w:rFonts w:ascii="Arial" w:cs="Arial" w:eastAsia="Arial" w:hAnsi="Arial"/>
                  <w:sz w:val="18"/>
                  <w:szCs w:val="18"/>
                  <w:color w:val="0000EE"/>
                  <w:w w:val="88"/>
                </w:rPr>
                <w:t>Schedule No. 11043 to the Master Index License Agreement for Index</w:t>
              </w:r>
            </w:hyperlink>
          </w:p>
        </w:tc>
        <w:tc>
          <w:tcPr>
            <w:tcW w:w="12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r:id="rId229">
              <w:r>
                <w:rPr>
                  <w:rFonts w:ascii="Arial" w:cs="Arial" w:eastAsia="Arial" w:hAnsi="Arial"/>
                  <w:sz w:val="18"/>
                  <w:szCs w:val="18"/>
                  <w:color w:val="0000EE"/>
                  <w:w w:val="89"/>
                </w:rPr>
                <w:t>Based Funds, between MSCI Inc. and BlackRock Institutional Trust</w:t>
              </w:r>
            </w:hyperlink>
          </w:p>
        </w:tc>
        <w:tc>
          <w:tcPr>
            <w:tcW w:w="26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w w:val="89"/>
              </w:rPr>
            </w:pPr>
            <w:hyperlink r:id="rId229">
              <w:r>
                <w:rPr>
                  <w:rFonts w:ascii="Arial" w:cs="Arial" w:eastAsia="Arial" w:hAnsi="Arial"/>
                  <w:sz w:val="18"/>
                  <w:szCs w:val="18"/>
                  <w:color w:val="0000EE"/>
                  <w:w w:val="89"/>
                </w:rPr>
                <w:t>Company, N.A. (formerly, Barclays Global Investors, N.A.), dated as of</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40" w:type="dxa"/>
            <w:vAlign w:val="bottom"/>
            <w:tcBorders>
              <w:top w:val="single" w:sz="8" w:color="0000EE"/>
            </w:tcBorders>
            <w:gridSpan w:val="25"/>
          </w:tcPr>
          <w:p>
            <w:pPr>
              <w:spacing w:after="0" w:line="190" w:lineRule="exact"/>
              <w:rPr>
                <w:rFonts w:ascii="Arial" w:cs="Arial" w:eastAsia="Arial" w:hAnsi="Arial"/>
                <w:sz w:val="18"/>
                <w:szCs w:val="18"/>
                <w:color w:val="0000EE"/>
              </w:rPr>
            </w:pPr>
            <w:hyperlink r:id="rId229">
              <w:r>
                <w:rPr>
                  <w:rFonts w:ascii="Arial" w:cs="Arial" w:eastAsia="Arial" w:hAnsi="Arial"/>
                  <w:sz w:val="18"/>
                  <w:szCs w:val="18"/>
                  <w:color w:val="0000EE"/>
                </w:rPr>
                <w:t>September 1, 2010</w:t>
              </w:r>
            </w:hyperlink>
          </w:p>
        </w:tc>
        <w:tc>
          <w:tcPr>
            <w:tcW w:w="20" w:type="dxa"/>
            <w:vAlign w:val="bottom"/>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10.55††#</w:t>
            </w:r>
          </w:p>
        </w:tc>
        <w:tc>
          <w:tcPr>
            <w:tcW w:w="476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30">
              <w:r>
                <w:rPr>
                  <w:rFonts w:ascii="Arial" w:cs="Arial" w:eastAsia="Arial" w:hAnsi="Arial"/>
                  <w:sz w:val="18"/>
                  <w:szCs w:val="18"/>
                  <w:color w:val="0000EE"/>
                  <w:w w:val="88"/>
                </w:rPr>
                <w:t>Amendment to the Index License Agreement for Funds, dated as of</w:t>
              </w:r>
            </w:hyperlink>
          </w:p>
        </w:tc>
        <w:tc>
          <w:tcPr>
            <w:tcW w:w="300" w:type="dxa"/>
            <w:vAlign w:val="bottom"/>
            <w:gridSpan w:val="10"/>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26"/>
          </w:tcPr>
          <w:p>
            <w:pPr>
              <w:spacing w:after="0" w:line="190" w:lineRule="exact"/>
              <w:rPr>
                <w:rFonts w:ascii="Arial" w:cs="Arial" w:eastAsia="Arial" w:hAnsi="Arial"/>
                <w:sz w:val="18"/>
                <w:szCs w:val="18"/>
                <w:color w:val="0000EE"/>
                <w:w w:val="88"/>
              </w:rPr>
            </w:pPr>
            <w:hyperlink r:id="rId230">
              <w:r>
                <w:rPr>
                  <w:rFonts w:ascii="Arial" w:cs="Arial" w:eastAsia="Arial" w:hAnsi="Arial"/>
                  <w:sz w:val="18"/>
                  <w:szCs w:val="18"/>
                  <w:color w:val="0000EE"/>
                  <w:w w:val="88"/>
                </w:rPr>
                <w:t>November 19, 2010, between MSCI Inc. and Barclays Global Investors,</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30">
              <w:r>
                <w:rPr>
                  <w:rFonts w:ascii="Arial" w:cs="Arial" w:eastAsia="Arial" w:hAnsi="Arial"/>
                  <w:sz w:val="18"/>
                  <w:szCs w:val="18"/>
                  <w:color w:val="0000EE"/>
                </w:rPr>
                <w:t>N.A.</w:t>
              </w:r>
            </w:hyperlink>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10.56</w:t>
            </w:r>
          </w:p>
        </w:tc>
        <w:tc>
          <w:tcPr>
            <w:tcW w:w="400" w:type="dxa"/>
            <w:vAlign w:val="bottom"/>
          </w:tcPr>
          <w:p>
            <w:pPr>
              <w:spacing w:after="0"/>
              <w:rPr>
                <w:sz w:val="16"/>
                <w:szCs w:val="16"/>
                <w:color w:val="auto"/>
              </w:rPr>
            </w:pPr>
          </w:p>
        </w:tc>
        <w:tc>
          <w:tcPr>
            <w:tcW w:w="476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31">
              <w:r>
                <w:rPr>
                  <w:rFonts w:ascii="Arial" w:cs="Arial" w:eastAsia="Arial" w:hAnsi="Arial"/>
                  <w:sz w:val="18"/>
                  <w:szCs w:val="18"/>
                  <w:color w:val="0000EE"/>
                  <w:w w:val="88"/>
                </w:rPr>
                <w:t>Amendment to the Index License Agreement for Funds, dated as of</w:t>
              </w:r>
            </w:hyperlink>
          </w:p>
        </w:tc>
        <w:tc>
          <w:tcPr>
            <w:tcW w:w="300" w:type="dxa"/>
            <w:vAlign w:val="bottom"/>
            <w:gridSpan w:val="10"/>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60" w:type="dxa"/>
            <w:vAlign w:val="bottom"/>
            <w:tcBorders>
              <w:bottom w:val="single" w:sz="8" w:color="0000EE"/>
            </w:tcBorders>
            <w:gridSpan w:val="23"/>
          </w:tcPr>
          <w:p>
            <w:pPr>
              <w:spacing w:after="0" w:line="190" w:lineRule="exact"/>
              <w:rPr>
                <w:rFonts w:ascii="Arial" w:cs="Arial" w:eastAsia="Arial" w:hAnsi="Arial"/>
                <w:sz w:val="18"/>
                <w:szCs w:val="18"/>
                <w:color w:val="0000EE"/>
                <w:w w:val="88"/>
              </w:rPr>
            </w:pPr>
            <w:hyperlink r:id="rId231">
              <w:r>
                <w:rPr>
                  <w:rFonts w:ascii="Arial" w:cs="Arial" w:eastAsia="Arial" w:hAnsi="Arial"/>
                  <w:sz w:val="18"/>
                  <w:szCs w:val="18"/>
                  <w:color w:val="0000EE"/>
                  <w:w w:val="88"/>
                </w:rPr>
                <w:t>June 21, 2011, by and between MSCI Inc. and BlackRock Institutional</w:t>
              </w:r>
            </w:hyperlink>
          </w:p>
        </w:tc>
        <w:tc>
          <w:tcPr>
            <w:tcW w:w="100" w:type="dxa"/>
            <w:vAlign w:val="bottom"/>
            <w:gridSpan w:val="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w w:val="93"/>
              </w:rPr>
            </w:pPr>
            <w:hyperlink r:id="rId231">
              <w:r>
                <w:rPr>
                  <w:rFonts w:ascii="Arial" w:cs="Arial" w:eastAsia="Arial" w:hAnsi="Arial"/>
                  <w:sz w:val="18"/>
                  <w:szCs w:val="18"/>
                  <w:color w:val="0000EE"/>
                  <w:w w:val="93"/>
                </w:rPr>
                <w:t>Trust Company, N.A. (formerly known as Barclays Global Investors,</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top w:val="single" w:sz="8" w:color="0000EE"/>
            </w:tcBorders>
            <w:gridSpan w:val="20"/>
          </w:tcPr>
          <w:p>
            <w:pPr>
              <w:spacing w:after="0" w:line="190" w:lineRule="exact"/>
              <w:rPr>
                <w:rFonts w:ascii="Arial" w:cs="Arial" w:eastAsia="Arial" w:hAnsi="Arial"/>
                <w:sz w:val="18"/>
                <w:szCs w:val="18"/>
                <w:color w:val="0000EE"/>
              </w:rPr>
            </w:pPr>
            <w:hyperlink r:id="rId231">
              <w:r>
                <w:rPr>
                  <w:rFonts w:ascii="Arial" w:cs="Arial" w:eastAsia="Arial" w:hAnsi="Arial"/>
                  <w:sz w:val="18"/>
                  <w:szCs w:val="18"/>
                  <w:color w:val="0000EE"/>
                </w:rPr>
                <w:t>N.A.)</w:t>
              </w:r>
            </w:hyperlink>
          </w:p>
        </w:tc>
        <w:tc>
          <w:tcPr>
            <w:tcW w:w="220" w:type="dxa"/>
            <w:vAlign w:val="bottom"/>
            <w:gridSpan w:val="6"/>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10.57††#</w:t>
            </w:r>
          </w:p>
        </w:tc>
        <w:tc>
          <w:tcPr>
            <w:tcW w:w="5060" w:type="dxa"/>
            <w:vAlign w:val="bottom"/>
            <w:tcBorders>
              <w:bottom w:val="single" w:sz="8" w:color="0000EE"/>
            </w:tcBorders>
            <w:gridSpan w:val="26"/>
          </w:tcPr>
          <w:p>
            <w:pPr>
              <w:spacing w:after="0" w:line="190" w:lineRule="exact"/>
              <w:rPr>
                <w:rFonts w:ascii="Arial" w:cs="Arial" w:eastAsia="Arial" w:hAnsi="Arial"/>
                <w:sz w:val="18"/>
                <w:szCs w:val="18"/>
                <w:color w:val="0000EE"/>
                <w:w w:val="87"/>
              </w:rPr>
            </w:pPr>
            <w:hyperlink r:id="rId232">
              <w:r>
                <w:rPr>
                  <w:rFonts w:ascii="Arial" w:cs="Arial" w:eastAsia="Arial" w:hAnsi="Arial"/>
                  <w:sz w:val="18"/>
                  <w:szCs w:val="18"/>
                  <w:color w:val="0000EE"/>
                  <w:w w:val="87"/>
                </w:rPr>
                <w:t>Amendment to the Index License Agreement for Funds, dated as of July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60" w:type="dxa"/>
            <w:vAlign w:val="bottom"/>
            <w:tcBorders>
              <w:bottom w:val="single" w:sz="8" w:color="0000EE"/>
            </w:tcBorders>
            <w:gridSpan w:val="23"/>
          </w:tcPr>
          <w:p>
            <w:pPr>
              <w:spacing w:after="0" w:line="190" w:lineRule="exact"/>
              <w:rPr>
                <w:rFonts w:ascii="Arial" w:cs="Arial" w:eastAsia="Arial" w:hAnsi="Arial"/>
                <w:sz w:val="18"/>
                <w:szCs w:val="18"/>
                <w:color w:val="0000EE"/>
                <w:w w:val="89"/>
              </w:rPr>
            </w:pPr>
            <w:hyperlink r:id="rId232">
              <w:r>
                <w:rPr>
                  <w:rFonts w:ascii="Arial" w:cs="Arial" w:eastAsia="Arial" w:hAnsi="Arial"/>
                  <w:sz w:val="18"/>
                  <w:szCs w:val="18"/>
                  <w:color w:val="0000EE"/>
                  <w:w w:val="89"/>
                </w:rPr>
                <w:t>1, 2011, by and between MSCI Inc. (formerly, Morgan Stanley Capital</w:t>
              </w:r>
            </w:hyperlink>
          </w:p>
        </w:tc>
        <w:tc>
          <w:tcPr>
            <w:tcW w:w="100" w:type="dxa"/>
            <w:vAlign w:val="bottom"/>
            <w:gridSpan w:val="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r:id="rId232">
              <w:r>
                <w:rPr>
                  <w:rFonts w:ascii="Arial" w:cs="Arial" w:eastAsia="Arial" w:hAnsi="Arial"/>
                  <w:sz w:val="18"/>
                  <w:szCs w:val="18"/>
                  <w:color w:val="0000EE"/>
                  <w:w w:val="90"/>
                </w:rPr>
                <w:t>International Inc.) and Blackrock Institutional Trust Company, N.A.</w:t>
              </w:r>
            </w:hyperlink>
          </w:p>
        </w:tc>
        <w:tc>
          <w:tcPr>
            <w:tcW w:w="280" w:type="dxa"/>
            <w:vAlign w:val="bottom"/>
            <w:gridSpan w:val="9"/>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32">
              <w:r>
                <w:rPr>
                  <w:rFonts w:ascii="Arial" w:cs="Arial" w:eastAsia="Arial" w:hAnsi="Arial"/>
                  <w:sz w:val="18"/>
                  <w:szCs w:val="18"/>
                  <w:color w:val="0000EE"/>
                </w:rPr>
                <w:t>(formerly,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10.58††#</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33">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233">
              <w:r>
                <w:rPr>
                  <w:rFonts w:ascii="Arial" w:cs="Arial" w:eastAsia="Arial" w:hAnsi="Arial"/>
                  <w:sz w:val="18"/>
                  <w:szCs w:val="18"/>
                  <w:color w:val="0000EE"/>
                  <w:w w:val="88"/>
                </w:rPr>
                <w:t>August 23, 2011, by and between MSCI Inc. and Blackrock</w:t>
              </w:r>
            </w:hyperlink>
          </w:p>
        </w:tc>
        <w:tc>
          <w:tcPr>
            <w:tcW w:w="860" w:type="dxa"/>
            <w:vAlign w:val="bottom"/>
            <w:gridSpan w:val="1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26"/>
          </w:tcPr>
          <w:p>
            <w:pPr>
              <w:spacing w:after="0" w:line="190" w:lineRule="exact"/>
              <w:rPr>
                <w:rFonts w:ascii="Arial" w:cs="Arial" w:eastAsia="Arial" w:hAnsi="Arial"/>
                <w:sz w:val="18"/>
                <w:szCs w:val="18"/>
                <w:color w:val="0000EE"/>
                <w:w w:val="90"/>
              </w:rPr>
            </w:pPr>
            <w:hyperlink r:id="rId233">
              <w:r>
                <w:rPr>
                  <w:rFonts w:ascii="Arial" w:cs="Arial" w:eastAsia="Arial" w:hAnsi="Arial"/>
                  <w:sz w:val="18"/>
                  <w:szCs w:val="18"/>
                  <w:color w:val="0000EE"/>
                  <w:w w:val="90"/>
                </w:rPr>
                <w:t>Institutional Trust Company, N.A. (formerly, Barclays Global Investors,</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33">
              <w:r>
                <w:rPr>
                  <w:rFonts w:ascii="Arial" w:cs="Arial" w:eastAsia="Arial" w:hAnsi="Arial"/>
                  <w:sz w:val="18"/>
                  <w:szCs w:val="18"/>
                  <w:color w:val="0000EE"/>
                </w:rPr>
                <w:t>N.A.)</w:t>
              </w:r>
            </w:hyperlink>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10.59</w:t>
            </w:r>
          </w:p>
        </w:tc>
        <w:tc>
          <w:tcPr>
            <w:tcW w:w="400" w:type="dxa"/>
            <w:vAlign w:val="bottom"/>
          </w:tcPr>
          <w:p>
            <w:pPr>
              <w:spacing w:after="0"/>
              <w:rPr>
                <w:sz w:val="16"/>
                <w:szCs w:val="16"/>
                <w:color w:val="auto"/>
              </w:rPr>
            </w:pP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34">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34">
              <w:r>
                <w:rPr>
                  <w:rFonts w:ascii="Arial" w:cs="Arial" w:eastAsia="Arial" w:hAnsi="Arial"/>
                  <w:sz w:val="18"/>
                  <w:szCs w:val="18"/>
                  <w:color w:val="0000EE"/>
                </w:rPr>
                <w:t>October 4, 2011, by and between MSCI Inc. and BlackRock</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Institutional Trust Company, N.A. (formerly known as Barclays Global</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top w:val="single" w:sz="8" w:color="0000EE"/>
              <w:bottom w:val="single" w:sz="8" w:color="0000EE"/>
            </w:tcBorders>
            <w:gridSpan w:val="5"/>
          </w:tcPr>
          <w:p>
            <w:pPr>
              <w:spacing w:after="0" w:line="190"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Investors, N.A.)</w:t>
              </w:r>
            </w:hyperlink>
          </w:p>
        </w:tc>
        <w:tc>
          <w:tcPr>
            <w:tcW w:w="3860" w:type="dxa"/>
            <w:vAlign w:val="bottom"/>
            <w:tcBorders>
              <w:top w:val="single" w:sz="8" w:color="0000EE"/>
            </w:tcBorders>
            <w:gridSpan w:val="19"/>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10.60††#</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35">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35">
              <w:r>
                <w:rPr>
                  <w:rFonts w:ascii="Arial" w:cs="Arial" w:eastAsia="Arial" w:hAnsi="Arial"/>
                  <w:sz w:val="18"/>
                  <w:szCs w:val="18"/>
                  <w:color w:val="0000EE"/>
                </w:rPr>
                <w:t>October 4, 2011, by and between MSCI Inc. and BlackRock</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26"/>
          </w:tcPr>
          <w:p>
            <w:pPr>
              <w:spacing w:after="0" w:line="190" w:lineRule="exact"/>
              <w:rPr>
                <w:rFonts w:ascii="Arial" w:cs="Arial" w:eastAsia="Arial" w:hAnsi="Arial"/>
                <w:sz w:val="18"/>
                <w:szCs w:val="18"/>
                <w:color w:val="0000EE"/>
                <w:w w:val="90"/>
              </w:rPr>
            </w:pPr>
            <w:hyperlink r:id="rId235">
              <w:r>
                <w:rPr>
                  <w:rFonts w:ascii="Arial" w:cs="Arial" w:eastAsia="Arial" w:hAnsi="Arial"/>
                  <w:sz w:val="18"/>
                  <w:szCs w:val="18"/>
                  <w:color w:val="0000EE"/>
                  <w:w w:val="90"/>
                </w:rPr>
                <w:t>Institutional Trust Company, N.A. (formerly, Barclays Global Investors,</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35">
              <w:r>
                <w:rPr>
                  <w:rFonts w:ascii="Arial" w:cs="Arial" w:eastAsia="Arial" w:hAnsi="Arial"/>
                  <w:sz w:val="18"/>
                  <w:szCs w:val="18"/>
                  <w:color w:val="0000EE"/>
                </w:rPr>
                <w:t>N.A.)</w:t>
              </w:r>
            </w:hyperlink>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10.61</w:t>
            </w:r>
          </w:p>
        </w:tc>
        <w:tc>
          <w:tcPr>
            <w:tcW w:w="400" w:type="dxa"/>
            <w:vAlign w:val="bottom"/>
          </w:tcPr>
          <w:p>
            <w:pPr>
              <w:spacing w:after="0"/>
              <w:rPr>
                <w:sz w:val="16"/>
                <w:szCs w:val="16"/>
                <w:color w:val="auto"/>
              </w:rPr>
            </w:pP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36">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36">
              <w:r>
                <w:rPr>
                  <w:rFonts w:ascii="Arial" w:cs="Arial" w:eastAsia="Arial" w:hAnsi="Arial"/>
                  <w:sz w:val="18"/>
                  <w:szCs w:val="18"/>
                  <w:color w:val="0000EE"/>
                  <w:w w:val="88"/>
                </w:rPr>
                <w:t>December 16, 2011, by and between MSCI Inc. (formerly, Morgan</w:t>
              </w:r>
            </w:hyperlink>
          </w:p>
        </w:tc>
        <w:tc>
          <w:tcPr>
            <w:tcW w:w="36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21"/>
          </w:tcPr>
          <w:p>
            <w:pPr>
              <w:spacing w:after="0" w:line="190" w:lineRule="exact"/>
              <w:rPr>
                <w:rFonts w:ascii="Arial" w:cs="Arial" w:eastAsia="Arial" w:hAnsi="Arial"/>
                <w:sz w:val="18"/>
                <w:szCs w:val="18"/>
                <w:color w:val="0000EE"/>
                <w:w w:val="90"/>
              </w:rPr>
            </w:pPr>
            <w:hyperlink r:id="rId236">
              <w:r>
                <w:rPr>
                  <w:rFonts w:ascii="Arial" w:cs="Arial" w:eastAsia="Arial" w:hAnsi="Arial"/>
                  <w:sz w:val="18"/>
                  <w:szCs w:val="18"/>
                  <w:color w:val="0000EE"/>
                  <w:w w:val="90"/>
                </w:rPr>
                <w:t>Stanley Capital International, Inc.) and BlackRock Institutional Trust</w:t>
              </w:r>
            </w:hyperlink>
          </w:p>
        </w:tc>
        <w:tc>
          <w:tcPr>
            <w:tcW w:w="20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rPr>
            </w:pPr>
            <w:hyperlink r:id="rId236">
              <w:r>
                <w:rPr>
                  <w:rFonts w:ascii="Arial" w:cs="Arial" w:eastAsia="Arial" w:hAnsi="Arial"/>
                  <w:sz w:val="18"/>
                  <w:szCs w:val="18"/>
                  <w:color w:val="0000EE"/>
                </w:rPr>
                <w:t>Company, N.A. (formerly,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10.62††#</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37">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6"/>
          </w:tcPr>
          <w:p>
            <w:pPr>
              <w:spacing w:after="0" w:line="190" w:lineRule="exact"/>
              <w:rPr>
                <w:rFonts w:ascii="Arial" w:cs="Arial" w:eastAsia="Arial" w:hAnsi="Arial"/>
                <w:sz w:val="18"/>
                <w:szCs w:val="18"/>
                <w:color w:val="0000EE"/>
                <w:w w:val="97"/>
              </w:rPr>
            </w:pPr>
            <w:hyperlink r:id="rId237">
              <w:r>
                <w:rPr>
                  <w:rFonts w:ascii="Arial" w:cs="Arial" w:eastAsia="Arial" w:hAnsi="Arial"/>
                  <w:sz w:val="18"/>
                  <w:szCs w:val="18"/>
                  <w:color w:val="0000EE"/>
                  <w:w w:val="97"/>
                </w:rPr>
                <w:t>February 16, 2012,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 w:lineRule="exact"/>
        <w:rPr>
          <w:sz w:val="20"/>
          <w:szCs w:val="20"/>
          <w:color w:val="auto"/>
        </w:rPr>
      </w:pPr>
    </w:p>
    <w:p>
      <w:pPr>
        <w:ind w:left="960" w:right="300"/>
        <w:spacing w:after="0" w:line="324" w:lineRule="auto"/>
        <w:rPr>
          <w:rFonts w:ascii="Arial" w:cs="Arial" w:eastAsia="Arial" w:hAnsi="Arial"/>
          <w:sz w:val="16"/>
          <w:szCs w:val="16"/>
          <w:u w:val="single" w:color="auto"/>
          <w:color w:val="0000EE"/>
        </w:rPr>
      </w:pPr>
      <w:hyperlink r:id="rId237">
        <w:r>
          <w:rPr>
            <w:rFonts w:ascii="Arial" w:cs="Arial" w:eastAsia="Arial" w:hAnsi="Arial"/>
            <w:sz w:val="16"/>
            <w:szCs w:val="16"/>
            <w:u w:val="single" w:color="auto"/>
            <w:color w:val="0000EE"/>
          </w:rPr>
          <w:t>Stanley Capital International Inc.) and BlackRock Institutional Trust</w:t>
        </w:r>
      </w:hyperlink>
      <w:r>
        <w:rPr>
          <w:rFonts w:ascii="Arial" w:cs="Arial" w:eastAsia="Arial" w:hAnsi="Arial"/>
          <w:sz w:val="16"/>
          <w:szCs w:val="16"/>
          <w:u w:val="single" w:color="auto"/>
          <w:color w:val="0000EE"/>
        </w:rPr>
        <w:t xml:space="preserve"> </w:t>
      </w:r>
      <w:hyperlink r:id="rId237">
        <w:r>
          <w:rPr>
            <w:rFonts w:ascii="Arial" w:cs="Arial" w:eastAsia="Arial" w:hAnsi="Arial"/>
            <w:sz w:val="16"/>
            <w:szCs w:val="16"/>
            <w:u w:val="single" w:color="auto"/>
            <w:color w:val="0000EE"/>
          </w:rPr>
          <w:t>Company, N.A. (formerly, Barclays Global Investors, N.A.)</w:t>
        </w:r>
      </w:hyperlink>
    </w:p>
    <w:p>
      <w:pPr>
        <w:spacing w:after="0" w:line="13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64135</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10.58</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2/29/2012</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10.59</w:t>
            </w:r>
          </w:p>
        </w:tc>
        <w:tc>
          <w:tcPr>
            <w:tcW w:w="140" w:type="dxa"/>
            <w:vAlign w:val="bottom"/>
          </w:tcPr>
          <w:p>
            <w:pPr>
              <w:spacing w:after="0"/>
              <w:rPr>
                <w:sz w:val="24"/>
                <w:szCs w:val="24"/>
                <w:color w:val="auto"/>
              </w:rPr>
            </w:pPr>
          </w:p>
        </w:tc>
        <w:tc>
          <w:tcPr>
            <w:tcW w:w="860" w:type="dxa"/>
            <w:vAlign w:val="bottom"/>
            <w:gridSpan w:val="3"/>
          </w:tcPr>
          <w:p>
            <w:pPr>
              <w:jc w:val="center"/>
              <w:ind w:left="74"/>
              <w:spacing w:after="0"/>
              <w:rPr>
                <w:sz w:val="20"/>
                <w:szCs w:val="20"/>
                <w:color w:val="auto"/>
              </w:rPr>
            </w:pPr>
            <w:r>
              <w:rPr>
                <w:rFonts w:ascii="Arial" w:cs="Arial" w:eastAsia="Arial" w:hAnsi="Arial"/>
                <w:sz w:val="18"/>
                <w:szCs w:val="18"/>
                <w:color w:val="auto"/>
                <w:w w:val="87"/>
              </w:rPr>
              <w:t>1/31/2011</w:t>
            </w:r>
          </w:p>
        </w:tc>
      </w:tr>
      <w:tr>
        <w:trPr>
          <w:trHeight w:val="42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2/29/2012</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2/29/2012</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10.55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10.67</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2/29/2012</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bl>
    <w:p>
      <w:pPr>
        <w:sectPr>
          <w:pgSz w:w="11900" w:h="16838" w:orient="portrait"/>
          <w:cols w:equalWidth="0" w:num="2">
            <w:col w:w="6060" w:space="720"/>
            <w:col w:w="3980"/>
          </w:cols>
          <w:pgMar w:left="620" w:top="332" w:right="51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2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2220" w:type="dxa"/>
            <w:vAlign w:val="bottom"/>
          </w:tcPr>
          <w:p>
            <w:pPr>
              <w:spacing w:after="0"/>
              <w:rPr>
                <w:sz w:val="12"/>
                <w:szCs w:val="12"/>
                <w:color w:val="auto"/>
              </w:rPr>
            </w:pPr>
          </w:p>
        </w:tc>
        <w:tc>
          <w:tcPr>
            <w:tcW w:w="2840" w:type="dxa"/>
            <w:vAlign w:val="bottom"/>
            <w:gridSpan w:val="13"/>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10.63††#</w:t>
            </w:r>
          </w:p>
        </w:tc>
        <w:tc>
          <w:tcPr>
            <w:tcW w:w="4760" w:type="dxa"/>
            <w:vAlign w:val="bottom"/>
            <w:tcBorders>
              <w:bottom w:val="single" w:sz="8" w:color="0000EE"/>
            </w:tcBorders>
            <w:gridSpan w:val="9"/>
          </w:tcPr>
          <w:p>
            <w:pPr>
              <w:spacing w:after="0"/>
              <w:rPr>
                <w:rFonts w:ascii="Arial" w:cs="Arial" w:eastAsia="Arial" w:hAnsi="Arial"/>
                <w:sz w:val="18"/>
                <w:szCs w:val="18"/>
                <w:color w:val="0000EE"/>
                <w:w w:val="88"/>
              </w:rPr>
            </w:pPr>
            <w:hyperlink r:id="rId239">
              <w:r>
                <w:rPr>
                  <w:rFonts w:ascii="Arial" w:cs="Arial" w:eastAsia="Arial" w:hAnsi="Arial"/>
                  <w:sz w:val="18"/>
                  <w:szCs w:val="18"/>
                  <w:color w:val="0000EE"/>
                  <w:w w:val="88"/>
                </w:rPr>
                <w:t>Amendment to the Index License Agreement for Funds, dated as of</w:t>
              </w:r>
            </w:hyperlink>
          </w:p>
        </w:tc>
        <w:tc>
          <w:tcPr>
            <w:tcW w:w="300" w:type="dxa"/>
            <w:vAlign w:val="bottom"/>
            <w:gridSpan w:val="5"/>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w w:val="94"/>
              </w:rPr>
            </w:pPr>
            <w:hyperlink r:id="rId239">
              <w:r>
                <w:rPr>
                  <w:rFonts w:ascii="Arial" w:cs="Arial" w:eastAsia="Arial" w:hAnsi="Arial"/>
                  <w:sz w:val="18"/>
                  <w:szCs w:val="18"/>
                  <w:color w:val="0000EE"/>
                  <w:w w:val="94"/>
                </w:rPr>
                <w:t>April 9, 2012,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r:id="rId239">
              <w:r>
                <w:rPr>
                  <w:rFonts w:ascii="Arial" w:cs="Arial" w:eastAsia="Arial" w:hAnsi="Arial"/>
                  <w:sz w:val="18"/>
                  <w:szCs w:val="18"/>
                  <w:color w:val="0000EE"/>
                  <w:w w:val="89"/>
                </w:rPr>
                <w:t>Capital International Inc.) and BlackRock Institutional Trust Company,</w:t>
              </w:r>
            </w:hyperlink>
          </w:p>
        </w:tc>
        <w:tc>
          <w:tcPr>
            <w:tcW w:w="6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rPr>
            </w:pPr>
            <w:hyperlink r:id="rId239">
              <w:r>
                <w:rPr>
                  <w:rFonts w:ascii="Arial" w:cs="Arial" w:eastAsia="Arial" w:hAnsi="Arial"/>
                  <w:sz w:val="18"/>
                  <w:szCs w:val="18"/>
                  <w:color w:val="0000EE"/>
                </w:rPr>
                <w:t>N.A. (formerly,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10.64††#</w:t>
            </w:r>
          </w:p>
        </w:tc>
        <w:tc>
          <w:tcPr>
            <w:tcW w:w="4760" w:type="dxa"/>
            <w:vAlign w:val="bottom"/>
            <w:tcBorders>
              <w:bottom w:val="single" w:sz="8" w:color="0000EE"/>
            </w:tcBorders>
            <w:gridSpan w:val="9"/>
          </w:tcPr>
          <w:p>
            <w:pPr>
              <w:spacing w:after="0" w:line="190" w:lineRule="exact"/>
              <w:rPr>
                <w:rFonts w:ascii="Arial" w:cs="Arial" w:eastAsia="Arial" w:hAnsi="Arial"/>
                <w:sz w:val="18"/>
                <w:szCs w:val="18"/>
                <w:color w:val="0000EE"/>
                <w:w w:val="88"/>
              </w:rPr>
            </w:pPr>
            <w:hyperlink r:id="rId240">
              <w:r>
                <w:rPr>
                  <w:rFonts w:ascii="Arial" w:cs="Arial" w:eastAsia="Arial" w:hAnsi="Arial"/>
                  <w:sz w:val="18"/>
                  <w:szCs w:val="18"/>
                  <w:color w:val="0000EE"/>
                  <w:w w:val="88"/>
                </w:rPr>
                <w:t>Amendment to the Index License Agreement for Funds, dated as of</w:t>
              </w:r>
            </w:hyperlink>
          </w:p>
        </w:tc>
        <w:tc>
          <w:tcPr>
            <w:tcW w:w="30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40">
              <w:r>
                <w:rPr>
                  <w:rFonts w:ascii="Arial" w:cs="Arial" w:eastAsia="Arial" w:hAnsi="Arial"/>
                  <w:sz w:val="18"/>
                  <w:szCs w:val="18"/>
                  <w:color w:val="0000EE"/>
                  <w:w w:val="88"/>
                </w:rPr>
                <w:t>June 1, 2012, by and between MSCI Inc. (formerly, Morgan Stanley</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r:id="rId240">
              <w:r>
                <w:rPr>
                  <w:rFonts w:ascii="Arial" w:cs="Arial" w:eastAsia="Arial" w:hAnsi="Arial"/>
                  <w:sz w:val="18"/>
                  <w:szCs w:val="18"/>
                  <w:color w:val="0000EE"/>
                  <w:w w:val="89"/>
                </w:rPr>
                <w:t>Capital International Inc.) and BlackRock Institutional Trust Company,</w:t>
              </w:r>
            </w:hyperlink>
          </w:p>
        </w:tc>
        <w:tc>
          <w:tcPr>
            <w:tcW w:w="6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rPr>
            </w:pPr>
            <w:hyperlink r:id="rId240">
              <w:r>
                <w:rPr>
                  <w:rFonts w:ascii="Arial" w:cs="Arial" w:eastAsia="Arial" w:hAnsi="Arial"/>
                  <w:sz w:val="18"/>
                  <w:szCs w:val="18"/>
                  <w:color w:val="0000EE"/>
                </w:rPr>
                <w:t>N.A. (formerly,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10.65††#</w:t>
            </w:r>
          </w:p>
        </w:tc>
        <w:tc>
          <w:tcPr>
            <w:tcW w:w="4760" w:type="dxa"/>
            <w:vAlign w:val="bottom"/>
            <w:tcBorders>
              <w:bottom w:val="single" w:sz="8" w:color="0000EE"/>
            </w:tcBorders>
            <w:gridSpan w:val="9"/>
          </w:tcPr>
          <w:p>
            <w:pPr>
              <w:spacing w:after="0" w:line="190" w:lineRule="exact"/>
              <w:rPr>
                <w:rFonts w:ascii="Arial" w:cs="Arial" w:eastAsia="Arial" w:hAnsi="Arial"/>
                <w:sz w:val="18"/>
                <w:szCs w:val="18"/>
                <w:color w:val="0000EE"/>
                <w:w w:val="88"/>
              </w:rPr>
            </w:pPr>
            <w:hyperlink r:id="rId241">
              <w:r>
                <w:rPr>
                  <w:rFonts w:ascii="Arial" w:cs="Arial" w:eastAsia="Arial" w:hAnsi="Arial"/>
                  <w:sz w:val="18"/>
                  <w:szCs w:val="18"/>
                  <w:color w:val="0000EE"/>
                  <w:w w:val="88"/>
                </w:rPr>
                <w:t>Amendment to the Index License Agreement for Funds, dated as of</w:t>
              </w:r>
            </w:hyperlink>
          </w:p>
        </w:tc>
        <w:tc>
          <w:tcPr>
            <w:tcW w:w="30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241">
              <w:r>
                <w:rPr>
                  <w:rFonts w:ascii="Arial" w:cs="Arial" w:eastAsia="Arial" w:hAnsi="Arial"/>
                  <w:sz w:val="18"/>
                  <w:szCs w:val="18"/>
                  <w:color w:val="0000EE"/>
                  <w:w w:val="89"/>
                </w:rPr>
                <w:t>August 17, 2012, by and between MSCI Inc. (formerly, Morgan Stanley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r:id="rId241">
              <w:r>
                <w:rPr>
                  <w:rFonts w:ascii="Arial" w:cs="Arial" w:eastAsia="Arial" w:hAnsi="Arial"/>
                  <w:sz w:val="18"/>
                  <w:szCs w:val="18"/>
                  <w:color w:val="0000EE"/>
                  <w:w w:val="89"/>
                </w:rPr>
                <w:t>Capital International Inc.) and BlackRock Institutional Trust Company,</w:t>
              </w:r>
            </w:hyperlink>
          </w:p>
        </w:tc>
        <w:tc>
          <w:tcPr>
            <w:tcW w:w="6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rPr>
            </w:pPr>
            <w:hyperlink r:id="rId241">
              <w:r>
                <w:rPr>
                  <w:rFonts w:ascii="Arial" w:cs="Arial" w:eastAsia="Arial" w:hAnsi="Arial"/>
                  <w:sz w:val="18"/>
                  <w:szCs w:val="18"/>
                  <w:color w:val="0000EE"/>
                </w:rPr>
                <w:t>N.A. (formerly,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10.66††#</w:t>
            </w:r>
          </w:p>
        </w:tc>
        <w:tc>
          <w:tcPr>
            <w:tcW w:w="4760" w:type="dxa"/>
            <w:vAlign w:val="bottom"/>
            <w:tcBorders>
              <w:bottom w:val="single" w:sz="8" w:color="0000EE"/>
            </w:tcBorders>
            <w:gridSpan w:val="9"/>
          </w:tcPr>
          <w:p>
            <w:pPr>
              <w:spacing w:after="0" w:line="190" w:lineRule="exact"/>
              <w:rPr>
                <w:rFonts w:ascii="Arial" w:cs="Arial" w:eastAsia="Arial" w:hAnsi="Arial"/>
                <w:sz w:val="18"/>
                <w:szCs w:val="18"/>
                <w:color w:val="0000EE"/>
                <w:w w:val="88"/>
              </w:rPr>
            </w:pPr>
            <w:hyperlink r:id="rId242">
              <w:r>
                <w:rPr>
                  <w:rFonts w:ascii="Arial" w:cs="Arial" w:eastAsia="Arial" w:hAnsi="Arial"/>
                  <w:sz w:val="18"/>
                  <w:szCs w:val="18"/>
                  <w:color w:val="0000EE"/>
                  <w:w w:val="88"/>
                </w:rPr>
                <w:t>Amendment to the Index License Agreement for Funds, dated as of</w:t>
              </w:r>
            </w:hyperlink>
          </w:p>
        </w:tc>
        <w:tc>
          <w:tcPr>
            <w:tcW w:w="30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242">
              <w:r>
                <w:rPr>
                  <w:rFonts w:ascii="Arial" w:cs="Arial" w:eastAsia="Arial" w:hAnsi="Arial"/>
                  <w:sz w:val="18"/>
                  <w:szCs w:val="18"/>
                  <w:color w:val="0000EE"/>
                  <w:w w:val="89"/>
                </w:rPr>
                <w:t>August 20, 2012, by and between MSCI Inc. (formerly, Morgan Stanley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r:id="rId242">
              <w:r>
                <w:rPr>
                  <w:rFonts w:ascii="Arial" w:cs="Arial" w:eastAsia="Arial" w:hAnsi="Arial"/>
                  <w:sz w:val="18"/>
                  <w:szCs w:val="18"/>
                  <w:color w:val="0000EE"/>
                  <w:w w:val="89"/>
                </w:rPr>
                <w:t>Capital International Inc.) and BlackRock Institutional Trust Company,</w:t>
              </w:r>
            </w:hyperlink>
          </w:p>
        </w:tc>
        <w:tc>
          <w:tcPr>
            <w:tcW w:w="6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rPr>
            </w:pPr>
            <w:hyperlink r:id="rId242">
              <w:r>
                <w:rPr>
                  <w:rFonts w:ascii="Arial" w:cs="Arial" w:eastAsia="Arial" w:hAnsi="Arial"/>
                  <w:sz w:val="18"/>
                  <w:szCs w:val="18"/>
                  <w:color w:val="0000EE"/>
                </w:rPr>
                <w:t>N.A. (formerly,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10.67††#</w:t>
            </w:r>
          </w:p>
        </w:tc>
        <w:tc>
          <w:tcPr>
            <w:tcW w:w="4740" w:type="dxa"/>
            <w:vAlign w:val="bottom"/>
            <w:tcBorders>
              <w:bottom w:val="single" w:sz="8" w:color="0000EE"/>
            </w:tcBorders>
            <w:gridSpan w:val="8"/>
          </w:tcPr>
          <w:p>
            <w:pPr>
              <w:spacing w:after="0" w:line="190" w:lineRule="exact"/>
              <w:rPr>
                <w:rFonts w:ascii="Arial" w:cs="Arial" w:eastAsia="Arial" w:hAnsi="Arial"/>
                <w:sz w:val="18"/>
                <w:szCs w:val="18"/>
                <w:color w:val="0000EE"/>
                <w:w w:val="88"/>
              </w:rPr>
            </w:pPr>
            <w:hyperlink r:id="rId243">
              <w:r>
                <w:rPr>
                  <w:rFonts w:ascii="Arial" w:cs="Arial" w:eastAsia="Arial" w:hAnsi="Arial"/>
                  <w:sz w:val="18"/>
                  <w:szCs w:val="18"/>
                  <w:color w:val="0000EE"/>
                  <w:w w:val="88"/>
                </w:rPr>
                <w:t>Amendment to the Index License Agreement for Funds, dated as of</w:t>
              </w:r>
            </w:hyperlink>
          </w:p>
        </w:tc>
        <w:tc>
          <w:tcPr>
            <w:tcW w:w="32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w w:val="97"/>
              </w:rPr>
            </w:pPr>
            <w:hyperlink r:id="rId243">
              <w:r>
                <w:rPr>
                  <w:rFonts w:ascii="Arial" w:cs="Arial" w:eastAsia="Arial" w:hAnsi="Arial"/>
                  <w:sz w:val="18"/>
                  <w:szCs w:val="18"/>
                  <w:color w:val="0000EE"/>
                  <w:w w:val="97"/>
                </w:rPr>
                <w:t>November 6, 2012,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w w:val="94"/>
              </w:rPr>
            </w:pPr>
            <w:hyperlink r:id="rId243">
              <w:r>
                <w:rPr>
                  <w:rFonts w:ascii="Arial" w:cs="Arial" w:eastAsia="Arial" w:hAnsi="Arial"/>
                  <w:sz w:val="18"/>
                  <w:szCs w:val="18"/>
                  <w:color w:val="0000EE"/>
                  <w:w w:val="94"/>
                </w:rPr>
                <w:t>Stanley Capital International Inc.) and BlackRock Institutional Trust</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20" w:type="dxa"/>
            <w:vAlign w:val="bottom"/>
            <w:tcBorders>
              <w:top w:val="single" w:sz="8" w:color="0000EE"/>
              <w:bottom w:val="single" w:sz="8" w:color="0000EE"/>
            </w:tcBorders>
            <w:gridSpan w:val="5"/>
          </w:tcPr>
          <w:p>
            <w:pPr>
              <w:spacing w:after="0" w:line="190" w:lineRule="exact"/>
              <w:rPr>
                <w:rFonts w:ascii="Arial" w:cs="Arial" w:eastAsia="Arial" w:hAnsi="Arial"/>
                <w:sz w:val="18"/>
                <w:szCs w:val="18"/>
                <w:color w:val="0000EE"/>
                <w:w w:val="90"/>
              </w:rPr>
            </w:pPr>
            <w:hyperlink r:id="rId243">
              <w:r>
                <w:rPr>
                  <w:rFonts w:ascii="Arial" w:cs="Arial" w:eastAsia="Arial" w:hAnsi="Arial"/>
                  <w:sz w:val="18"/>
                  <w:szCs w:val="18"/>
                  <w:color w:val="0000EE"/>
                  <w:w w:val="90"/>
                </w:rPr>
                <w:t>Company, N.A. (formerly, Barclays Global Investors, N.A.)</w:t>
              </w:r>
            </w:hyperlink>
          </w:p>
        </w:tc>
        <w:tc>
          <w:tcPr>
            <w:tcW w:w="600" w:type="dxa"/>
            <w:vAlign w:val="bottom"/>
            <w:tcBorders>
              <w:top w:val="single" w:sz="8" w:color="0000EE"/>
            </w:tcBorders>
            <w:gridSpan w:val="6"/>
          </w:tcPr>
          <w:p>
            <w:pPr>
              <w:spacing w:after="0"/>
              <w:rPr>
                <w:sz w:val="16"/>
                <w:szCs w:val="16"/>
                <w:color w:val="auto"/>
              </w:rPr>
            </w:pPr>
          </w:p>
        </w:tc>
        <w:tc>
          <w:tcPr>
            <w:tcW w:w="240" w:type="dxa"/>
            <w:vAlign w:val="bottom"/>
            <w:gridSpan w:val="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10.68††#</w:t>
            </w:r>
          </w:p>
        </w:tc>
        <w:tc>
          <w:tcPr>
            <w:tcW w:w="4740" w:type="dxa"/>
            <w:vAlign w:val="bottom"/>
            <w:tcBorders>
              <w:bottom w:val="single" w:sz="8" w:color="0000EE"/>
            </w:tcBorders>
            <w:gridSpan w:val="8"/>
          </w:tcPr>
          <w:p>
            <w:pPr>
              <w:spacing w:after="0" w:line="190" w:lineRule="exact"/>
              <w:rPr>
                <w:rFonts w:ascii="Arial" w:cs="Arial" w:eastAsia="Arial" w:hAnsi="Arial"/>
                <w:sz w:val="18"/>
                <w:szCs w:val="18"/>
                <w:color w:val="0000EE"/>
                <w:w w:val="88"/>
              </w:rPr>
            </w:pPr>
            <w:hyperlink r:id="rId244">
              <w:r>
                <w:rPr>
                  <w:rFonts w:ascii="Arial" w:cs="Arial" w:eastAsia="Arial" w:hAnsi="Arial"/>
                  <w:sz w:val="18"/>
                  <w:szCs w:val="18"/>
                  <w:color w:val="0000EE"/>
                  <w:w w:val="88"/>
                </w:rPr>
                <w:t>Amendment to the Index License Agreement for Funds, dated as of</w:t>
              </w:r>
            </w:hyperlink>
          </w:p>
        </w:tc>
        <w:tc>
          <w:tcPr>
            <w:tcW w:w="32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r:id="rId244">
              <w:r>
                <w:rPr>
                  <w:rFonts w:ascii="Arial" w:cs="Arial" w:eastAsia="Arial" w:hAnsi="Arial"/>
                  <w:sz w:val="18"/>
                  <w:szCs w:val="18"/>
                  <w:color w:val="0000EE"/>
                  <w:w w:val="89"/>
                </w:rPr>
                <w:t>November 15, 2012, by and between MSCI Inc. (formerly, Morgan</w:t>
              </w:r>
            </w:hyperlink>
          </w:p>
        </w:tc>
        <w:tc>
          <w:tcPr>
            <w:tcW w:w="34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w w:val="94"/>
              </w:rPr>
            </w:pPr>
            <w:hyperlink r:id="rId244">
              <w:r>
                <w:rPr>
                  <w:rFonts w:ascii="Arial" w:cs="Arial" w:eastAsia="Arial" w:hAnsi="Arial"/>
                  <w:sz w:val="18"/>
                  <w:szCs w:val="18"/>
                  <w:color w:val="0000EE"/>
                  <w:w w:val="94"/>
                </w:rPr>
                <w:t>Stanley Capital International Inc.) and BlackRock Institutional Trust</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20" w:type="dxa"/>
            <w:vAlign w:val="bottom"/>
            <w:tcBorders>
              <w:top w:val="single" w:sz="8" w:color="0000EE"/>
              <w:bottom w:val="single" w:sz="8" w:color="0000EE"/>
            </w:tcBorders>
            <w:gridSpan w:val="5"/>
          </w:tcPr>
          <w:p>
            <w:pPr>
              <w:spacing w:after="0" w:line="190" w:lineRule="exact"/>
              <w:rPr>
                <w:rFonts w:ascii="Arial" w:cs="Arial" w:eastAsia="Arial" w:hAnsi="Arial"/>
                <w:sz w:val="18"/>
                <w:szCs w:val="18"/>
                <w:color w:val="0000EE"/>
                <w:w w:val="90"/>
              </w:rPr>
            </w:pPr>
            <w:hyperlink r:id="rId244">
              <w:r>
                <w:rPr>
                  <w:rFonts w:ascii="Arial" w:cs="Arial" w:eastAsia="Arial" w:hAnsi="Arial"/>
                  <w:sz w:val="18"/>
                  <w:szCs w:val="18"/>
                  <w:color w:val="0000EE"/>
                  <w:w w:val="90"/>
                </w:rPr>
                <w:t>Company, N.A. (formerly, Barclays Global Investors, N.A.)</w:t>
              </w:r>
            </w:hyperlink>
          </w:p>
        </w:tc>
        <w:tc>
          <w:tcPr>
            <w:tcW w:w="600" w:type="dxa"/>
            <w:vAlign w:val="bottom"/>
            <w:tcBorders>
              <w:top w:val="single" w:sz="8" w:color="0000EE"/>
            </w:tcBorders>
            <w:gridSpan w:val="6"/>
          </w:tcPr>
          <w:p>
            <w:pPr>
              <w:spacing w:after="0"/>
              <w:rPr>
                <w:sz w:val="16"/>
                <w:szCs w:val="16"/>
                <w:color w:val="auto"/>
              </w:rPr>
            </w:pPr>
          </w:p>
        </w:tc>
        <w:tc>
          <w:tcPr>
            <w:tcW w:w="240" w:type="dxa"/>
            <w:vAlign w:val="bottom"/>
            <w:gridSpan w:val="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10.69††#</w:t>
            </w:r>
          </w:p>
        </w:tc>
        <w:tc>
          <w:tcPr>
            <w:tcW w:w="4740" w:type="dxa"/>
            <w:vAlign w:val="bottom"/>
            <w:tcBorders>
              <w:bottom w:val="single" w:sz="8" w:color="0000EE"/>
            </w:tcBorders>
            <w:gridSpan w:val="8"/>
          </w:tcPr>
          <w:p>
            <w:pPr>
              <w:spacing w:after="0" w:line="190" w:lineRule="exact"/>
              <w:rPr>
                <w:rFonts w:ascii="Arial" w:cs="Arial" w:eastAsia="Arial" w:hAnsi="Arial"/>
                <w:sz w:val="18"/>
                <w:szCs w:val="18"/>
                <w:color w:val="0000EE"/>
                <w:w w:val="88"/>
              </w:rPr>
            </w:pPr>
            <w:hyperlink r:id="rId245">
              <w:r>
                <w:rPr>
                  <w:rFonts w:ascii="Arial" w:cs="Arial" w:eastAsia="Arial" w:hAnsi="Arial"/>
                  <w:sz w:val="18"/>
                  <w:szCs w:val="18"/>
                  <w:color w:val="0000EE"/>
                  <w:w w:val="88"/>
                </w:rPr>
                <w:t>Amendment to the Index License Agreement for Funds, dated as of</w:t>
              </w:r>
            </w:hyperlink>
          </w:p>
        </w:tc>
        <w:tc>
          <w:tcPr>
            <w:tcW w:w="32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w w:val="97"/>
              </w:rPr>
            </w:pPr>
            <w:hyperlink r:id="rId245">
              <w:r>
                <w:rPr>
                  <w:rFonts w:ascii="Arial" w:cs="Arial" w:eastAsia="Arial" w:hAnsi="Arial"/>
                  <w:sz w:val="18"/>
                  <w:szCs w:val="18"/>
                  <w:color w:val="0000EE"/>
                  <w:w w:val="97"/>
                </w:rPr>
                <w:t>February 21, 2013,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w w:val="94"/>
              </w:rPr>
            </w:pPr>
            <w:hyperlink r:id="rId245">
              <w:r>
                <w:rPr>
                  <w:rFonts w:ascii="Arial" w:cs="Arial" w:eastAsia="Arial" w:hAnsi="Arial"/>
                  <w:sz w:val="18"/>
                  <w:szCs w:val="18"/>
                  <w:color w:val="0000EE"/>
                  <w:w w:val="94"/>
                </w:rPr>
                <w:t>Stanley Capital International Inc.) and BlackRock Institutional Trust</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20" w:type="dxa"/>
            <w:vAlign w:val="bottom"/>
            <w:tcBorders>
              <w:top w:val="single" w:sz="8" w:color="0000EE"/>
              <w:bottom w:val="single" w:sz="8" w:color="0000EE"/>
            </w:tcBorders>
            <w:gridSpan w:val="5"/>
          </w:tcPr>
          <w:p>
            <w:pPr>
              <w:spacing w:after="0" w:line="190" w:lineRule="exact"/>
              <w:rPr>
                <w:rFonts w:ascii="Arial" w:cs="Arial" w:eastAsia="Arial" w:hAnsi="Arial"/>
                <w:sz w:val="18"/>
                <w:szCs w:val="18"/>
                <w:color w:val="0000EE"/>
                <w:w w:val="90"/>
              </w:rPr>
            </w:pPr>
            <w:hyperlink r:id="rId245">
              <w:r>
                <w:rPr>
                  <w:rFonts w:ascii="Arial" w:cs="Arial" w:eastAsia="Arial" w:hAnsi="Arial"/>
                  <w:sz w:val="18"/>
                  <w:szCs w:val="18"/>
                  <w:color w:val="0000EE"/>
                  <w:w w:val="90"/>
                </w:rPr>
                <w:t>Company, N.A. (formerly, Barclays Global Investors, N.A.)</w:t>
              </w:r>
            </w:hyperlink>
          </w:p>
        </w:tc>
        <w:tc>
          <w:tcPr>
            <w:tcW w:w="600" w:type="dxa"/>
            <w:vAlign w:val="bottom"/>
            <w:tcBorders>
              <w:top w:val="single" w:sz="8" w:color="0000EE"/>
            </w:tcBorders>
            <w:gridSpan w:val="6"/>
          </w:tcPr>
          <w:p>
            <w:pPr>
              <w:spacing w:after="0"/>
              <w:rPr>
                <w:sz w:val="16"/>
                <w:szCs w:val="16"/>
                <w:color w:val="auto"/>
              </w:rPr>
            </w:pPr>
          </w:p>
        </w:tc>
        <w:tc>
          <w:tcPr>
            <w:tcW w:w="240" w:type="dxa"/>
            <w:vAlign w:val="bottom"/>
            <w:gridSpan w:val="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10.70††#</w:t>
            </w:r>
          </w:p>
        </w:tc>
        <w:tc>
          <w:tcPr>
            <w:tcW w:w="4760" w:type="dxa"/>
            <w:vAlign w:val="bottom"/>
            <w:tcBorders>
              <w:bottom w:val="single" w:sz="8" w:color="0000EE"/>
            </w:tcBorders>
            <w:gridSpan w:val="9"/>
          </w:tcPr>
          <w:p>
            <w:pPr>
              <w:spacing w:after="0" w:line="190" w:lineRule="exact"/>
              <w:rPr>
                <w:rFonts w:ascii="Arial" w:cs="Arial" w:eastAsia="Arial" w:hAnsi="Arial"/>
                <w:sz w:val="18"/>
                <w:szCs w:val="18"/>
                <w:color w:val="0000EE"/>
                <w:w w:val="88"/>
              </w:rPr>
            </w:pPr>
            <w:hyperlink r:id="rId246">
              <w:r>
                <w:rPr>
                  <w:rFonts w:ascii="Arial" w:cs="Arial" w:eastAsia="Arial" w:hAnsi="Arial"/>
                  <w:sz w:val="18"/>
                  <w:szCs w:val="18"/>
                  <w:color w:val="0000EE"/>
                  <w:w w:val="88"/>
                </w:rPr>
                <w:t>Amendment to the Index License Agreement for Funds, dated as of</w:t>
              </w:r>
            </w:hyperlink>
          </w:p>
        </w:tc>
        <w:tc>
          <w:tcPr>
            <w:tcW w:w="30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r:id="rId246">
              <w:r>
                <w:rPr>
                  <w:rFonts w:ascii="Arial" w:cs="Arial" w:eastAsia="Arial" w:hAnsi="Arial"/>
                  <w:sz w:val="18"/>
                  <w:szCs w:val="18"/>
                  <w:color w:val="0000EE"/>
                  <w:w w:val="89"/>
                </w:rPr>
                <w:t>March 20, 2013, by and between MSCI Inc. (formerly, Morgan Stanley</w:t>
              </w:r>
            </w:hyperlink>
          </w:p>
        </w:tc>
        <w:tc>
          <w:tcPr>
            <w:tcW w:w="4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r:id="rId246">
              <w:r>
                <w:rPr>
                  <w:rFonts w:ascii="Arial" w:cs="Arial" w:eastAsia="Arial" w:hAnsi="Arial"/>
                  <w:sz w:val="18"/>
                  <w:szCs w:val="18"/>
                  <w:color w:val="0000EE"/>
                  <w:w w:val="89"/>
                </w:rPr>
                <w:t>Capital International Inc.) and BlackRock Institutional Trust Company,</w:t>
              </w:r>
            </w:hyperlink>
          </w:p>
        </w:tc>
        <w:tc>
          <w:tcPr>
            <w:tcW w:w="6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rPr>
            </w:pPr>
            <w:hyperlink r:id="rId246">
              <w:r>
                <w:rPr>
                  <w:rFonts w:ascii="Arial" w:cs="Arial" w:eastAsia="Arial" w:hAnsi="Arial"/>
                  <w:sz w:val="18"/>
                  <w:szCs w:val="18"/>
                  <w:color w:val="0000EE"/>
                </w:rPr>
                <w:t>N.A. (formerly,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10.71††#</w:t>
            </w:r>
          </w:p>
        </w:tc>
        <w:tc>
          <w:tcPr>
            <w:tcW w:w="4740" w:type="dxa"/>
            <w:vAlign w:val="bottom"/>
            <w:tcBorders>
              <w:bottom w:val="single" w:sz="8" w:color="0000EE"/>
            </w:tcBorders>
            <w:gridSpan w:val="8"/>
          </w:tcPr>
          <w:p>
            <w:pPr>
              <w:spacing w:after="0" w:line="190" w:lineRule="exact"/>
              <w:rPr>
                <w:rFonts w:ascii="Arial" w:cs="Arial" w:eastAsia="Arial" w:hAnsi="Arial"/>
                <w:sz w:val="18"/>
                <w:szCs w:val="18"/>
                <w:color w:val="0000EE"/>
                <w:w w:val="88"/>
              </w:rPr>
            </w:pPr>
            <w:hyperlink r:id="rId247">
              <w:r>
                <w:rPr>
                  <w:rFonts w:ascii="Arial" w:cs="Arial" w:eastAsia="Arial" w:hAnsi="Arial"/>
                  <w:sz w:val="18"/>
                  <w:szCs w:val="18"/>
                  <w:color w:val="0000EE"/>
                  <w:w w:val="88"/>
                </w:rPr>
                <w:t>Amendment to the Index License Agreement for Funds, dated as of</w:t>
              </w:r>
            </w:hyperlink>
          </w:p>
        </w:tc>
        <w:tc>
          <w:tcPr>
            <w:tcW w:w="32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247">
              <w:r>
                <w:rPr>
                  <w:rFonts w:ascii="Arial" w:cs="Arial" w:eastAsia="Arial" w:hAnsi="Arial"/>
                  <w:sz w:val="18"/>
                  <w:szCs w:val="18"/>
                  <w:color w:val="0000EE"/>
                  <w:w w:val="88"/>
                </w:rPr>
                <w:t>September 11, 2013, by and between MSCI Inc. (formerly, Morgan</w:t>
              </w:r>
            </w:hyperlink>
          </w:p>
        </w:tc>
        <w:tc>
          <w:tcPr>
            <w:tcW w:w="34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14"/>
          </w:tcPr>
          <w:p>
            <w:pPr>
              <w:spacing w:after="0" w:line="190" w:lineRule="exact"/>
              <w:rPr>
                <w:rFonts w:ascii="Arial" w:cs="Arial" w:eastAsia="Arial" w:hAnsi="Arial"/>
                <w:sz w:val="18"/>
                <w:szCs w:val="18"/>
                <w:color w:val="0000EE"/>
                <w:w w:val="94"/>
              </w:rPr>
            </w:pPr>
            <w:hyperlink r:id="rId247">
              <w:r>
                <w:rPr>
                  <w:rFonts w:ascii="Arial" w:cs="Arial" w:eastAsia="Arial" w:hAnsi="Arial"/>
                  <w:sz w:val="18"/>
                  <w:szCs w:val="18"/>
                  <w:color w:val="0000EE"/>
                  <w:w w:val="94"/>
                </w:rPr>
                <w:t>Stanley Capital International Inc.) and BlackRock Institutional Trust</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top w:val="single" w:sz="8" w:color="0000EE"/>
            </w:tcBorders>
            <w:gridSpan w:val="11"/>
          </w:tcPr>
          <w:p>
            <w:pPr>
              <w:spacing w:after="0" w:line="190" w:lineRule="exact"/>
              <w:rPr>
                <w:rFonts w:ascii="Arial" w:cs="Arial" w:eastAsia="Arial" w:hAnsi="Arial"/>
                <w:sz w:val="18"/>
                <w:szCs w:val="18"/>
                <w:color w:val="0000EE"/>
              </w:rPr>
            </w:pPr>
            <w:hyperlink r:id="rId247">
              <w:r>
                <w:rPr>
                  <w:rFonts w:ascii="Arial" w:cs="Arial" w:eastAsia="Arial" w:hAnsi="Arial"/>
                  <w:sz w:val="18"/>
                  <w:szCs w:val="18"/>
                  <w:color w:val="0000EE"/>
                </w:rPr>
                <w:t>Company, N.A. (formerly, Barclays Global Investors, N.A.)</w:t>
              </w:r>
            </w:hyperlink>
          </w:p>
        </w:tc>
        <w:tc>
          <w:tcPr>
            <w:tcW w:w="240" w:type="dxa"/>
            <w:vAlign w:val="bottom"/>
            <w:gridSpan w:val="3"/>
          </w:tcPr>
          <w:p>
            <w:pPr>
              <w:spacing w:after="0"/>
              <w:rPr>
                <w:sz w:val="16"/>
                <w:szCs w:val="16"/>
                <w:color w:val="auto"/>
              </w:rPr>
            </w:pPr>
          </w:p>
        </w:tc>
      </w:tr>
      <w:tr>
        <w:trPr>
          <w:trHeight w:val="439"/>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0" w:type="dxa"/>
            <w:vAlign w:val="bottom"/>
            <w:tcBorders>
              <w:top w:val="single" w:sz="8" w:color="0000EE"/>
            </w:tcBorders>
            <w:gridSpan w:val="4"/>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54610</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5"/>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5"/>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10.63</w:t>
            </w:r>
          </w:p>
        </w:tc>
        <w:tc>
          <w:tcPr>
            <w:tcW w:w="140" w:type="dxa"/>
            <w:vAlign w:val="bottom"/>
          </w:tcPr>
          <w:p>
            <w:pPr>
              <w:spacing w:after="0"/>
              <w:rPr>
                <w:sz w:val="22"/>
                <w:szCs w:val="22"/>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10.64</w:t>
            </w:r>
          </w:p>
        </w:tc>
        <w:tc>
          <w:tcPr>
            <w:tcW w:w="140" w:type="dxa"/>
            <w:vAlign w:val="bottom"/>
          </w:tcPr>
          <w:p>
            <w:pPr>
              <w:spacing w:after="0"/>
              <w:rPr>
                <w:sz w:val="24"/>
                <w:szCs w:val="24"/>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10.65</w:t>
            </w:r>
          </w:p>
        </w:tc>
        <w:tc>
          <w:tcPr>
            <w:tcW w:w="140" w:type="dxa"/>
            <w:vAlign w:val="bottom"/>
          </w:tcPr>
          <w:p>
            <w:pPr>
              <w:spacing w:after="0"/>
              <w:rPr>
                <w:sz w:val="24"/>
                <w:szCs w:val="24"/>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10.66</w:t>
            </w:r>
          </w:p>
        </w:tc>
        <w:tc>
          <w:tcPr>
            <w:tcW w:w="140" w:type="dxa"/>
            <w:vAlign w:val="bottom"/>
          </w:tcPr>
          <w:p>
            <w:pPr>
              <w:spacing w:after="0"/>
              <w:rPr>
                <w:sz w:val="24"/>
                <w:szCs w:val="24"/>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10.67</w:t>
            </w:r>
          </w:p>
        </w:tc>
        <w:tc>
          <w:tcPr>
            <w:tcW w:w="140" w:type="dxa"/>
            <w:vAlign w:val="bottom"/>
          </w:tcPr>
          <w:p>
            <w:pPr>
              <w:spacing w:after="0"/>
              <w:rPr>
                <w:sz w:val="24"/>
                <w:szCs w:val="24"/>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10.68</w:t>
            </w:r>
          </w:p>
        </w:tc>
        <w:tc>
          <w:tcPr>
            <w:tcW w:w="140" w:type="dxa"/>
            <w:vAlign w:val="bottom"/>
          </w:tcPr>
          <w:p>
            <w:pPr>
              <w:spacing w:after="0"/>
              <w:rPr>
                <w:sz w:val="24"/>
                <w:szCs w:val="24"/>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10.69</w:t>
            </w:r>
          </w:p>
        </w:tc>
        <w:tc>
          <w:tcPr>
            <w:tcW w:w="140" w:type="dxa"/>
            <w:vAlign w:val="bottom"/>
          </w:tcPr>
          <w:p>
            <w:pPr>
              <w:spacing w:after="0"/>
              <w:rPr>
                <w:sz w:val="24"/>
                <w:szCs w:val="24"/>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10.70</w:t>
            </w:r>
          </w:p>
        </w:tc>
        <w:tc>
          <w:tcPr>
            <w:tcW w:w="140" w:type="dxa"/>
            <w:vAlign w:val="bottom"/>
          </w:tcPr>
          <w:p>
            <w:pPr>
              <w:spacing w:after="0"/>
              <w:rPr>
                <w:sz w:val="24"/>
                <w:szCs w:val="24"/>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10.71</w:t>
            </w:r>
          </w:p>
        </w:tc>
        <w:tc>
          <w:tcPr>
            <w:tcW w:w="140" w:type="dxa"/>
            <w:vAlign w:val="bottom"/>
          </w:tcPr>
          <w:p>
            <w:pPr>
              <w:spacing w:after="0"/>
              <w:rPr>
                <w:sz w:val="24"/>
                <w:szCs w:val="24"/>
                <w:color w:val="auto"/>
              </w:rPr>
            </w:pPr>
          </w:p>
        </w:tc>
        <w:tc>
          <w:tcPr>
            <w:tcW w:w="860" w:type="dxa"/>
            <w:vAlign w:val="bottom"/>
            <w:gridSpan w:val="3"/>
          </w:tcPr>
          <w:p>
            <w:pPr>
              <w:jc w:val="center"/>
              <w:ind w:left="55"/>
              <w:spacing w:after="0"/>
              <w:rPr>
                <w:sz w:val="20"/>
                <w:szCs w:val="20"/>
                <w:color w:val="auto"/>
              </w:rPr>
            </w:pPr>
            <w:r>
              <w:rPr>
                <w:rFonts w:ascii="Arial" w:cs="Arial" w:eastAsia="Arial" w:hAnsi="Arial"/>
                <w:sz w:val="18"/>
                <w:szCs w:val="18"/>
                <w:color w:val="auto"/>
                <w:w w:val="89"/>
              </w:rPr>
              <w:t>2/12/2021</w:t>
            </w:r>
          </w:p>
        </w:tc>
      </w:tr>
    </w:tbl>
    <w:p>
      <w:pPr>
        <w:sectPr>
          <w:pgSz w:w="11900" w:h="16838" w:orient="portrait"/>
          <w:cols w:equalWidth="0" w:num="2">
            <w:col w:w="6060" w:space="720"/>
            <w:col w:w="3980"/>
          </w:cols>
          <w:pgMar w:left="620" w:top="332" w:right="51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1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40" w:type="dxa"/>
            <w:vAlign w:val="bottom"/>
            <w:gridSpan w:val="20"/>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10.72††#</w:t>
            </w:r>
          </w:p>
        </w:tc>
        <w:tc>
          <w:tcPr>
            <w:tcW w:w="4740" w:type="dxa"/>
            <w:vAlign w:val="bottom"/>
            <w:tcBorders>
              <w:bottom w:val="single" w:sz="8" w:color="0000EE"/>
            </w:tcBorders>
            <w:gridSpan w:val="15"/>
          </w:tcPr>
          <w:p>
            <w:pPr>
              <w:spacing w:after="0"/>
              <w:rPr>
                <w:rFonts w:ascii="Arial" w:cs="Arial" w:eastAsia="Arial" w:hAnsi="Arial"/>
                <w:sz w:val="18"/>
                <w:szCs w:val="18"/>
                <w:color w:val="0000EE"/>
                <w:w w:val="88"/>
              </w:rPr>
            </w:pPr>
            <w:hyperlink r:id="rId249">
              <w:r>
                <w:rPr>
                  <w:rFonts w:ascii="Arial" w:cs="Arial" w:eastAsia="Arial" w:hAnsi="Arial"/>
                  <w:sz w:val="18"/>
                  <w:szCs w:val="18"/>
                  <w:color w:val="0000EE"/>
                  <w:w w:val="88"/>
                </w:rPr>
                <w:t>Amendment to the Index License Agreement for Funds, dated as of</w:t>
              </w:r>
            </w:hyperlink>
          </w:p>
        </w:tc>
        <w:tc>
          <w:tcPr>
            <w:tcW w:w="320" w:type="dxa"/>
            <w:vAlign w:val="bottom"/>
            <w:gridSpan w:val="7"/>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49">
              <w:r>
                <w:rPr>
                  <w:rFonts w:ascii="Arial" w:cs="Arial" w:eastAsia="Arial" w:hAnsi="Arial"/>
                  <w:sz w:val="18"/>
                  <w:szCs w:val="18"/>
                  <w:color w:val="0000EE"/>
                  <w:w w:val="88"/>
                </w:rPr>
                <w:t>December 10, 2013, by and between MSCI Inc. (formerly, Morgan</w:t>
              </w:r>
            </w:hyperlink>
          </w:p>
        </w:tc>
        <w:tc>
          <w:tcPr>
            <w:tcW w:w="36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4"/>
              </w:rPr>
            </w:pPr>
            <w:hyperlink r:id="rId249">
              <w:r>
                <w:rPr>
                  <w:rFonts w:ascii="Arial" w:cs="Arial" w:eastAsia="Arial" w:hAnsi="Arial"/>
                  <w:sz w:val="18"/>
                  <w:szCs w:val="18"/>
                  <w:color w:val="0000EE"/>
                  <w:w w:val="94"/>
                </w:rPr>
                <w:t>Stanley Capital International Inc.) and BlackRock Institutional Trust</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top w:val="single" w:sz="8" w:color="0000EE"/>
            </w:tcBorders>
            <w:gridSpan w:val="17"/>
          </w:tcPr>
          <w:p>
            <w:pPr>
              <w:spacing w:after="0" w:line="190" w:lineRule="exact"/>
              <w:rPr>
                <w:rFonts w:ascii="Arial" w:cs="Arial" w:eastAsia="Arial" w:hAnsi="Arial"/>
                <w:sz w:val="18"/>
                <w:szCs w:val="18"/>
                <w:color w:val="0000EE"/>
              </w:rPr>
            </w:pPr>
            <w:hyperlink r:id="rId249">
              <w:r>
                <w:rPr>
                  <w:rFonts w:ascii="Arial" w:cs="Arial" w:eastAsia="Arial" w:hAnsi="Arial"/>
                  <w:sz w:val="18"/>
                  <w:szCs w:val="18"/>
                  <w:color w:val="0000EE"/>
                </w:rPr>
                <w:t>Company, N.A. (formerly, Barclays Global Investors, N.A.)</w:t>
              </w:r>
            </w:hyperlink>
          </w:p>
        </w:tc>
        <w:tc>
          <w:tcPr>
            <w:tcW w:w="260" w:type="dxa"/>
            <w:vAlign w:val="bottom"/>
            <w:gridSpan w:val="5"/>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10.73††#</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50">
              <w:r>
                <w:rPr>
                  <w:rFonts w:ascii="Arial" w:cs="Arial" w:eastAsia="Arial" w:hAnsi="Arial"/>
                  <w:sz w:val="18"/>
                  <w:szCs w:val="18"/>
                  <w:color w:val="0000EE"/>
                  <w:w w:val="88"/>
                </w:rPr>
                <w:t>Amendment to the Index License Agreement for Funds, dated as of</w:t>
              </w:r>
            </w:hyperlink>
          </w:p>
        </w:tc>
        <w:tc>
          <w:tcPr>
            <w:tcW w:w="32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50">
              <w:r>
                <w:rPr>
                  <w:rFonts w:ascii="Arial" w:cs="Arial" w:eastAsia="Arial" w:hAnsi="Arial"/>
                  <w:sz w:val="18"/>
                  <w:szCs w:val="18"/>
                  <w:color w:val="0000EE"/>
                  <w:w w:val="88"/>
                </w:rPr>
                <w:t>December 16, 2013, by and between MSCI Inc. (formerly, Morgan</w:t>
              </w:r>
            </w:hyperlink>
          </w:p>
        </w:tc>
        <w:tc>
          <w:tcPr>
            <w:tcW w:w="36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4"/>
              </w:rPr>
            </w:pPr>
            <w:hyperlink r:id="rId250">
              <w:r>
                <w:rPr>
                  <w:rFonts w:ascii="Arial" w:cs="Arial" w:eastAsia="Arial" w:hAnsi="Arial"/>
                  <w:sz w:val="18"/>
                  <w:szCs w:val="18"/>
                  <w:color w:val="0000EE"/>
                  <w:w w:val="94"/>
                </w:rPr>
                <w:t>Stanley Capital International Inc.) and BlackRock Institutional Trust</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top w:val="single" w:sz="8" w:color="0000EE"/>
            </w:tcBorders>
            <w:gridSpan w:val="17"/>
          </w:tcPr>
          <w:p>
            <w:pPr>
              <w:spacing w:after="0" w:line="190" w:lineRule="exact"/>
              <w:rPr>
                <w:rFonts w:ascii="Arial" w:cs="Arial" w:eastAsia="Arial" w:hAnsi="Arial"/>
                <w:sz w:val="18"/>
                <w:szCs w:val="18"/>
                <w:color w:val="0000EE"/>
              </w:rPr>
            </w:pPr>
            <w:hyperlink r:id="rId250">
              <w:r>
                <w:rPr>
                  <w:rFonts w:ascii="Arial" w:cs="Arial" w:eastAsia="Arial" w:hAnsi="Arial"/>
                  <w:sz w:val="18"/>
                  <w:szCs w:val="18"/>
                  <w:color w:val="0000EE"/>
                </w:rPr>
                <w:t>Company, N.A. (formerly, Barclays Global Investors, N.A.)</w:t>
              </w:r>
            </w:hyperlink>
          </w:p>
        </w:tc>
        <w:tc>
          <w:tcPr>
            <w:tcW w:w="260" w:type="dxa"/>
            <w:vAlign w:val="bottom"/>
            <w:gridSpan w:val="5"/>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10.74††#</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51">
              <w:r>
                <w:rPr>
                  <w:rFonts w:ascii="Arial" w:cs="Arial" w:eastAsia="Arial" w:hAnsi="Arial"/>
                  <w:sz w:val="18"/>
                  <w:szCs w:val="18"/>
                  <w:color w:val="0000EE"/>
                  <w:w w:val="88"/>
                </w:rPr>
                <w:t>Amendment to the Index License Agreement for Funds, dated as of</w:t>
              </w:r>
            </w:hyperlink>
          </w:p>
        </w:tc>
        <w:tc>
          <w:tcPr>
            <w:tcW w:w="32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9"/>
              </w:rPr>
            </w:pPr>
            <w:hyperlink r:id="rId251">
              <w:r>
                <w:rPr>
                  <w:rFonts w:ascii="Arial" w:cs="Arial" w:eastAsia="Arial" w:hAnsi="Arial"/>
                  <w:sz w:val="18"/>
                  <w:szCs w:val="18"/>
                  <w:color w:val="0000EE"/>
                  <w:w w:val="99"/>
                </w:rPr>
                <w:t>January 23, 2014,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4"/>
              </w:rPr>
            </w:pPr>
            <w:hyperlink r:id="rId251">
              <w:r>
                <w:rPr>
                  <w:rFonts w:ascii="Arial" w:cs="Arial" w:eastAsia="Arial" w:hAnsi="Arial"/>
                  <w:sz w:val="18"/>
                  <w:szCs w:val="18"/>
                  <w:color w:val="0000EE"/>
                  <w:w w:val="94"/>
                </w:rPr>
                <w:t>Stanley Capital International Inc.) and BlackRock Institutional Trust</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top w:val="single" w:sz="8" w:color="0000EE"/>
            </w:tcBorders>
            <w:gridSpan w:val="17"/>
          </w:tcPr>
          <w:p>
            <w:pPr>
              <w:spacing w:after="0" w:line="190" w:lineRule="exact"/>
              <w:rPr>
                <w:rFonts w:ascii="Arial" w:cs="Arial" w:eastAsia="Arial" w:hAnsi="Arial"/>
                <w:sz w:val="18"/>
                <w:szCs w:val="18"/>
                <w:color w:val="0000EE"/>
              </w:rPr>
            </w:pPr>
            <w:hyperlink r:id="rId251">
              <w:r>
                <w:rPr>
                  <w:rFonts w:ascii="Arial" w:cs="Arial" w:eastAsia="Arial" w:hAnsi="Arial"/>
                  <w:sz w:val="18"/>
                  <w:szCs w:val="18"/>
                  <w:color w:val="0000EE"/>
                </w:rPr>
                <w:t>Company, N.A. (formerly, Barclays Global Investors, N.A.)</w:t>
              </w:r>
            </w:hyperlink>
          </w:p>
        </w:tc>
        <w:tc>
          <w:tcPr>
            <w:tcW w:w="260" w:type="dxa"/>
            <w:vAlign w:val="bottom"/>
            <w:gridSpan w:val="5"/>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10.75††#</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52">
              <w:r>
                <w:rPr>
                  <w:rFonts w:ascii="Arial" w:cs="Arial" w:eastAsia="Arial" w:hAnsi="Arial"/>
                  <w:sz w:val="18"/>
                  <w:szCs w:val="18"/>
                  <w:color w:val="0000EE"/>
                  <w:w w:val="88"/>
                </w:rPr>
                <w:t>Amendment to the Index License Agreement for Funds, dated as of</w:t>
              </w:r>
            </w:hyperlink>
          </w:p>
        </w:tc>
        <w:tc>
          <w:tcPr>
            <w:tcW w:w="32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9"/>
              </w:rPr>
            </w:pPr>
            <w:hyperlink r:id="rId252">
              <w:r>
                <w:rPr>
                  <w:rFonts w:ascii="Arial" w:cs="Arial" w:eastAsia="Arial" w:hAnsi="Arial"/>
                  <w:sz w:val="18"/>
                  <w:szCs w:val="18"/>
                  <w:color w:val="0000EE"/>
                  <w:w w:val="99"/>
                </w:rPr>
                <w:t>January 23, 2014,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4"/>
              </w:rPr>
            </w:pPr>
            <w:hyperlink r:id="rId252">
              <w:r>
                <w:rPr>
                  <w:rFonts w:ascii="Arial" w:cs="Arial" w:eastAsia="Arial" w:hAnsi="Arial"/>
                  <w:sz w:val="18"/>
                  <w:szCs w:val="18"/>
                  <w:color w:val="0000EE"/>
                  <w:w w:val="94"/>
                </w:rPr>
                <w:t>Stanley Capital International Inc.) and BlackRock Institutional Trust</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top w:val="single" w:sz="8" w:color="0000EE"/>
            </w:tcBorders>
            <w:gridSpan w:val="17"/>
          </w:tcPr>
          <w:p>
            <w:pPr>
              <w:spacing w:after="0" w:line="190" w:lineRule="exact"/>
              <w:rPr>
                <w:rFonts w:ascii="Arial" w:cs="Arial" w:eastAsia="Arial" w:hAnsi="Arial"/>
                <w:sz w:val="18"/>
                <w:szCs w:val="18"/>
                <w:color w:val="0000EE"/>
              </w:rPr>
            </w:pPr>
            <w:hyperlink r:id="rId252">
              <w:r>
                <w:rPr>
                  <w:rFonts w:ascii="Arial" w:cs="Arial" w:eastAsia="Arial" w:hAnsi="Arial"/>
                  <w:sz w:val="18"/>
                  <w:szCs w:val="18"/>
                  <w:color w:val="0000EE"/>
                </w:rPr>
                <w:t>Company, N.A. (formerly, Barclays Global Investors, N.A.)</w:t>
              </w:r>
            </w:hyperlink>
          </w:p>
        </w:tc>
        <w:tc>
          <w:tcPr>
            <w:tcW w:w="260" w:type="dxa"/>
            <w:vAlign w:val="bottom"/>
            <w:gridSpan w:val="5"/>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10.76††#</w:t>
            </w:r>
          </w:p>
        </w:tc>
        <w:tc>
          <w:tcPr>
            <w:tcW w:w="458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253">
              <w:r>
                <w:rPr>
                  <w:rFonts w:ascii="Arial" w:cs="Arial" w:eastAsia="Arial" w:hAnsi="Arial"/>
                  <w:sz w:val="18"/>
                  <w:szCs w:val="18"/>
                  <w:color w:val="0000EE"/>
                  <w:w w:val="88"/>
                </w:rPr>
                <w:t>Letter Agreement to amend the Amendment to the Index License</w:t>
              </w:r>
            </w:hyperlink>
          </w:p>
        </w:tc>
        <w:tc>
          <w:tcPr>
            <w:tcW w:w="48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bottom w:val="single" w:sz="8" w:color="0000EE"/>
            </w:tcBorders>
            <w:gridSpan w:val="14"/>
          </w:tcPr>
          <w:p>
            <w:pPr>
              <w:spacing w:after="0" w:line="190" w:lineRule="exact"/>
              <w:rPr>
                <w:rFonts w:ascii="Arial" w:cs="Arial" w:eastAsia="Arial" w:hAnsi="Arial"/>
                <w:sz w:val="18"/>
                <w:szCs w:val="18"/>
                <w:color w:val="0000EE"/>
                <w:w w:val="87"/>
              </w:rPr>
            </w:pPr>
            <w:hyperlink r:id="rId253">
              <w:r>
                <w:rPr>
                  <w:rFonts w:ascii="Arial" w:cs="Arial" w:eastAsia="Arial" w:hAnsi="Arial"/>
                  <w:sz w:val="18"/>
                  <w:szCs w:val="18"/>
                  <w:color w:val="0000EE"/>
                  <w:w w:val="87"/>
                </w:rPr>
                <w:t>Agreement for Funds, dated as of March 18, 2014, by and between</w:t>
              </w:r>
            </w:hyperlink>
          </w:p>
        </w:tc>
        <w:tc>
          <w:tcPr>
            <w:tcW w:w="36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8"/>
          </w:tcPr>
          <w:p>
            <w:pPr>
              <w:spacing w:after="0" w:line="190"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MSCI Inc. (formerly, Morgan Stanley Capital International Inc.) and</w:t>
              </w:r>
            </w:hyperlink>
          </w:p>
        </w:tc>
        <w:tc>
          <w:tcPr>
            <w:tcW w:w="24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BlackRock Institutional Trust Company, N.A. (formerly, Barclays</w:t>
              </w:r>
            </w:hyperlink>
          </w:p>
        </w:tc>
        <w:tc>
          <w:tcPr>
            <w:tcW w:w="420" w:type="dxa"/>
            <w:vAlign w:val="bottom"/>
            <w:gridSpan w:val="9"/>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Global Investors, N.A.)</w:t>
              </w:r>
            </w:hyperlink>
          </w:p>
        </w:tc>
        <w:tc>
          <w:tcPr>
            <w:tcW w:w="3400" w:type="dxa"/>
            <w:vAlign w:val="bottom"/>
            <w:gridSpan w:val="21"/>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10.77††#</w:t>
            </w:r>
          </w:p>
        </w:tc>
        <w:tc>
          <w:tcPr>
            <w:tcW w:w="5060" w:type="dxa"/>
            <w:vAlign w:val="bottom"/>
            <w:tcBorders>
              <w:bottom w:val="single" w:sz="8" w:color="0000EE"/>
            </w:tcBorders>
            <w:gridSpan w:val="22"/>
          </w:tcPr>
          <w:p>
            <w:pPr>
              <w:spacing w:after="0" w:line="190" w:lineRule="exact"/>
              <w:rPr>
                <w:rFonts w:ascii="Arial" w:cs="Arial" w:eastAsia="Arial" w:hAnsi="Arial"/>
                <w:sz w:val="18"/>
                <w:szCs w:val="18"/>
                <w:color w:val="0000EE"/>
                <w:w w:val="87"/>
              </w:rPr>
            </w:pPr>
            <w:hyperlink r:id="rId254">
              <w:r>
                <w:rPr>
                  <w:rFonts w:ascii="Arial" w:cs="Arial" w:eastAsia="Arial" w:hAnsi="Arial"/>
                  <w:sz w:val="18"/>
                  <w:szCs w:val="18"/>
                  <w:color w:val="0000EE"/>
                  <w:w w:val="87"/>
                </w:rPr>
                <w:t>Amendment to the Index License Agreement for Funds, dated as of July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0"/>
              </w:rPr>
            </w:pPr>
            <w:hyperlink r:id="rId254">
              <w:r>
                <w:rPr>
                  <w:rFonts w:ascii="Arial" w:cs="Arial" w:eastAsia="Arial" w:hAnsi="Arial"/>
                  <w:sz w:val="18"/>
                  <w:szCs w:val="18"/>
                  <w:color w:val="0000EE"/>
                  <w:w w:val="90"/>
                </w:rPr>
                <w:t>9, 2014, by and between MSCI Inc. (formerly, Morgan Stanley Capital</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0000EE"/>
              <w:bottom w:val="single" w:sz="8" w:color="0000EE"/>
            </w:tcBorders>
            <w:gridSpan w:val="12"/>
          </w:tcPr>
          <w:p>
            <w:pPr>
              <w:spacing w:after="0" w:line="190" w:lineRule="exact"/>
              <w:rPr>
                <w:rFonts w:ascii="Arial" w:cs="Arial" w:eastAsia="Arial" w:hAnsi="Arial"/>
                <w:sz w:val="18"/>
                <w:szCs w:val="18"/>
                <w:color w:val="0000EE"/>
                <w:w w:val="88"/>
              </w:rPr>
            </w:pPr>
            <w:hyperlink r:id="rId254">
              <w:r>
                <w:rPr>
                  <w:rFonts w:ascii="Arial" w:cs="Arial" w:eastAsia="Arial" w:hAnsi="Arial"/>
                  <w:sz w:val="18"/>
                  <w:szCs w:val="18"/>
                  <w:color w:val="0000EE"/>
                  <w:w w:val="88"/>
                </w:rPr>
                <w:t>International Inc.) and BlackRock Fund Advisors (as successor to</w:t>
              </w:r>
            </w:hyperlink>
          </w:p>
        </w:tc>
        <w:tc>
          <w:tcPr>
            <w:tcW w:w="340" w:type="dxa"/>
            <w:vAlign w:val="bottom"/>
            <w:tcBorders>
              <w:top w:val="single" w:sz="8" w:color="0000EE"/>
            </w:tcBorders>
            <w:gridSpan w:val="8"/>
          </w:tcPr>
          <w:p>
            <w:pPr>
              <w:spacing w:after="0"/>
              <w:rPr>
                <w:sz w:val="16"/>
                <w:szCs w:val="16"/>
                <w:color w:val="auto"/>
              </w:rPr>
            </w:pPr>
          </w:p>
        </w:tc>
        <w:tc>
          <w:tcPr>
            <w:tcW w:w="10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254">
              <w:r>
                <w:rPr>
                  <w:rFonts w:ascii="Arial" w:cs="Arial" w:eastAsia="Arial" w:hAnsi="Arial"/>
                  <w:sz w:val="18"/>
                  <w:szCs w:val="18"/>
                  <w:color w:val="0000EE"/>
                  <w:w w:val="90"/>
                </w:rPr>
                <w:t>Barclays Global Investors, N.A.)</w:t>
              </w:r>
            </w:hyperlink>
          </w:p>
        </w:tc>
        <w:tc>
          <w:tcPr>
            <w:tcW w:w="2740" w:type="dxa"/>
            <w:vAlign w:val="bottom"/>
            <w:gridSpan w:val="19"/>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10.78††#</w:t>
            </w:r>
          </w:p>
        </w:tc>
        <w:tc>
          <w:tcPr>
            <w:tcW w:w="5060" w:type="dxa"/>
            <w:vAlign w:val="bottom"/>
            <w:tcBorders>
              <w:bottom w:val="single" w:sz="8" w:color="0000EE"/>
            </w:tcBorders>
            <w:gridSpan w:val="22"/>
          </w:tcPr>
          <w:p>
            <w:pPr>
              <w:spacing w:after="0" w:line="190" w:lineRule="exact"/>
              <w:rPr>
                <w:rFonts w:ascii="Arial" w:cs="Arial" w:eastAsia="Arial" w:hAnsi="Arial"/>
                <w:sz w:val="18"/>
                <w:szCs w:val="18"/>
                <w:color w:val="0000EE"/>
                <w:w w:val="87"/>
              </w:rPr>
            </w:pPr>
            <w:hyperlink r:id="rId255">
              <w:r>
                <w:rPr>
                  <w:rFonts w:ascii="Arial" w:cs="Arial" w:eastAsia="Arial" w:hAnsi="Arial"/>
                  <w:sz w:val="18"/>
                  <w:szCs w:val="18"/>
                  <w:color w:val="0000EE"/>
                  <w:w w:val="87"/>
                </w:rPr>
                <w:t>Amendment to the Index License Agreement for Funds, dated as of July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22"/>
          </w:tcPr>
          <w:p>
            <w:pPr>
              <w:spacing w:after="0" w:line="190" w:lineRule="exact"/>
              <w:rPr>
                <w:rFonts w:ascii="Arial" w:cs="Arial" w:eastAsia="Arial" w:hAnsi="Arial"/>
                <w:sz w:val="18"/>
                <w:szCs w:val="18"/>
                <w:color w:val="0000EE"/>
                <w:w w:val="89"/>
              </w:rPr>
            </w:pPr>
            <w:hyperlink r:id="rId255">
              <w:r>
                <w:rPr>
                  <w:rFonts w:ascii="Arial" w:cs="Arial" w:eastAsia="Arial" w:hAnsi="Arial"/>
                  <w:sz w:val="18"/>
                  <w:szCs w:val="18"/>
                  <w:color w:val="0000EE"/>
                  <w:w w:val="89"/>
                </w:rPr>
                <w:t>16, 2014, by and between MSCI Inc. (formerly, Morgan Stanley Capital</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55">
              <w:r>
                <w:rPr>
                  <w:rFonts w:ascii="Arial" w:cs="Arial" w:eastAsia="Arial" w:hAnsi="Arial"/>
                  <w:sz w:val="18"/>
                  <w:szCs w:val="18"/>
                  <w:color w:val="0000EE"/>
                  <w:w w:val="88"/>
                </w:rPr>
                <w:t>International Inc.) and BlackRock Fund Advisors (as successor to</w:t>
              </w:r>
            </w:hyperlink>
          </w:p>
        </w:tc>
        <w:tc>
          <w:tcPr>
            <w:tcW w:w="440" w:type="dxa"/>
            <w:vAlign w:val="bottom"/>
            <w:gridSpan w:val="10"/>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255">
              <w:r>
                <w:rPr>
                  <w:rFonts w:ascii="Arial" w:cs="Arial" w:eastAsia="Arial" w:hAnsi="Arial"/>
                  <w:sz w:val="18"/>
                  <w:szCs w:val="18"/>
                  <w:color w:val="0000EE"/>
                  <w:w w:val="90"/>
                </w:rPr>
                <w:t>Barclays Global Investors, N.A.)</w:t>
              </w:r>
            </w:hyperlink>
          </w:p>
        </w:tc>
        <w:tc>
          <w:tcPr>
            <w:tcW w:w="2740" w:type="dxa"/>
            <w:vAlign w:val="bottom"/>
            <w:gridSpan w:val="19"/>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10.79††#</w:t>
            </w:r>
          </w:p>
        </w:tc>
        <w:tc>
          <w:tcPr>
            <w:tcW w:w="476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56">
              <w:r>
                <w:rPr>
                  <w:rFonts w:ascii="Arial" w:cs="Arial" w:eastAsia="Arial" w:hAnsi="Arial"/>
                  <w:sz w:val="18"/>
                  <w:szCs w:val="18"/>
                  <w:color w:val="0000EE"/>
                  <w:w w:val="88"/>
                </w:rPr>
                <w:t>Amendment to the Index License Agreement for Funds, dated as of</w:t>
              </w:r>
            </w:hyperlink>
          </w:p>
        </w:tc>
        <w:tc>
          <w:tcPr>
            <w:tcW w:w="30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22"/>
          </w:tcPr>
          <w:p>
            <w:pPr>
              <w:spacing w:after="0" w:line="190" w:lineRule="exact"/>
              <w:rPr>
                <w:rFonts w:ascii="Arial" w:cs="Arial" w:eastAsia="Arial" w:hAnsi="Arial"/>
                <w:sz w:val="18"/>
                <w:szCs w:val="18"/>
                <w:color w:val="0000EE"/>
                <w:w w:val="89"/>
              </w:rPr>
            </w:pPr>
            <w:hyperlink r:id="rId256">
              <w:r>
                <w:rPr>
                  <w:rFonts w:ascii="Arial" w:cs="Arial" w:eastAsia="Arial" w:hAnsi="Arial"/>
                  <w:sz w:val="18"/>
                  <w:szCs w:val="18"/>
                  <w:color w:val="0000EE"/>
                  <w:w w:val="89"/>
                </w:rPr>
                <w:t>August 15, 2014, by and between MSCI Inc. (formerly, Morgan Stanley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89"/>
              </w:rPr>
            </w:pPr>
            <w:hyperlink r:id="rId256">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90"/>
              </w:rPr>
            </w:pPr>
            <w:hyperlink r:id="rId256">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7"/>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10.80††#</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57">
              <w:r>
                <w:rPr>
                  <w:rFonts w:ascii="Arial" w:cs="Arial" w:eastAsia="Arial" w:hAnsi="Arial"/>
                  <w:sz w:val="18"/>
                  <w:szCs w:val="18"/>
                  <w:color w:val="0000EE"/>
                  <w:w w:val="88"/>
                </w:rPr>
                <w:t>Amendment to the Index License Agreement for Funds, dated as of</w:t>
              </w:r>
            </w:hyperlink>
          </w:p>
        </w:tc>
        <w:tc>
          <w:tcPr>
            <w:tcW w:w="32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Borders>
              <w:bottom w:val="single" w:sz="8" w:color="0000EE"/>
            </w:tcBorders>
            <w:gridSpan w:val="13"/>
          </w:tcPr>
          <w:p>
            <w:pPr>
              <w:spacing w:after="0" w:line="190" w:lineRule="exact"/>
              <w:rPr>
                <w:rFonts w:ascii="Arial" w:cs="Arial" w:eastAsia="Arial" w:hAnsi="Arial"/>
                <w:sz w:val="18"/>
                <w:szCs w:val="18"/>
                <w:color w:val="0000EE"/>
                <w:w w:val="88"/>
              </w:rPr>
            </w:pPr>
            <w:hyperlink r:id="rId257">
              <w:r>
                <w:rPr>
                  <w:rFonts w:ascii="Arial" w:cs="Arial" w:eastAsia="Arial" w:hAnsi="Arial"/>
                  <w:sz w:val="18"/>
                  <w:szCs w:val="18"/>
                  <w:color w:val="0000EE"/>
                  <w:w w:val="88"/>
                </w:rPr>
                <w:t>September 9, 2014, by and between MSCI Inc. (formerly, Morgan</w:t>
              </w:r>
            </w:hyperlink>
          </w:p>
        </w:tc>
        <w:tc>
          <w:tcPr>
            <w:tcW w:w="420" w:type="dxa"/>
            <w:vAlign w:val="bottom"/>
            <w:gridSpan w:val="9"/>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257">
              <w:r>
                <w:rPr>
                  <w:rFonts w:ascii="Arial" w:cs="Arial" w:eastAsia="Arial" w:hAnsi="Arial"/>
                  <w:sz w:val="18"/>
                  <w:szCs w:val="18"/>
                  <w:color w:val="0000EE"/>
                  <w:w w:val="89"/>
                </w:rPr>
                <w:t>Stanley Capital International Inc.) and BlackRock Fund Advisors (as</w:t>
              </w:r>
            </w:hyperlink>
          </w:p>
        </w:tc>
        <w:tc>
          <w:tcPr>
            <w:tcW w:w="220" w:type="dxa"/>
            <w:vAlign w:val="bottom"/>
            <w:gridSpan w:val="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257">
              <w:r>
                <w:rPr>
                  <w:rFonts w:ascii="Arial" w:cs="Arial" w:eastAsia="Arial" w:hAnsi="Arial"/>
                  <w:sz w:val="18"/>
                  <w:szCs w:val="18"/>
                  <w:color w:val="0000EE"/>
                  <w:w w:val="88"/>
                </w:rPr>
                <w:t>successor to Barclays Global Investors, N.A.)</w:t>
              </w:r>
            </w:hyperlink>
          </w:p>
        </w:tc>
        <w:tc>
          <w:tcPr>
            <w:tcW w:w="1840" w:type="dxa"/>
            <w:vAlign w:val="bottom"/>
            <w:gridSpan w:val="15"/>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10.81††#</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58">
              <w:r>
                <w:rPr>
                  <w:rFonts w:ascii="Arial" w:cs="Arial" w:eastAsia="Arial" w:hAnsi="Arial"/>
                  <w:sz w:val="18"/>
                  <w:szCs w:val="18"/>
                  <w:color w:val="0000EE"/>
                  <w:w w:val="88"/>
                </w:rPr>
                <w:t>Amendment to the Index License Agreement for Funds, dated as of</w:t>
              </w:r>
            </w:hyperlink>
          </w:p>
        </w:tc>
        <w:tc>
          <w:tcPr>
            <w:tcW w:w="32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9"/>
              </w:rPr>
            </w:pPr>
            <w:hyperlink r:id="rId258">
              <w:r>
                <w:rPr>
                  <w:rFonts w:ascii="Arial" w:cs="Arial" w:eastAsia="Arial" w:hAnsi="Arial"/>
                  <w:sz w:val="18"/>
                  <w:szCs w:val="18"/>
                  <w:color w:val="0000EE"/>
                  <w:w w:val="99"/>
                </w:rPr>
                <w:t>October 30, 2014,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gridSpan w:val="6"/>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258">
              <w:r>
                <w:rPr>
                  <w:rFonts w:ascii="Arial" w:cs="Arial" w:eastAsia="Arial" w:hAnsi="Arial"/>
                  <w:sz w:val="18"/>
                  <w:szCs w:val="18"/>
                  <w:color w:val="0000EE"/>
                  <w:w w:val="89"/>
                </w:rPr>
                <w:t>Stanley Capital International Inc.) and BlackRock Fund Advisors (as</w:t>
              </w:r>
            </w:hyperlink>
          </w:p>
        </w:tc>
        <w:tc>
          <w:tcPr>
            <w:tcW w:w="220" w:type="dxa"/>
            <w:vAlign w:val="bottom"/>
            <w:gridSpan w:val="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rPr>
            </w:pPr>
            <w:hyperlink r:id="rId258">
              <w:r>
                <w:rPr>
                  <w:rFonts w:ascii="Arial" w:cs="Arial" w:eastAsia="Arial" w:hAnsi="Arial"/>
                  <w:sz w:val="18"/>
                  <w:szCs w:val="18"/>
                  <w:color w:val="0000EE"/>
                </w:rPr>
                <w:t>successor to Barclays Global Investors, N.A.)</w:t>
              </w:r>
            </w:hyperlink>
          </w:p>
        </w:tc>
      </w:tr>
      <w:tr>
        <w:trPr>
          <w:trHeight w:val="439"/>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Borders>
              <w:top w:val="single" w:sz="8" w:color="0000EE"/>
            </w:tcBorders>
            <w:gridSpan w:val="6"/>
          </w:tcPr>
          <w:p>
            <w:pPr>
              <w:spacing w:after="0"/>
              <w:rPr>
                <w:sz w:val="24"/>
                <w:szCs w:val="24"/>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54610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10.72</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10.73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10.82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10.83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10.85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10.89</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10.90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10.91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10.92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10.96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bl>
    <w:p>
      <w:pPr>
        <w:sectPr>
          <w:pgSz w:w="11900" w:h="16838" w:orient="portrait"/>
          <w:cols w:equalWidth="0" w:num="2">
            <w:col w:w="6060" w:space="720"/>
            <w:col w:w="3980"/>
          </w:cols>
          <w:pgMar w:left="620" w:top="332" w:right="51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20"/>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10.82††#</w:t>
            </w:r>
          </w:p>
        </w:tc>
        <w:tc>
          <w:tcPr>
            <w:tcW w:w="4740" w:type="dxa"/>
            <w:vAlign w:val="bottom"/>
            <w:tcBorders>
              <w:bottom w:val="single" w:sz="8" w:color="0000EE"/>
            </w:tcBorders>
            <w:gridSpan w:val="10"/>
          </w:tcPr>
          <w:p>
            <w:pPr>
              <w:spacing w:after="0"/>
              <w:rPr>
                <w:rFonts w:ascii="Arial" w:cs="Arial" w:eastAsia="Arial" w:hAnsi="Arial"/>
                <w:sz w:val="18"/>
                <w:szCs w:val="18"/>
                <w:color w:val="0000EE"/>
                <w:w w:val="88"/>
              </w:rPr>
            </w:pPr>
            <w:hyperlink r:id="rId260">
              <w:r>
                <w:rPr>
                  <w:rFonts w:ascii="Arial" w:cs="Arial" w:eastAsia="Arial" w:hAnsi="Arial"/>
                  <w:sz w:val="18"/>
                  <w:szCs w:val="18"/>
                  <w:color w:val="0000EE"/>
                  <w:w w:val="88"/>
                </w:rPr>
                <w:t>Amendment to the Index License Agreement for Funds, dated as of</w:t>
              </w:r>
            </w:hyperlink>
          </w:p>
        </w:tc>
        <w:tc>
          <w:tcPr>
            <w:tcW w:w="320" w:type="dxa"/>
            <w:vAlign w:val="bottom"/>
            <w:gridSpan w:val="12"/>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9"/>
              </w:rPr>
            </w:pPr>
            <w:hyperlink r:id="rId260">
              <w:r>
                <w:rPr>
                  <w:rFonts w:ascii="Arial" w:cs="Arial" w:eastAsia="Arial" w:hAnsi="Arial"/>
                  <w:sz w:val="18"/>
                  <w:szCs w:val="18"/>
                  <w:color w:val="0000EE"/>
                  <w:w w:val="99"/>
                </w:rPr>
                <w:t>February 4, 2015,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r:id="rId260">
              <w:r>
                <w:rPr>
                  <w:rFonts w:ascii="Arial" w:cs="Arial" w:eastAsia="Arial" w:hAnsi="Arial"/>
                  <w:sz w:val="18"/>
                  <w:szCs w:val="18"/>
                  <w:color w:val="0000EE"/>
                  <w:w w:val="89"/>
                </w:rPr>
                <w:t>Stanley Capital International Inc.) and BlackRock Fund Advisors (as</w:t>
              </w:r>
            </w:hyperlink>
          </w:p>
        </w:tc>
        <w:tc>
          <w:tcPr>
            <w:tcW w:w="20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rPr>
            </w:pPr>
            <w:hyperlink r:id="rId260">
              <w:r>
                <w:rPr>
                  <w:rFonts w:ascii="Arial" w:cs="Arial" w:eastAsia="Arial" w:hAnsi="Arial"/>
                  <w:sz w:val="18"/>
                  <w:szCs w:val="18"/>
                  <w:color w:val="0000EE"/>
                </w:rPr>
                <w:t>successor to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10.83††#</w:t>
            </w:r>
          </w:p>
        </w:tc>
        <w:tc>
          <w:tcPr>
            <w:tcW w:w="474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61">
              <w:r>
                <w:rPr>
                  <w:rFonts w:ascii="Arial" w:cs="Arial" w:eastAsia="Arial" w:hAnsi="Arial"/>
                  <w:sz w:val="18"/>
                  <w:szCs w:val="18"/>
                  <w:color w:val="0000EE"/>
                  <w:w w:val="88"/>
                </w:rPr>
                <w:t>Amendment to the Index License Agreement for Funds, dated as of</w:t>
              </w:r>
            </w:hyperlink>
          </w:p>
        </w:tc>
        <w:tc>
          <w:tcPr>
            <w:tcW w:w="32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7"/>
              </w:rPr>
            </w:pPr>
            <w:hyperlink r:id="rId261">
              <w:r>
                <w:rPr>
                  <w:rFonts w:ascii="Arial" w:cs="Arial" w:eastAsia="Arial" w:hAnsi="Arial"/>
                  <w:sz w:val="18"/>
                  <w:szCs w:val="18"/>
                  <w:color w:val="0000EE"/>
                  <w:w w:val="97"/>
                </w:rPr>
                <w:t>February 25, 2015,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r:id="rId261">
              <w:r>
                <w:rPr>
                  <w:rFonts w:ascii="Arial" w:cs="Arial" w:eastAsia="Arial" w:hAnsi="Arial"/>
                  <w:sz w:val="18"/>
                  <w:szCs w:val="18"/>
                  <w:color w:val="0000EE"/>
                  <w:w w:val="89"/>
                </w:rPr>
                <w:t>Stanley Capital International Inc.) and BlackRock Fund Advisors (as</w:t>
              </w:r>
            </w:hyperlink>
          </w:p>
        </w:tc>
        <w:tc>
          <w:tcPr>
            <w:tcW w:w="20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rPr>
            </w:pPr>
            <w:hyperlink r:id="rId261">
              <w:r>
                <w:rPr>
                  <w:rFonts w:ascii="Arial" w:cs="Arial" w:eastAsia="Arial" w:hAnsi="Arial"/>
                  <w:sz w:val="18"/>
                  <w:szCs w:val="18"/>
                  <w:color w:val="0000EE"/>
                </w:rPr>
                <w:t>successor to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10.84††#</w:t>
            </w:r>
          </w:p>
        </w:tc>
        <w:tc>
          <w:tcPr>
            <w:tcW w:w="5060" w:type="dxa"/>
            <w:vAlign w:val="bottom"/>
            <w:tcBorders>
              <w:bottom w:val="single" w:sz="8" w:color="0000EE"/>
            </w:tcBorders>
            <w:gridSpan w:val="22"/>
          </w:tcPr>
          <w:p>
            <w:pPr>
              <w:spacing w:after="0" w:line="190" w:lineRule="exact"/>
              <w:rPr>
                <w:rFonts w:ascii="Arial" w:cs="Arial" w:eastAsia="Arial" w:hAnsi="Arial"/>
                <w:sz w:val="18"/>
                <w:szCs w:val="18"/>
                <w:color w:val="0000EE"/>
                <w:w w:val="87"/>
              </w:rPr>
            </w:pPr>
            <w:hyperlink r:id="rId262">
              <w:r>
                <w:rPr>
                  <w:rFonts w:ascii="Arial" w:cs="Arial" w:eastAsia="Arial" w:hAnsi="Arial"/>
                  <w:sz w:val="18"/>
                  <w:szCs w:val="18"/>
                  <w:color w:val="0000EE"/>
                  <w:w w:val="87"/>
                </w:rPr>
                <w:t>Letter Agreement (to amend the Amendment dated December 10, 2013)</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88"/>
              </w:rPr>
            </w:pPr>
            <w:hyperlink r:id="rId262">
              <w:r>
                <w:rPr>
                  <w:rFonts w:ascii="Arial" w:cs="Arial" w:eastAsia="Arial" w:hAnsi="Arial"/>
                  <w:sz w:val="18"/>
                  <w:szCs w:val="18"/>
                  <w:color w:val="0000EE"/>
                  <w:w w:val="88"/>
                </w:rPr>
                <w:t>to the Index License Agreement for Funds, dated as of March 17, 2015,</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60" w:type="dxa"/>
            <w:vAlign w:val="bottom"/>
            <w:tcBorders>
              <w:top w:val="single" w:sz="8" w:color="0000EE"/>
              <w:bottom w:val="single" w:sz="8" w:color="0000EE"/>
            </w:tcBorders>
            <w:gridSpan w:val="7"/>
          </w:tcPr>
          <w:p>
            <w:pPr>
              <w:spacing w:after="0" w:line="190" w:lineRule="exact"/>
              <w:rPr>
                <w:rFonts w:ascii="Arial" w:cs="Arial" w:eastAsia="Arial" w:hAnsi="Arial"/>
                <w:sz w:val="18"/>
                <w:szCs w:val="18"/>
                <w:color w:val="0000EE"/>
                <w:w w:val="89"/>
              </w:rPr>
            </w:pPr>
            <w:hyperlink r:id="rId262">
              <w:r>
                <w:rPr>
                  <w:rFonts w:ascii="Arial" w:cs="Arial" w:eastAsia="Arial" w:hAnsi="Arial"/>
                  <w:sz w:val="18"/>
                  <w:szCs w:val="18"/>
                  <w:color w:val="0000EE"/>
                  <w:w w:val="89"/>
                </w:rPr>
                <w:t>by and between MSCI Inc. (formerly, Morgan Stanley Capital</w:t>
              </w:r>
            </w:hyperlink>
          </w:p>
        </w:tc>
        <w:tc>
          <w:tcPr>
            <w:tcW w:w="660" w:type="dxa"/>
            <w:vAlign w:val="bottom"/>
            <w:tcBorders>
              <w:top w:val="single" w:sz="8" w:color="0000EE"/>
            </w:tcBorders>
            <w:gridSpan w:val="13"/>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r:id="rId262">
              <w:r>
                <w:rPr>
                  <w:rFonts w:ascii="Arial" w:cs="Arial" w:eastAsia="Arial" w:hAnsi="Arial"/>
                  <w:sz w:val="18"/>
                  <w:szCs w:val="18"/>
                  <w:color w:val="0000EE"/>
                  <w:w w:val="90"/>
                </w:rPr>
                <w:t>International Inc.) and BlackRock Institutional Trust Company, N.A.</w:t>
              </w:r>
            </w:hyperlink>
          </w:p>
        </w:tc>
        <w:tc>
          <w:tcPr>
            <w:tcW w:w="22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rPr>
            </w:pPr>
            <w:hyperlink r:id="rId262">
              <w:r>
                <w:rPr>
                  <w:rFonts w:ascii="Arial" w:cs="Arial" w:eastAsia="Arial" w:hAnsi="Arial"/>
                  <w:sz w:val="18"/>
                  <w:szCs w:val="18"/>
                  <w:color w:val="0000EE"/>
                </w:rPr>
                <w:t>(formerly,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10.85††#</w:t>
            </w:r>
          </w:p>
        </w:tc>
        <w:tc>
          <w:tcPr>
            <w:tcW w:w="474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63">
              <w:r>
                <w:rPr>
                  <w:rFonts w:ascii="Arial" w:cs="Arial" w:eastAsia="Arial" w:hAnsi="Arial"/>
                  <w:sz w:val="18"/>
                  <w:szCs w:val="18"/>
                  <w:color w:val="0000EE"/>
                  <w:w w:val="88"/>
                </w:rPr>
                <w:t>Amendment to the Index License Agreement for Funds, dated as of</w:t>
              </w:r>
            </w:hyperlink>
          </w:p>
        </w:tc>
        <w:tc>
          <w:tcPr>
            <w:tcW w:w="32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2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April 20, 2015, by and between MSCI Inc. (formerly, Morgan Stanley</w:t>
              </w:r>
            </w:hyperlink>
          </w:p>
        </w:tc>
        <w:tc>
          <w:tcPr>
            <w:tcW w:w="14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89"/>
              </w:rPr>
            </w:pPr>
            <w:hyperlink r:id="rId263">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6"/>
          </w:tcPr>
          <w:p>
            <w:pPr>
              <w:spacing w:after="0"/>
              <w:rPr>
                <w:sz w:val="16"/>
                <w:szCs w:val="16"/>
                <w:color w:val="auto"/>
              </w:rPr>
            </w:pPr>
          </w:p>
        </w:tc>
        <w:tc>
          <w:tcPr>
            <w:tcW w:w="80" w:type="dxa"/>
            <w:vAlign w:val="bottom"/>
            <w:gridSpan w:val="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10.86††#</w:t>
            </w:r>
          </w:p>
        </w:tc>
        <w:tc>
          <w:tcPr>
            <w:tcW w:w="474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64">
              <w:r>
                <w:rPr>
                  <w:rFonts w:ascii="Arial" w:cs="Arial" w:eastAsia="Arial" w:hAnsi="Arial"/>
                  <w:sz w:val="18"/>
                  <w:szCs w:val="18"/>
                  <w:color w:val="0000EE"/>
                  <w:w w:val="88"/>
                </w:rPr>
                <w:t>Amendment to the Index License Agreement for Funds, dated as of</w:t>
              </w:r>
            </w:hyperlink>
          </w:p>
        </w:tc>
        <w:tc>
          <w:tcPr>
            <w:tcW w:w="32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2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April 20, 2015, by and between MSCI Inc. (formerly, Morgan Stanley</w:t>
              </w:r>
            </w:hyperlink>
          </w:p>
        </w:tc>
        <w:tc>
          <w:tcPr>
            <w:tcW w:w="14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89"/>
              </w:rPr>
            </w:pPr>
            <w:hyperlink r:id="rId264">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6"/>
          </w:tcPr>
          <w:p>
            <w:pPr>
              <w:spacing w:after="0"/>
              <w:rPr>
                <w:sz w:val="16"/>
                <w:szCs w:val="16"/>
                <w:color w:val="auto"/>
              </w:rPr>
            </w:pPr>
          </w:p>
        </w:tc>
        <w:tc>
          <w:tcPr>
            <w:tcW w:w="80" w:type="dxa"/>
            <w:vAlign w:val="bottom"/>
            <w:gridSpan w:val="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10.87††#</w:t>
            </w:r>
          </w:p>
        </w:tc>
        <w:tc>
          <w:tcPr>
            <w:tcW w:w="5060" w:type="dxa"/>
            <w:vAlign w:val="bottom"/>
            <w:gridSpan w:val="22"/>
          </w:tcPr>
          <w:p>
            <w:pPr>
              <w:spacing w:after="0" w:line="190" w:lineRule="exact"/>
              <w:rPr>
                <w:rFonts w:ascii="Arial" w:cs="Arial" w:eastAsia="Arial" w:hAnsi="Arial"/>
                <w:sz w:val="18"/>
                <w:szCs w:val="18"/>
                <w:color w:val="0000EE"/>
                <w:w w:val="87"/>
              </w:rPr>
            </w:pPr>
            <w:hyperlink r:id="rId265">
              <w:r>
                <w:rPr>
                  <w:rFonts w:ascii="Arial" w:cs="Arial" w:eastAsia="Arial" w:hAnsi="Arial"/>
                  <w:sz w:val="18"/>
                  <w:szCs w:val="18"/>
                  <w:color w:val="0000EE"/>
                  <w:w w:val="87"/>
                </w:rPr>
                <w:t>Amendment (to amend the Amendment dated February 21, 2013) to the</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top w:val="single" w:sz="8" w:color="0000EE"/>
              <w:bottom w:val="single" w:sz="8" w:color="0000EE"/>
            </w:tcBorders>
            <w:gridSpan w:val="16"/>
          </w:tcPr>
          <w:p>
            <w:pPr>
              <w:spacing w:after="0" w:line="190" w:lineRule="exact"/>
              <w:rPr>
                <w:rFonts w:ascii="Arial" w:cs="Arial" w:eastAsia="Arial" w:hAnsi="Arial"/>
                <w:sz w:val="18"/>
                <w:szCs w:val="18"/>
                <w:color w:val="0000EE"/>
                <w:w w:val="87"/>
              </w:rPr>
            </w:pPr>
            <w:hyperlink r:id="rId265">
              <w:r>
                <w:rPr>
                  <w:rFonts w:ascii="Arial" w:cs="Arial" w:eastAsia="Arial" w:hAnsi="Arial"/>
                  <w:sz w:val="18"/>
                  <w:szCs w:val="18"/>
                  <w:color w:val="0000EE"/>
                  <w:w w:val="87"/>
                </w:rPr>
                <w:t>Index License Agreement for Funds, dated as of June 1, 2015, by and</w:t>
              </w:r>
            </w:hyperlink>
          </w:p>
        </w:tc>
        <w:tc>
          <w:tcPr>
            <w:tcW w:w="160" w:type="dxa"/>
            <w:vAlign w:val="bottom"/>
            <w:tcBorders>
              <w:top w:val="single" w:sz="8" w:color="0000EE"/>
            </w:tcBorders>
            <w:gridSpan w:val="5"/>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r:id="rId265">
              <w:r>
                <w:rPr>
                  <w:rFonts w:ascii="Arial" w:cs="Arial" w:eastAsia="Arial" w:hAnsi="Arial"/>
                  <w:sz w:val="18"/>
                  <w:szCs w:val="18"/>
                  <w:color w:val="0000EE"/>
                  <w:w w:val="89"/>
                </w:rPr>
                <w:t>between MSCI Inc. (formerly, Morgan Stanley Capital International</w:t>
              </w:r>
            </w:hyperlink>
          </w:p>
        </w:tc>
        <w:tc>
          <w:tcPr>
            <w:tcW w:w="28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65">
              <w:r>
                <w:rPr>
                  <w:rFonts w:ascii="Arial" w:cs="Arial" w:eastAsia="Arial" w:hAnsi="Arial"/>
                  <w:sz w:val="18"/>
                  <w:szCs w:val="18"/>
                  <w:color w:val="0000EE"/>
                  <w:w w:val="88"/>
                </w:rPr>
                <w:t>Inc.) and BlackRock Fund Advisors (as successor to Barclays Global</w:t>
              </w:r>
            </w:hyperlink>
          </w:p>
        </w:tc>
        <w:tc>
          <w:tcPr>
            <w:tcW w:w="20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65">
              <w:r>
                <w:rPr>
                  <w:rFonts w:ascii="Arial" w:cs="Arial" w:eastAsia="Arial" w:hAnsi="Arial"/>
                  <w:sz w:val="18"/>
                  <w:szCs w:val="18"/>
                  <w:color w:val="0000EE"/>
                  <w:w w:val="90"/>
                </w:rPr>
                <w:t>Investors, N.A.)</w:t>
              </w:r>
            </w:hyperlink>
          </w:p>
        </w:tc>
        <w:tc>
          <w:tcPr>
            <w:tcW w:w="3920" w:type="dxa"/>
            <w:vAlign w:val="bottom"/>
            <w:gridSpan w:val="21"/>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10.88††#</w:t>
            </w:r>
          </w:p>
        </w:tc>
        <w:tc>
          <w:tcPr>
            <w:tcW w:w="474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66">
              <w:r>
                <w:rPr>
                  <w:rFonts w:ascii="Arial" w:cs="Arial" w:eastAsia="Arial" w:hAnsi="Arial"/>
                  <w:sz w:val="18"/>
                  <w:szCs w:val="18"/>
                  <w:color w:val="0000EE"/>
                  <w:w w:val="88"/>
                </w:rPr>
                <w:t>Amendment to the Index License Agreement for Funds, dated as of</w:t>
              </w:r>
            </w:hyperlink>
          </w:p>
        </w:tc>
        <w:tc>
          <w:tcPr>
            <w:tcW w:w="32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66">
              <w:r>
                <w:rPr>
                  <w:rFonts w:ascii="Arial" w:cs="Arial" w:eastAsia="Arial" w:hAnsi="Arial"/>
                  <w:sz w:val="18"/>
                  <w:szCs w:val="18"/>
                  <w:color w:val="0000EE"/>
                  <w:w w:val="88"/>
                </w:rPr>
                <w:t>June 1, 2015, by and between MSCI Inc. (formerly, Morgan Stanley</w:t>
              </w:r>
            </w:hyperlink>
          </w:p>
        </w:tc>
        <w:tc>
          <w:tcPr>
            <w:tcW w:w="260" w:type="dxa"/>
            <w:vAlign w:val="bottom"/>
            <w:gridSpan w:val="10"/>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89"/>
              </w:rPr>
            </w:pPr>
            <w:hyperlink r:id="rId266">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266">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6"/>
          </w:tcPr>
          <w:p>
            <w:pPr>
              <w:spacing w:after="0"/>
              <w:rPr>
                <w:sz w:val="16"/>
                <w:szCs w:val="16"/>
                <w:color w:val="auto"/>
              </w:rPr>
            </w:pPr>
          </w:p>
        </w:tc>
        <w:tc>
          <w:tcPr>
            <w:tcW w:w="80" w:type="dxa"/>
            <w:vAlign w:val="bottom"/>
            <w:gridSpan w:val="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10.89††#</w:t>
            </w:r>
          </w:p>
        </w:tc>
        <w:tc>
          <w:tcPr>
            <w:tcW w:w="5060" w:type="dxa"/>
            <w:vAlign w:val="bottom"/>
            <w:tcBorders>
              <w:bottom w:val="single" w:sz="8" w:color="0000EE"/>
            </w:tcBorders>
            <w:gridSpan w:val="22"/>
          </w:tcPr>
          <w:p>
            <w:pPr>
              <w:spacing w:after="0" w:line="190" w:lineRule="exact"/>
              <w:rPr>
                <w:rFonts w:ascii="Arial" w:cs="Arial" w:eastAsia="Arial" w:hAnsi="Arial"/>
                <w:sz w:val="18"/>
                <w:szCs w:val="18"/>
                <w:color w:val="0000EE"/>
                <w:w w:val="87"/>
              </w:rPr>
            </w:pPr>
            <w:hyperlink r:id="rId267">
              <w:r>
                <w:rPr>
                  <w:rFonts w:ascii="Arial" w:cs="Arial" w:eastAsia="Arial" w:hAnsi="Arial"/>
                  <w:sz w:val="18"/>
                  <w:szCs w:val="18"/>
                  <w:color w:val="0000EE"/>
                  <w:w w:val="87"/>
                </w:rPr>
                <w:t>Amendment (to amend the Amendment dated November 6, 2012) to the</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7"/>
              </w:rPr>
            </w:pPr>
            <w:hyperlink r:id="rId267">
              <w:r>
                <w:rPr>
                  <w:rFonts w:ascii="Arial" w:cs="Arial" w:eastAsia="Arial" w:hAnsi="Arial"/>
                  <w:sz w:val="18"/>
                  <w:szCs w:val="18"/>
                  <w:color w:val="0000EE"/>
                  <w:w w:val="87"/>
                </w:rPr>
                <w:t>Index License Agreement for Funds, dated as of June 4, 2015, by and</w:t>
              </w:r>
            </w:hyperlink>
          </w:p>
        </w:tc>
        <w:tc>
          <w:tcPr>
            <w:tcW w:w="18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r:id="rId267">
              <w:r>
                <w:rPr>
                  <w:rFonts w:ascii="Arial" w:cs="Arial" w:eastAsia="Arial" w:hAnsi="Arial"/>
                  <w:sz w:val="18"/>
                  <w:szCs w:val="18"/>
                  <w:color w:val="0000EE"/>
                  <w:w w:val="89"/>
                </w:rPr>
                <w:t>between MSCI Inc. (formerly, Morgan Stanley Capital International</w:t>
              </w:r>
            </w:hyperlink>
          </w:p>
        </w:tc>
        <w:tc>
          <w:tcPr>
            <w:tcW w:w="28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67">
              <w:r>
                <w:rPr>
                  <w:rFonts w:ascii="Arial" w:cs="Arial" w:eastAsia="Arial" w:hAnsi="Arial"/>
                  <w:sz w:val="18"/>
                  <w:szCs w:val="18"/>
                  <w:color w:val="0000EE"/>
                  <w:w w:val="88"/>
                </w:rPr>
                <w:t>Inc.) and BlackRock Fund Advisors (as successor to Barclays Global</w:t>
              </w:r>
            </w:hyperlink>
          </w:p>
        </w:tc>
        <w:tc>
          <w:tcPr>
            <w:tcW w:w="20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67">
              <w:r>
                <w:rPr>
                  <w:rFonts w:ascii="Arial" w:cs="Arial" w:eastAsia="Arial" w:hAnsi="Arial"/>
                  <w:sz w:val="18"/>
                  <w:szCs w:val="18"/>
                  <w:color w:val="0000EE"/>
                  <w:w w:val="90"/>
                </w:rPr>
                <w:t>Investors, N.A.)</w:t>
              </w:r>
            </w:hyperlink>
          </w:p>
        </w:tc>
        <w:tc>
          <w:tcPr>
            <w:tcW w:w="3920" w:type="dxa"/>
            <w:vAlign w:val="bottom"/>
            <w:gridSpan w:val="21"/>
          </w:tcPr>
          <w:p>
            <w:pPr>
              <w:spacing w:after="0"/>
              <w:rPr>
                <w:sz w:val="16"/>
                <w:szCs w:val="16"/>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7"/>
              </w:rPr>
              <w:t>10.90†</w:t>
            </w:r>
          </w:p>
        </w:tc>
        <w:tc>
          <w:tcPr>
            <w:tcW w:w="5060" w:type="dxa"/>
            <w:vAlign w:val="bottom"/>
            <w:gridSpan w:val="22"/>
          </w:tcPr>
          <w:p>
            <w:pPr>
              <w:spacing w:after="0" w:line="190" w:lineRule="exact"/>
              <w:rPr>
                <w:rFonts w:ascii="Arial" w:cs="Arial" w:eastAsia="Arial" w:hAnsi="Arial"/>
                <w:sz w:val="18"/>
                <w:szCs w:val="18"/>
                <w:color w:val="0000EE"/>
                <w:w w:val="91"/>
              </w:rPr>
            </w:pPr>
            <w:hyperlink r:id="rId268">
              <w:r>
                <w:rPr>
                  <w:rFonts w:ascii="Arial" w:cs="Arial" w:eastAsia="Arial" w:hAnsi="Arial"/>
                  <w:sz w:val="18"/>
                  <w:szCs w:val="18"/>
                  <w:color w:val="0000EE"/>
                  <w:w w:val="91"/>
                </w:rPr>
                <w:t>Amendment (to amend the Amendments dated January 23, 2014 and</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13"/>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0"/>
              </w:rPr>
            </w:pPr>
            <w:hyperlink r:id="rId268">
              <w:r>
                <w:rPr>
                  <w:rFonts w:ascii="Arial" w:cs="Arial" w:eastAsia="Arial" w:hAnsi="Arial"/>
                  <w:sz w:val="18"/>
                  <w:szCs w:val="18"/>
                  <w:color w:val="0000EE"/>
                  <w:w w:val="90"/>
                </w:rPr>
                <w:t>April 15, 2014) to the Index License Agreement for Funds, dated as of</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top w:val="single" w:sz="8" w:color="0000EE"/>
              <w:bottom w:val="single" w:sz="8" w:color="0000EE"/>
            </w:tcBorders>
            <w:gridSpan w:val="12"/>
          </w:tcPr>
          <w:p>
            <w:pPr>
              <w:spacing w:after="0" w:line="190" w:lineRule="exact"/>
              <w:rPr>
                <w:rFonts w:ascii="Arial" w:cs="Arial" w:eastAsia="Arial" w:hAnsi="Arial"/>
                <w:sz w:val="18"/>
                <w:szCs w:val="18"/>
                <w:color w:val="0000EE"/>
                <w:w w:val="88"/>
              </w:rPr>
            </w:pPr>
            <w:hyperlink r:id="rId268">
              <w:r>
                <w:rPr>
                  <w:rFonts w:ascii="Arial" w:cs="Arial" w:eastAsia="Arial" w:hAnsi="Arial"/>
                  <w:sz w:val="18"/>
                  <w:szCs w:val="18"/>
                  <w:color w:val="0000EE"/>
                  <w:w w:val="88"/>
                </w:rPr>
                <w:t>June 4, 2015, by and between MSCI Inc. (formerly, Morgan Stanley</w:t>
              </w:r>
            </w:hyperlink>
          </w:p>
        </w:tc>
        <w:tc>
          <w:tcPr>
            <w:tcW w:w="160" w:type="dxa"/>
            <w:vAlign w:val="bottom"/>
            <w:tcBorders>
              <w:top w:val="single" w:sz="8" w:color="0000EE"/>
            </w:tcBorders>
            <w:gridSpan w:val="6"/>
          </w:tcPr>
          <w:p>
            <w:pPr>
              <w:spacing w:after="0"/>
              <w:rPr>
                <w:sz w:val="16"/>
                <w:szCs w:val="16"/>
                <w:color w:val="auto"/>
              </w:rPr>
            </w:pPr>
          </w:p>
        </w:tc>
        <w:tc>
          <w:tcPr>
            <w:tcW w:w="10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89"/>
              </w:rPr>
            </w:pPr>
            <w:hyperlink r:id="rId268">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268">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6"/>
          </w:tcPr>
          <w:p>
            <w:pPr>
              <w:spacing w:after="0"/>
              <w:rPr>
                <w:sz w:val="16"/>
                <w:szCs w:val="16"/>
                <w:color w:val="auto"/>
              </w:rPr>
            </w:pPr>
          </w:p>
        </w:tc>
        <w:tc>
          <w:tcPr>
            <w:tcW w:w="80" w:type="dxa"/>
            <w:vAlign w:val="bottom"/>
            <w:gridSpan w:val="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10.91††#</w:t>
            </w:r>
          </w:p>
        </w:tc>
        <w:tc>
          <w:tcPr>
            <w:tcW w:w="474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69">
              <w:r>
                <w:rPr>
                  <w:rFonts w:ascii="Arial" w:cs="Arial" w:eastAsia="Arial" w:hAnsi="Arial"/>
                  <w:sz w:val="18"/>
                  <w:szCs w:val="18"/>
                  <w:color w:val="0000EE"/>
                  <w:w w:val="88"/>
                </w:rPr>
                <w:t>Amendment to the Index License Agreement for Funds, dated as of</w:t>
              </w:r>
            </w:hyperlink>
          </w:p>
        </w:tc>
        <w:tc>
          <w:tcPr>
            <w:tcW w:w="32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2"/>
          </w:tcPr>
          <w:p>
            <w:pPr>
              <w:spacing w:after="0" w:line="190" w:lineRule="exact"/>
              <w:rPr>
                <w:rFonts w:ascii="Arial" w:cs="Arial" w:eastAsia="Arial" w:hAnsi="Arial"/>
                <w:sz w:val="18"/>
                <w:szCs w:val="18"/>
                <w:color w:val="0000EE"/>
                <w:w w:val="90"/>
              </w:rPr>
            </w:pPr>
            <w:hyperlink r:id="rId269">
              <w:r>
                <w:rPr>
                  <w:rFonts w:ascii="Arial" w:cs="Arial" w:eastAsia="Arial" w:hAnsi="Arial"/>
                  <w:sz w:val="18"/>
                  <w:szCs w:val="18"/>
                  <w:color w:val="0000EE"/>
                  <w:w w:val="90"/>
                </w:rPr>
                <w:t>August 1, 2015,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 w:lineRule="exact"/>
        <w:rPr>
          <w:sz w:val="20"/>
          <w:szCs w:val="20"/>
          <w:color w:val="auto"/>
        </w:rPr>
      </w:pPr>
    </w:p>
    <w:p>
      <w:pPr>
        <w:ind w:left="960" w:right="120"/>
        <w:spacing w:after="0" w:line="261" w:lineRule="auto"/>
        <w:rPr>
          <w:rFonts w:ascii="Arial" w:cs="Arial" w:eastAsia="Arial" w:hAnsi="Arial"/>
          <w:sz w:val="18"/>
          <w:szCs w:val="18"/>
          <w:u w:val="single" w:color="auto"/>
          <w:color w:val="0000EE"/>
        </w:rPr>
      </w:pPr>
      <w:hyperlink r:id="rId269">
        <w:r>
          <w:rPr>
            <w:rFonts w:ascii="Arial" w:cs="Arial" w:eastAsia="Arial" w:hAnsi="Arial"/>
            <w:sz w:val="18"/>
            <w:szCs w:val="18"/>
            <w:u w:val="single" w:color="auto"/>
            <w:color w:val="0000EE"/>
          </w:rPr>
          <w:t>Capital International Inc.) and BlackRock Fund Advisors (as successor</w:t>
        </w:r>
      </w:hyperlink>
      <w:r>
        <w:rPr>
          <w:rFonts w:ascii="Arial" w:cs="Arial" w:eastAsia="Arial" w:hAnsi="Arial"/>
          <w:sz w:val="18"/>
          <w:szCs w:val="18"/>
          <w:u w:val="single" w:color="auto"/>
          <w:color w:val="0000EE"/>
        </w:rPr>
        <w:t xml:space="preserve"> </w:t>
      </w:r>
      <w:hyperlink r:id="rId269">
        <w:r>
          <w:rPr>
            <w:rFonts w:ascii="Arial" w:cs="Arial" w:eastAsia="Arial" w:hAnsi="Arial"/>
            <w:sz w:val="18"/>
            <w:szCs w:val="18"/>
            <w:u w:val="single" w:color="auto"/>
            <w:color w:val="0000EE"/>
          </w:rPr>
          <w:t>to Barclays Global Investors, N.A.)</w:t>
        </w:r>
      </w:hyperlink>
    </w:p>
    <w:p>
      <w:pPr>
        <w:spacing w:after="0" w:line="1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64135</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10.102</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10.103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10.104</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10.105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10.106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10.110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10.111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10.112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94"/>
              <w:spacing w:after="0"/>
              <w:rPr>
                <w:sz w:val="20"/>
                <w:szCs w:val="20"/>
                <w:color w:val="auto"/>
              </w:rPr>
            </w:pPr>
            <w:r>
              <w:rPr>
                <w:rFonts w:ascii="Arial" w:cs="Arial" w:eastAsia="Arial" w:hAnsi="Arial"/>
                <w:sz w:val="18"/>
                <w:szCs w:val="18"/>
                <w:color w:val="auto"/>
                <w:w w:val="85"/>
              </w:rPr>
              <w:t>011-33812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10.113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10.116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bl>
    <w:p>
      <w:pPr>
        <w:sectPr>
          <w:pgSz w:w="11900" w:h="16838" w:orient="portrait"/>
          <w:cols w:equalWidth="0" w:num="2">
            <w:col w:w="6060" w:space="720"/>
            <w:col w:w="3980"/>
          </w:cols>
          <w:pgMar w:left="620" w:top="332" w:right="51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gridSpan w:val="22"/>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10.92††#</w:t>
            </w:r>
          </w:p>
        </w:tc>
        <w:tc>
          <w:tcPr>
            <w:tcW w:w="4920" w:type="dxa"/>
            <w:vAlign w:val="bottom"/>
            <w:tcBorders>
              <w:bottom w:val="single" w:sz="8" w:color="0000EE"/>
            </w:tcBorders>
            <w:gridSpan w:val="18"/>
          </w:tcPr>
          <w:p>
            <w:pPr>
              <w:spacing w:after="0"/>
              <w:rPr>
                <w:rFonts w:ascii="Arial" w:cs="Arial" w:eastAsia="Arial" w:hAnsi="Arial"/>
                <w:sz w:val="18"/>
                <w:szCs w:val="18"/>
                <w:color w:val="0000EE"/>
                <w:w w:val="88"/>
              </w:rPr>
            </w:pPr>
            <w:hyperlink r:id="rId271">
              <w:r>
                <w:rPr>
                  <w:rFonts w:ascii="Arial" w:cs="Arial" w:eastAsia="Arial" w:hAnsi="Arial"/>
                  <w:sz w:val="18"/>
                  <w:szCs w:val="18"/>
                  <w:color w:val="0000EE"/>
                  <w:w w:val="88"/>
                </w:rPr>
                <w:t>Amendment (to amend the Amendment dated October 4, 2011) to the</w:t>
              </w:r>
            </w:hyperlink>
          </w:p>
        </w:tc>
        <w:tc>
          <w:tcPr>
            <w:tcW w:w="160" w:type="dxa"/>
            <w:vAlign w:val="bottom"/>
            <w:gridSpan w:val="6"/>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4"/>
          </w:tcPr>
          <w:p>
            <w:pPr>
              <w:spacing w:after="0" w:line="190" w:lineRule="exact"/>
              <w:rPr>
                <w:rFonts w:ascii="Arial" w:cs="Arial" w:eastAsia="Arial" w:hAnsi="Arial"/>
                <w:sz w:val="18"/>
                <w:szCs w:val="18"/>
                <w:color w:val="0000EE"/>
                <w:w w:val="88"/>
              </w:rPr>
            </w:pPr>
            <w:hyperlink r:id="rId271">
              <w:r>
                <w:rPr>
                  <w:rFonts w:ascii="Arial" w:cs="Arial" w:eastAsia="Arial" w:hAnsi="Arial"/>
                  <w:sz w:val="18"/>
                  <w:szCs w:val="18"/>
                  <w:color w:val="0000EE"/>
                  <w:w w:val="88"/>
                </w:rPr>
                <w:t>Index License Agreement for Funds, dated as of August 3, 2015, by and</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top w:val="single" w:sz="8" w:color="0000EE"/>
              <w:bottom w:val="single" w:sz="8" w:color="0000EE"/>
            </w:tcBorders>
            <w:gridSpan w:val="11"/>
          </w:tcPr>
          <w:p>
            <w:pPr>
              <w:spacing w:after="0" w:line="190" w:lineRule="exact"/>
              <w:rPr>
                <w:rFonts w:ascii="Arial" w:cs="Arial" w:eastAsia="Arial" w:hAnsi="Arial"/>
                <w:sz w:val="18"/>
                <w:szCs w:val="18"/>
                <w:color w:val="0000EE"/>
                <w:w w:val="89"/>
              </w:rPr>
            </w:pPr>
            <w:hyperlink r:id="rId271">
              <w:r>
                <w:rPr>
                  <w:rFonts w:ascii="Arial" w:cs="Arial" w:eastAsia="Arial" w:hAnsi="Arial"/>
                  <w:sz w:val="18"/>
                  <w:szCs w:val="18"/>
                  <w:color w:val="0000EE"/>
                  <w:w w:val="89"/>
                </w:rPr>
                <w:t>between MSCI Inc. (formerly, Morgan Stanley Capital International</w:t>
              </w:r>
            </w:hyperlink>
          </w:p>
        </w:tc>
        <w:tc>
          <w:tcPr>
            <w:tcW w:w="280" w:type="dxa"/>
            <w:vAlign w:val="bottom"/>
            <w:tcBorders>
              <w:top w:val="single" w:sz="8" w:color="0000EE"/>
            </w:tcBorders>
            <w:gridSpan w:val="12"/>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71">
              <w:r>
                <w:rPr>
                  <w:rFonts w:ascii="Arial" w:cs="Arial" w:eastAsia="Arial" w:hAnsi="Arial"/>
                  <w:sz w:val="18"/>
                  <w:szCs w:val="18"/>
                  <w:color w:val="0000EE"/>
                  <w:w w:val="88"/>
                </w:rPr>
                <w:t>Inc.) and BlackRock Fund Advisors (as successor to Barclays Global</w:t>
              </w:r>
            </w:hyperlink>
          </w:p>
        </w:tc>
        <w:tc>
          <w:tcPr>
            <w:tcW w:w="20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Investors, N.A.)</w:t>
              </w:r>
            </w:hyperlink>
          </w:p>
        </w:tc>
        <w:tc>
          <w:tcPr>
            <w:tcW w:w="3940" w:type="dxa"/>
            <w:vAlign w:val="bottom"/>
            <w:gridSpan w:val="2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10.93††#</w:t>
            </w:r>
          </w:p>
        </w:tc>
        <w:tc>
          <w:tcPr>
            <w:tcW w:w="4960" w:type="dxa"/>
            <w:vAlign w:val="bottom"/>
            <w:tcBorders>
              <w:bottom w:val="single" w:sz="8" w:color="0000EE"/>
            </w:tcBorders>
            <w:gridSpan w:val="20"/>
          </w:tcPr>
          <w:p>
            <w:pPr>
              <w:spacing w:after="0" w:line="190" w:lineRule="exact"/>
              <w:rPr>
                <w:rFonts w:ascii="Arial" w:cs="Arial" w:eastAsia="Arial" w:hAnsi="Arial"/>
                <w:sz w:val="18"/>
                <w:szCs w:val="18"/>
                <w:color w:val="0000EE"/>
                <w:w w:val="87"/>
              </w:rPr>
            </w:pPr>
            <w:hyperlink r:id="rId272">
              <w:r>
                <w:rPr>
                  <w:rFonts w:ascii="Arial" w:cs="Arial" w:eastAsia="Arial" w:hAnsi="Arial"/>
                  <w:sz w:val="18"/>
                  <w:szCs w:val="18"/>
                  <w:color w:val="0000EE"/>
                  <w:w w:val="87"/>
                </w:rPr>
                <w:t>Amendment (to amend the Amendment dated January 23, 2014) to the</w:t>
              </w:r>
            </w:hyperlink>
          </w:p>
        </w:tc>
        <w:tc>
          <w:tcPr>
            <w:tcW w:w="12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4"/>
          </w:tcPr>
          <w:p>
            <w:pPr>
              <w:spacing w:after="0" w:line="190" w:lineRule="exact"/>
              <w:rPr>
                <w:rFonts w:ascii="Arial" w:cs="Arial" w:eastAsia="Arial" w:hAnsi="Arial"/>
                <w:sz w:val="18"/>
                <w:szCs w:val="18"/>
                <w:color w:val="0000EE"/>
                <w:w w:val="88"/>
              </w:rPr>
            </w:pPr>
            <w:hyperlink r:id="rId272">
              <w:r>
                <w:rPr>
                  <w:rFonts w:ascii="Arial" w:cs="Arial" w:eastAsia="Arial" w:hAnsi="Arial"/>
                  <w:sz w:val="18"/>
                  <w:szCs w:val="18"/>
                  <w:color w:val="0000EE"/>
                  <w:w w:val="88"/>
                </w:rPr>
                <w:t>Index License Agreement for Funds, dated as of August 3, 2015, by and</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top w:val="single" w:sz="8" w:color="0000EE"/>
              <w:bottom w:val="single" w:sz="8" w:color="0000EE"/>
            </w:tcBorders>
            <w:gridSpan w:val="11"/>
          </w:tcPr>
          <w:p>
            <w:pPr>
              <w:spacing w:after="0" w:line="190" w:lineRule="exact"/>
              <w:rPr>
                <w:rFonts w:ascii="Arial" w:cs="Arial" w:eastAsia="Arial" w:hAnsi="Arial"/>
                <w:sz w:val="18"/>
                <w:szCs w:val="18"/>
                <w:color w:val="0000EE"/>
                <w:w w:val="89"/>
              </w:rPr>
            </w:pPr>
            <w:hyperlink r:id="rId272">
              <w:r>
                <w:rPr>
                  <w:rFonts w:ascii="Arial" w:cs="Arial" w:eastAsia="Arial" w:hAnsi="Arial"/>
                  <w:sz w:val="18"/>
                  <w:szCs w:val="18"/>
                  <w:color w:val="0000EE"/>
                  <w:w w:val="89"/>
                </w:rPr>
                <w:t>between MSCI Inc. (formerly, Morgan Stanley Capital International</w:t>
              </w:r>
            </w:hyperlink>
          </w:p>
        </w:tc>
        <w:tc>
          <w:tcPr>
            <w:tcW w:w="280" w:type="dxa"/>
            <w:vAlign w:val="bottom"/>
            <w:tcBorders>
              <w:top w:val="single" w:sz="8" w:color="0000EE"/>
            </w:tcBorders>
            <w:gridSpan w:val="12"/>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72">
              <w:r>
                <w:rPr>
                  <w:rFonts w:ascii="Arial" w:cs="Arial" w:eastAsia="Arial" w:hAnsi="Arial"/>
                  <w:sz w:val="18"/>
                  <w:szCs w:val="18"/>
                  <w:color w:val="0000EE"/>
                  <w:w w:val="88"/>
                </w:rPr>
                <w:t>Inc.) and BlackRock Fund Advisors (as successor to Barclays Global</w:t>
              </w:r>
            </w:hyperlink>
          </w:p>
        </w:tc>
        <w:tc>
          <w:tcPr>
            <w:tcW w:w="20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72">
              <w:r>
                <w:rPr>
                  <w:rFonts w:ascii="Arial" w:cs="Arial" w:eastAsia="Arial" w:hAnsi="Arial"/>
                  <w:sz w:val="18"/>
                  <w:szCs w:val="18"/>
                  <w:color w:val="0000EE"/>
                  <w:w w:val="90"/>
                </w:rPr>
                <w:t>Investors, N.A.)</w:t>
              </w:r>
            </w:hyperlink>
          </w:p>
        </w:tc>
        <w:tc>
          <w:tcPr>
            <w:tcW w:w="3940" w:type="dxa"/>
            <w:vAlign w:val="bottom"/>
            <w:gridSpan w:val="2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10.94††#</w:t>
            </w:r>
          </w:p>
        </w:tc>
        <w:tc>
          <w:tcPr>
            <w:tcW w:w="4940" w:type="dxa"/>
            <w:vAlign w:val="bottom"/>
            <w:tcBorders>
              <w:bottom w:val="single" w:sz="8" w:color="0000EE"/>
            </w:tcBorders>
            <w:gridSpan w:val="19"/>
          </w:tcPr>
          <w:p>
            <w:pPr>
              <w:spacing w:after="0" w:line="190" w:lineRule="exact"/>
              <w:rPr>
                <w:rFonts w:ascii="Arial" w:cs="Arial" w:eastAsia="Arial" w:hAnsi="Arial"/>
                <w:sz w:val="18"/>
                <w:szCs w:val="18"/>
                <w:color w:val="0000EE"/>
                <w:w w:val="88"/>
              </w:rPr>
            </w:pPr>
            <w:hyperlink r:id="rId273">
              <w:r>
                <w:rPr>
                  <w:rFonts w:ascii="Arial" w:cs="Arial" w:eastAsia="Arial" w:hAnsi="Arial"/>
                  <w:sz w:val="18"/>
                  <w:szCs w:val="18"/>
                  <w:color w:val="0000EE"/>
                  <w:w w:val="88"/>
                </w:rPr>
                <w:t>Amendment (to amend the Amendment dated August 15, 2014) to the</w:t>
              </w:r>
            </w:hyperlink>
          </w:p>
        </w:tc>
        <w:tc>
          <w:tcPr>
            <w:tcW w:w="14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4"/>
          </w:tcPr>
          <w:p>
            <w:pPr>
              <w:spacing w:after="0" w:line="190" w:lineRule="exact"/>
              <w:rPr>
                <w:rFonts w:ascii="Arial" w:cs="Arial" w:eastAsia="Arial" w:hAnsi="Arial"/>
                <w:sz w:val="18"/>
                <w:szCs w:val="18"/>
                <w:color w:val="0000EE"/>
                <w:w w:val="88"/>
              </w:rPr>
            </w:pPr>
            <w:hyperlink r:id="rId273">
              <w:r>
                <w:rPr>
                  <w:rFonts w:ascii="Arial" w:cs="Arial" w:eastAsia="Arial" w:hAnsi="Arial"/>
                  <w:sz w:val="18"/>
                  <w:szCs w:val="18"/>
                  <w:color w:val="0000EE"/>
                  <w:w w:val="88"/>
                </w:rPr>
                <w:t>Index License Agreement for Funds, dated as of August 3, 2015, by and</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top w:val="single" w:sz="8" w:color="0000EE"/>
              <w:bottom w:val="single" w:sz="8" w:color="0000EE"/>
            </w:tcBorders>
            <w:gridSpan w:val="11"/>
          </w:tcPr>
          <w:p>
            <w:pPr>
              <w:spacing w:after="0" w:line="190" w:lineRule="exact"/>
              <w:rPr>
                <w:rFonts w:ascii="Arial" w:cs="Arial" w:eastAsia="Arial" w:hAnsi="Arial"/>
                <w:sz w:val="18"/>
                <w:szCs w:val="18"/>
                <w:color w:val="0000EE"/>
                <w:w w:val="89"/>
              </w:rPr>
            </w:pPr>
            <w:hyperlink r:id="rId273">
              <w:r>
                <w:rPr>
                  <w:rFonts w:ascii="Arial" w:cs="Arial" w:eastAsia="Arial" w:hAnsi="Arial"/>
                  <w:sz w:val="18"/>
                  <w:szCs w:val="18"/>
                  <w:color w:val="0000EE"/>
                  <w:w w:val="89"/>
                </w:rPr>
                <w:t>between MSCI Inc. (formerly, Morgan Stanley Capital International</w:t>
              </w:r>
            </w:hyperlink>
          </w:p>
        </w:tc>
        <w:tc>
          <w:tcPr>
            <w:tcW w:w="280" w:type="dxa"/>
            <w:vAlign w:val="bottom"/>
            <w:tcBorders>
              <w:top w:val="single" w:sz="8" w:color="0000EE"/>
            </w:tcBorders>
            <w:gridSpan w:val="12"/>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73">
              <w:r>
                <w:rPr>
                  <w:rFonts w:ascii="Arial" w:cs="Arial" w:eastAsia="Arial" w:hAnsi="Arial"/>
                  <w:sz w:val="18"/>
                  <w:szCs w:val="18"/>
                  <w:color w:val="0000EE"/>
                  <w:w w:val="88"/>
                </w:rPr>
                <w:t>Inc.) and BlackRock Fund Advisors (as successor to Barclays Global</w:t>
              </w:r>
            </w:hyperlink>
          </w:p>
        </w:tc>
        <w:tc>
          <w:tcPr>
            <w:tcW w:w="20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73">
              <w:r>
                <w:rPr>
                  <w:rFonts w:ascii="Arial" w:cs="Arial" w:eastAsia="Arial" w:hAnsi="Arial"/>
                  <w:sz w:val="18"/>
                  <w:szCs w:val="18"/>
                  <w:color w:val="0000EE"/>
                  <w:w w:val="90"/>
                </w:rPr>
                <w:t>Investors, N.A.)</w:t>
              </w:r>
            </w:hyperlink>
          </w:p>
        </w:tc>
        <w:tc>
          <w:tcPr>
            <w:tcW w:w="3940" w:type="dxa"/>
            <w:vAlign w:val="bottom"/>
            <w:gridSpan w:val="2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10.95††#</w:t>
            </w:r>
          </w:p>
        </w:tc>
        <w:tc>
          <w:tcPr>
            <w:tcW w:w="5060" w:type="dxa"/>
            <w:vAlign w:val="bottom"/>
            <w:tcBorders>
              <w:bottom w:val="single" w:sz="8" w:color="0000EE"/>
            </w:tcBorders>
            <w:gridSpan w:val="23"/>
          </w:tcPr>
          <w:p>
            <w:pPr>
              <w:spacing w:after="0" w:line="190" w:lineRule="exact"/>
              <w:rPr>
                <w:rFonts w:ascii="Arial" w:cs="Arial" w:eastAsia="Arial" w:hAnsi="Arial"/>
                <w:sz w:val="18"/>
                <w:szCs w:val="18"/>
                <w:color w:val="0000EE"/>
                <w:w w:val="88"/>
              </w:rPr>
            </w:pPr>
            <w:hyperlink r:id="rId274">
              <w:r>
                <w:rPr>
                  <w:rFonts w:ascii="Arial" w:cs="Arial" w:eastAsia="Arial" w:hAnsi="Arial"/>
                  <w:sz w:val="18"/>
                  <w:szCs w:val="18"/>
                  <w:color w:val="0000EE"/>
                  <w:w w:val="88"/>
                </w:rPr>
                <w:t>Letter Agreement (to amend the Amendment dated August 15, 2014) to</w:t>
              </w:r>
            </w:hyperlink>
          </w:p>
        </w:tc>
        <w:tc>
          <w:tcPr>
            <w:tcW w:w="2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4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274">
              <w:r>
                <w:rPr>
                  <w:rFonts w:ascii="Arial" w:cs="Arial" w:eastAsia="Arial" w:hAnsi="Arial"/>
                  <w:sz w:val="18"/>
                  <w:szCs w:val="18"/>
                  <w:color w:val="0000EE"/>
                  <w:w w:val="88"/>
                </w:rPr>
                <w:t>the Index License Agreement for Funds, dated as of August 3, 2015, by</w:t>
              </w:r>
            </w:hyperlink>
          </w:p>
        </w:tc>
        <w:tc>
          <w:tcPr>
            <w:tcW w:w="4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tcBorders>
              <w:bottom w:val="single" w:sz="8" w:color="0000EE"/>
            </w:tcBorders>
            <w:gridSpan w:val="24"/>
          </w:tcPr>
          <w:p>
            <w:pPr>
              <w:spacing w:after="0" w:line="190" w:lineRule="exact"/>
              <w:rPr>
                <w:rFonts w:ascii="Arial" w:cs="Arial" w:eastAsia="Arial" w:hAnsi="Arial"/>
                <w:sz w:val="18"/>
                <w:szCs w:val="18"/>
                <w:color w:val="0000EE"/>
                <w:w w:val="89"/>
              </w:rPr>
            </w:pPr>
            <w:hyperlink r:id="rId274">
              <w:r>
                <w:rPr>
                  <w:rFonts w:ascii="Arial" w:cs="Arial" w:eastAsia="Arial" w:hAnsi="Arial"/>
                  <w:sz w:val="18"/>
                  <w:szCs w:val="18"/>
                  <w:color w:val="0000EE"/>
                  <w:w w:val="89"/>
                </w:rPr>
                <w:t>and between MSCI Inc. (formerly, Morgan Stanley Capital International</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Borders>
              <w:bottom w:val="single" w:sz="8" w:color="0000EE"/>
            </w:tcBorders>
            <w:gridSpan w:val="9"/>
          </w:tcPr>
          <w:p>
            <w:pPr>
              <w:spacing w:after="0" w:line="190" w:lineRule="exact"/>
              <w:rPr>
                <w:rFonts w:ascii="Arial" w:cs="Arial" w:eastAsia="Arial" w:hAnsi="Arial"/>
                <w:sz w:val="18"/>
                <w:szCs w:val="18"/>
                <w:color w:val="0000EE"/>
                <w:w w:val="90"/>
              </w:rPr>
            </w:pPr>
            <w:hyperlink r:id="rId274">
              <w:r>
                <w:rPr>
                  <w:rFonts w:ascii="Arial" w:cs="Arial" w:eastAsia="Arial" w:hAnsi="Arial"/>
                  <w:sz w:val="18"/>
                  <w:szCs w:val="18"/>
                  <w:color w:val="0000EE"/>
                  <w:w w:val="90"/>
                </w:rPr>
                <w:t>Inc.) and BlackRock Institutional Trust Company, N.A. (formerly,</w:t>
              </w:r>
            </w:hyperlink>
          </w:p>
        </w:tc>
        <w:tc>
          <w:tcPr>
            <w:tcW w:w="440" w:type="dxa"/>
            <w:vAlign w:val="bottom"/>
            <w:gridSpan w:val="1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274">
              <w:r>
                <w:rPr>
                  <w:rFonts w:ascii="Arial" w:cs="Arial" w:eastAsia="Arial" w:hAnsi="Arial"/>
                  <w:sz w:val="18"/>
                  <w:szCs w:val="18"/>
                  <w:color w:val="0000EE"/>
                  <w:w w:val="90"/>
                </w:rPr>
                <w:t>Barclays Global Investors, N.A.)</w:t>
              </w:r>
            </w:hyperlink>
          </w:p>
        </w:tc>
        <w:tc>
          <w:tcPr>
            <w:tcW w:w="2760" w:type="dxa"/>
            <w:vAlign w:val="bottom"/>
            <w:gridSpan w:val="21"/>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10.96††#</w:t>
            </w:r>
          </w:p>
        </w:tc>
        <w:tc>
          <w:tcPr>
            <w:tcW w:w="492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r:id="rId275">
              <w:r>
                <w:rPr>
                  <w:rFonts w:ascii="Arial" w:cs="Arial" w:eastAsia="Arial" w:hAnsi="Arial"/>
                  <w:sz w:val="18"/>
                  <w:szCs w:val="18"/>
                  <w:color w:val="0000EE"/>
                  <w:w w:val="89"/>
                </w:rPr>
                <w:t>Letter Agreement (to amend the Amendment dated April 20, 2015) to</w:t>
              </w:r>
            </w:hyperlink>
          </w:p>
        </w:tc>
        <w:tc>
          <w:tcPr>
            <w:tcW w:w="16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00" w:type="dxa"/>
            <w:vAlign w:val="bottom"/>
            <w:tcBorders>
              <w:bottom w:val="single" w:sz="8" w:color="0000EE"/>
            </w:tcBorders>
            <w:gridSpan w:val="17"/>
          </w:tcPr>
          <w:p>
            <w:pPr>
              <w:spacing w:after="0" w:line="190" w:lineRule="exact"/>
              <w:rPr>
                <w:rFonts w:ascii="Arial" w:cs="Arial" w:eastAsia="Arial" w:hAnsi="Arial"/>
                <w:sz w:val="18"/>
                <w:szCs w:val="18"/>
                <w:color w:val="0000EE"/>
                <w:w w:val="88"/>
              </w:rPr>
            </w:pPr>
            <w:hyperlink r:id="rId275">
              <w:r>
                <w:rPr>
                  <w:rFonts w:ascii="Arial" w:cs="Arial" w:eastAsia="Arial" w:hAnsi="Arial"/>
                  <w:sz w:val="18"/>
                  <w:szCs w:val="18"/>
                  <w:color w:val="0000EE"/>
                  <w:w w:val="88"/>
                </w:rPr>
                <w:t>the Index License Agreement for Funds, dated as of October 9, 2015,</w:t>
              </w:r>
            </w:hyperlink>
          </w:p>
        </w:tc>
        <w:tc>
          <w:tcPr>
            <w:tcW w:w="18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6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r:id="rId275">
              <w:r>
                <w:rPr>
                  <w:rFonts w:ascii="Arial" w:cs="Arial" w:eastAsia="Arial" w:hAnsi="Arial"/>
                  <w:sz w:val="18"/>
                  <w:szCs w:val="18"/>
                  <w:color w:val="0000EE"/>
                  <w:w w:val="89"/>
                </w:rPr>
                <w:t>by and between MSCI Inc. (formerly, Morgan Stanley Capital</w:t>
              </w:r>
            </w:hyperlink>
          </w:p>
        </w:tc>
        <w:tc>
          <w:tcPr>
            <w:tcW w:w="720" w:type="dxa"/>
            <w:vAlign w:val="bottom"/>
            <w:gridSpan w:val="1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4"/>
          </w:tcPr>
          <w:p>
            <w:pPr>
              <w:spacing w:after="0" w:line="190" w:lineRule="exact"/>
              <w:rPr>
                <w:rFonts w:ascii="Arial" w:cs="Arial" w:eastAsia="Arial" w:hAnsi="Arial"/>
                <w:sz w:val="18"/>
                <w:szCs w:val="18"/>
                <w:color w:val="0000EE"/>
                <w:w w:val="94"/>
              </w:rPr>
            </w:pPr>
            <w:hyperlink r:id="rId275">
              <w:r>
                <w:rPr>
                  <w:rFonts w:ascii="Arial" w:cs="Arial" w:eastAsia="Arial" w:hAnsi="Arial"/>
                  <w:sz w:val="18"/>
                  <w:szCs w:val="18"/>
                  <w:color w:val="0000EE"/>
                  <w:w w:val="94"/>
                </w:rPr>
                <w:t>International Inc.) and BlackRock Institutional Trust Company, N.A.</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top w:val="single" w:sz="8" w:color="0000EE"/>
            </w:tcBorders>
            <w:gridSpan w:val="13"/>
          </w:tcPr>
          <w:p>
            <w:pPr>
              <w:spacing w:after="0" w:line="190" w:lineRule="exact"/>
              <w:rPr>
                <w:rFonts w:ascii="Arial" w:cs="Arial" w:eastAsia="Arial" w:hAnsi="Arial"/>
                <w:sz w:val="18"/>
                <w:szCs w:val="18"/>
                <w:color w:val="0000EE"/>
              </w:rPr>
            </w:pPr>
            <w:hyperlink r:id="rId275">
              <w:r>
                <w:rPr>
                  <w:rFonts w:ascii="Arial" w:cs="Arial" w:eastAsia="Arial" w:hAnsi="Arial"/>
                  <w:sz w:val="18"/>
                  <w:szCs w:val="18"/>
                  <w:color w:val="0000EE"/>
                </w:rPr>
                <w:t>(formerly, Barclays Global Investors, N.A.)</w:t>
              </w:r>
            </w:hyperlink>
          </w:p>
        </w:tc>
        <w:tc>
          <w:tcPr>
            <w:tcW w:w="260" w:type="dxa"/>
            <w:vAlign w:val="bottom"/>
            <w:gridSpan w:val="11"/>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10.97††#</w:t>
            </w:r>
          </w:p>
        </w:tc>
        <w:tc>
          <w:tcPr>
            <w:tcW w:w="5080" w:type="dxa"/>
            <w:vAlign w:val="bottom"/>
            <w:gridSpan w:val="24"/>
          </w:tcPr>
          <w:p>
            <w:pPr>
              <w:spacing w:after="0" w:line="190" w:lineRule="exact"/>
              <w:rPr>
                <w:rFonts w:ascii="Arial" w:cs="Arial" w:eastAsia="Arial" w:hAnsi="Arial"/>
                <w:sz w:val="18"/>
                <w:szCs w:val="18"/>
                <w:color w:val="0000EE"/>
                <w:w w:val="87"/>
              </w:rPr>
            </w:pPr>
            <w:hyperlink r:id="rId276">
              <w:r>
                <w:rPr>
                  <w:rFonts w:ascii="Arial" w:cs="Arial" w:eastAsia="Arial" w:hAnsi="Arial"/>
                  <w:sz w:val="18"/>
                  <w:szCs w:val="18"/>
                  <w:color w:val="0000EE"/>
                  <w:w w:val="87"/>
                </w:rPr>
                <w:t>Letter Agreement (to amend the Amendment dated December 10, 2013)</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top w:val="single" w:sz="8" w:color="0000EE"/>
              <w:bottom w:val="single" w:sz="8" w:color="0000EE"/>
            </w:tcBorders>
            <w:gridSpan w:val="15"/>
          </w:tcPr>
          <w:p>
            <w:pPr>
              <w:spacing w:after="0" w:line="190" w:lineRule="exact"/>
              <w:rPr>
                <w:rFonts w:ascii="Arial" w:cs="Arial" w:eastAsia="Arial" w:hAnsi="Arial"/>
                <w:sz w:val="18"/>
                <w:szCs w:val="18"/>
                <w:color w:val="0000EE"/>
                <w:w w:val="87"/>
              </w:rPr>
            </w:pPr>
            <w:hyperlink r:id="rId276">
              <w:r>
                <w:rPr>
                  <w:rFonts w:ascii="Arial" w:cs="Arial" w:eastAsia="Arial" w:hAnsi="Arial"/>
                  <w:sz w:val="18"/>
                  <w:szCs w:val="18"/>
                  <w:color w:val="0000EE"/>
                  <w:w w:val="87"/>
                </w:rPr>
                <w:t>to the Index License Agreement for Funds, dated as of December 17,</w:t>
              </w:r>
            </w:hyperlink>
          </w:p>
        </w:tc>
        <w:tc>
          <w:tcPr>
            <w:tcW w:w="200" w:type="dxa"/>
            <w:vAlign w:val="bottom"/>
            <w:tcBorders>
              <w:top w:val="single" w:sz="8" w:color="0000EE"/>
            </w:tcBorders>
            <w:gridSpan w:val="8"/>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r:id="rId276">
              <w:r>
                <w:rPr>
                  <w:rFonts w:ascii="Arial" w:cs="Arial" w:eastAsia="Arial" w:hAnsi="Arial"/>
                  <w:sz w:val="18"/>
                  <w:szCs w:val="18"/>
                  <w:color w:val="0000EE"/>
                  <w:w w:val="89"/>
                </w:rPr>
                <w:t>2015, by and between MSCI Inc. (formerly, Morgan Stanley Capital</w:t>
              </w:r>
            </w:hyperlink>
          </w:p>
        </w:tc>
        <w:tc>
          <w:tcPr>
            <w:tcW w:w="28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4"/>
          </w:tcPr>
          <w:p>
            <w:pPr>
              <w:spacing w:after="0" w:line="190" w:lineRule="exact"/>
              <w:rPr>
                <w:rFonts w:ascii="Arial" w:cs="Arial" w:eastAsia="Arial" w:hAnsi="Arial"/>
                <w:sz w:val="18"/>
                <w:szCs w:val="18"/>
                <w:color w:val="0000EE"/>
                <w:w w:val="94"/>
              </w:rPr>
            </w:pPr>
            <w:hyperlink r:id="rId276">
              <w:r>
                <w:rPr>
                  <w:rFonts w:ascii="Arial" w:cs="Arial" w:eastAsia="Arial" w:hAnsi="Arial"/>
                  <w:sz w:val="18"/>
                  <w:szCs w:val="18"/>
                  <w:color w:val="0000EE"/>
                  <w:w w:val="94"/>
                </w:rPr>
                <w:t>International Inc.) and BlackRock Institutional Trust Company, N.A.</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top w:val="single" w:sz="8" w:color="0000EE"/>
            </w:tcBorders>
            <w:gridSpan w:val="13"/>
          </w:tcPr>
          <w:p>
            <w:pPr>
              <w:spacing w:after="0" w:line="190" w:lineRule="exact"/>
              <w:rPr>
                <w:rFonts w:ascii="Arial" w:cs="Arial" w:eastAsia="Arial" w:hAnsi="Arial"/>
                <w:sz w:val="18"/>
                <w:szCs w:val="18"/>
                <w:color w:val="0000EE"/>
              </w:rPr>
            </w:pPr>
            <w:hyperlink r:id="rId276">
              <w:r>
                <w:rPr>
                  <w:rFonts w:ascii="Arial" w:cs="Arial" w:eastAsia="Arial" w:hAnsi="Arial"/>
                  <w:sz w:val="18"/>
                  <w:szCs w:val="18"/>
                  <w:color w:val="0000EE"/>
                </w:rPr>
                <w:t>(formerly, Barclays Global Investors, N.A.)</w:t>
              </w:r>
            </w:hyperlink>
          </w:p>
        </w:tc>
        <w:tc>
          <w:tcPr>
            <w:tcW w:w="260" w:type="dxa"/>
            <w:vAlign w:val="bottom"/>
            <w:gridSpan w:val="11"/>
          </w:tcPr>
          <w:p>
            <w:pPr>
              <w:spacing w:after="0"/>
              <w:rPr>
                <w:sz w:val="16"/>
                <w:szCs w:val="16"/>
                <w:color w:val="auto"/>
              </w:rPr>
            </w:pPr>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0"/>
        </w:trPr>
        <w:tc>
          <w:tcPr>
            <w:tcW w:w="56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88"/>
              </w:rPr>
              <w:t>10.98</w:t>
            </w:r>
          </w:p>
        </w:tc>
        <w:tc>
          <w:tcPr>
            <w:tcW w:w="400" w:type="dxa"/>
            <w:vAlign w:val="bottom"/>
          </w:tcPr>
          <w:p>
            <w:pPr>
              <w:spacing w:after="0"/>
              <w:rPr>
                <w:sz w:val="16"/>
                <w:szCs w:val="16"/>
                <w:color w:val="auto"/>
              </w:rPr>
            </w:pPr>
          </w:p>
        </w:tc>
        <w:tc>
          <w:tcPr>
            <w:tcW w:w="4960" w:type="dxa"/>
            <w:vAlign w:val="bottom"/>
            <w:tcBorders>
              <w:bottom w:val="single" w:sz="8" w:color="0000EE"/>
            </w:tcBorders>
            <w:gridSpan w:val="20"/>
          </w:tcPr>
          <w:p>
            <w:pPr>
              <w:spacing w:after="0" w:line="190" w:lineRule="exact"/>
              <w:rPr>
                <w:rFonts w:ascii="Arial" w:cs="Arial" w:eastAsia="Arial" w:hAnsi="Arial"/>
                <w:sz w:val="18"/>
                <w:szCs w:val="18"/>
                <w:color w:val="0000EE"/>
                <w:w w:val="87"/>
              </w:rPr>
            </w:pPr>
            <w:hyperlink r:id="rId277">
              <w:r>
                <w:rPr>
                  <w:rFonts w:ascii="Arial" w:cs="Arial" w:eastAsia="Arial" w:hAnsi="Arial"/>
                  <w:sz w:val="18"/>
                  <w:szCs w:val="18"/>
                  <w:color w:val="0000EE"/>
                  <w:w w:val="87"/>
                </w:rPr>
                <w:t>Amendment (to amend the Amendment dated January 23, 2014) to the</w:t>
              </w:r>
            </w:hyperlink>
          </w:p>
        </w:tc>
        <w:tc>
          <w:tcPr>
            <w:tcW w:w="12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277">
              <w:r>
                <w:rPr>
                  <w:rFonts w:ascii="Arial" w:cs="Arial" w:eastAsia="Arial" w:hAnsi="Arial"/>
                  <w:sz w:val="18"/>
                  <w:szCs w:val="18"/>
                  <w:color w:val="0000EE"/>
                  <w:w w:val="88"/>
                </w:rPr>
                <w:t>Index License Agreement for Funds, dated as of April 15, 2014, by and</w:t>
              </w:r>
            </w:hyperlink>
          </w:p>
        </w:tc>
        <w:tc>
          <w:tcPr>
            <w:tcW w:w="60" w:type="dxa"/>
            <w:vAlign w:val="bottom"/>
            <w:gridSpan w:val="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r:id="rId277">
              <w:r>
                <w:rPr>
                  <w:rFonts w:ascii="Arial" w:cs="Arial" w:eastAsia="Arial" w:hAnsi="Arial"/>
                  <w:sz w:val="18"/>
                  <w:szCs w:val="18"/>
                  <w:color w:val="0000EE"/>
                  <w:w w:val="89"/>
                </w:rPr>
                <w:t>between MSCI Inc. (formerly, Morgan Stanley Capital International</w:t>
              </w:r>
            </w:hyperlink>
          </w:p>
        </w:tc>
        <w:tc>
          <w:tcPr>
            <w:tcW w:w="300" w:type="dxa"/>
            <w:vAlign w:val="bottom"/>
            <w:gridSpan w:val="1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77">
              <w:r>
                <w:rPr>
                  <w:rFonts w:ascii="Arial" w:cs="Arial" w:eastAsia="Arial" w:hAnsi="Arial"/>
                  <w:sz w:val="18"/>
                  <w:szCs w:val="18"/>
                  <w:color w:val="0000EE"/>
                  <w:w w:val="88"/>
                </w:rPr>
                <w:t>Inc.) and BlackRock Fund Advisors (as successor to Barclays Global</w:t>
              </w:r>
            </w:hyperlink>
          </w:p>
        </w:tc>
        <w:tc>
          <w:tcPr>
            <w:tcW w:w="20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77">
              <w:r>
                <w:rPr>
                  <w:rFonts w:ascii="Arial" w:cs="Arial" w:eastAsia="Arial" w:hAnsi="Arial"/>
                  <w:sz w:val="18"/>
                  <w:szCs w:val="18"/>
                  <w:color w:val="0000EE"/>
                  <w:w w:val="90"/>
                </w:rPr>
                <w:t>Investors, N.A.)</w:t>
              </w:r>
            </w:hyperlink>
          </w:p>
        </w:tc>
        <w:tc>
          <w:tcPr>
            <w:tcW w:w="3940" w:type="dxa"/>
            <w:vAlign w:val="bottom"/>
            <w:gridSpan w:val="23"/>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10.99††#</w:t>
            </w:r>
          </w:p>
        </w:tc>
        <w:tc>
          <w:tcPr>
            <w:tcW w:w="474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78">
              <w:r>
                <w:rPr>
                  <w:rFonts w:ascii="Arial" w:cs="Arial" w:eastAsia="Arial" w:hAnsi="Arial"/>
                  <w:sz w:val="18"/>
                  <w:szCs w:val="18"/>
                  <w:color w:val="0000EE"/>
                  <w:w w:val="88"/>
                </w:rPr>
                <w:t>Amendment to the Index License Agreement for Funds, dated as of</w:t>
              </w:r>
            </w:hyperlink>
          </w:p>
        </w:tc>
        <w:tc>
          <w:tcPr>
            <w:tcW w:w="340" w:type="dxa"/>
            <w:vAlign w:val="bottom"/>
            <w:gridSpan w:val="1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4"/>
          </w:tcPr>
          <w:p>
            <w:pPr>
              <w:spacing w:after="0" w:line="190" w:lineRule="exact"/>
              <w:rPr>
                <w:rFonts w:ascii="Arial" w:cs="Arial" w:eastAsia="Arial" w:hAnsi="Arial"/>
                <w:sz w:val="18"/>
                <w:szCs w:val="18"/>
                <w:color w:val="0000EE"/>
                <w:w w:val="99"/>
              </w:rPr>
            </w:pPr>
            <w:hyperlink r:id="rId278">
              <w:r>
                <w:rPr>
                  <w:rFonts w:ascii="Arial" w:cs="Arial" w:eastAsia="Arial" w:hAnsi="Arial"/>
                  <w:sz w:val="18"/>
                  <w:szCs w:val="18"/>
                  <w:color w:val="0000EE"/>
                  <w:w w:val="99"/>
                </w:rPr>
                <w:t>January 28, 2016,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gridSpan w:val="6"/>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278">
              <w:r>
                <w:rPr>
                  <w:rFonts w:ascii="Arial" w:cs="Arial" w:eastAsia="Arial" w:hAnsi="Arial"/>
                  <w:sz w:val="18"/>
                  <w:szCs w:val="18"/>
                  <w:color w:val="0000EE"/>
                  <w:w w:val="89"/>
                </w:rPr>
                <w:t>Stanley Capital International Inc.) and BlackRock Fund Advisors (as</w:t>
              </w:r>
            </w:hyperlink>
          </w:p>
        </w:tc>
        <w:tc>
          <w:tcPr>
            <w:tcW w:w="240" w:type="dxa"/>
            <w:vAlign w:val="bottom"/>
            <w:gridSpan w:val="10"/>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4"/>
          </w:tcPr>
          <w:p>
            <w:pPr>
              <w:spacing w:after="0" w:line="190" w:lineRule="exact"/>
              <w:rPr>
                <w:rFonts w:ascii="Arial" w:cs="Arial" w:eastAsia="Arial" w:hAnsi="Arial"/>
                <w:sz w:val="18"/>
                <w:szCs w:val="18"/>
                <w:color w:val="0000EE"/>
              </w:rPr>
            </w:pPr>
            <w:hyperlink r:id="rId278">
              <w:r>
                <w:rPr>
                  <w:rFonts w:ascii="Arial" w:cs="Arial" w:eastAsia="Arial" w:hAnsi="Arial"/>
                  <w:sz w:val="18"/>
                  <w:szCs w:val="18"/>
                  <w:color w:val="0000EE"/>
                </w:rPr>
                <w:t>successor to Barclays Global Investors, N.A.)</w:t>
              </w:r>
            </w:hyperlink>
          </w:p>
        </w:tc>
      </w:tr>
      <w:tr>
        <w:trPr>
          <w:trHeight w:val="439"/>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Borders>
              <w:top w:val="single" w:sz="8" w:color="0000EE"/>
            </w:tcBorders>
            <w:gridSpan w:val="6"/>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54610</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23"/>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83"/>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001-33812</w:t>
            </w:r>
          </w:p>
        </w:tc>
        <w:tc>
          <w:tcPr>
            <w:tcW w:w="640" w:type="dxa"/>
            <w:vAlign w:val="bottom"/>
          </w:tcPr>
          <w:p>
            <w:pPr>
              <w:jc w:val="right"/>
              <w:ind w:right="3"/>
              <w:spacing w:after="0"/>
              <w:rPr>
                <w:sz w:val="20"/>
                <w:szCs w:val="20"/>
                <w:color w:val="auto"/>
              </w:rPr>
            </w:pPr>
            <w:r>
              <w:rPr>
                <w:rFonts w:ascii="Arial" w:cs="Arial" w:eastAsia="Arial" w:hAnsi="Arial"/>
                <w:sz w:val="18"/>
                <w:szCs w:val="18"/>
                <w:color w:val="auto"/>
                <w:w w:val="98"/>
              </w:rPr>
              <w:t>10.117</w:t>
            </w:r>
          </w:p>
        </w:tc>
        <w:tc>
          <w:tcPr>
            <w:tcW w:w="14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2/12/2021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280" w:val="left"/>
          <w:tab w:leader="none" w:pos="24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001-33812</w:t>
      </w:r>
      <w:r>
        <w:rPr>
          <w:sz w:val="20"/>
          <w:szCs w:val="20"/>
          <w:color w:val="auto"/>
        </w:rPr>
        <w:tab/>
      </w:r>
      <w:r>
        <w:rPr>
          <w:rFonts w:ascii="Arial" w:cs="Arial" w:eastAsia="Arial" w:hAnsi="Arial"/>
          <w:sz w:val="18"/>
          <w:szCs w:val="18"/>
          <w:color w:val="auto"/>
        </w:rPr>
        <w:t>10.118</w:t>
      </w:r>
      <w:r>
        <w:rPr>
          <w:sz w:val="20"/>
          <w:szCs w:val="20"/>
          <w:color w:val="auto"/>
        </w:rPr>
        <w:tab/>
      </w:r>
      <w:r>
        <w:rPr>
          <w:rFonts w:ascii="Arial" w:cs="Arial" w:eastAsia="Arial" w:hAnsi="Arial"/>
          <w:sz w:val="16"/>
          <w:szCs w:val="16"/>
          <w:color w:val="auto"/>
        </w:rPr>
        <w:t>2/12/2021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280" w:val="left"/>
          <w:tab w:leader="none" w:pos="24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001-33812</w:t>
      </w:r>
      <w:r>
        <w:rPr>
          <w:sz w:val="20"/>
          <w:szCs w:val="20"/>
          <w:color w:val="auto"/>
        </w:rPr>
        <w:tab/>
      </w:r>
      <w:r>
        <w:rPr>
          <w:rFonts w:ascii="Arial" w:cs="Arial" w:eastAsia="Arial" w:hAnsi="Arial"/>
          <w:sz w:val="18"/>
          <w:szCs w:val="18"/>
          <w:color w:val="auto"/>
        </w:rPr>
        <w:t>10.119</w:t>
      </w:r>
      <w:r>
        <w:rPr>
          <w:sz w:val="20"/>
          <w:szCs w:val="20"/>
          <w:color w:val="auto"/>
        </w:rPr>
        <w:tab/>
      </w:r>
      <w:r>
        <w:rPr>
          <w:rFonts w:ascii="Arial" w:cs="Arial" w:eastAsia="Arial" w:hAnsi="Arial"/>
          <w:sz w:val="16"/>
          <w:szCs w:val="16"/>
          <w:color w:val="auto"/>
        </w:rPr>
        <w:t>2/12/2021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280" w:val="left"/>
          <w:tab w:leader="none" w:pos="24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001-33812</w:t>
      </w:r>
      <w:r>
        <w:rPr>
          <w:sz w:val="20"/>
          <w:szCs w:val="20"/>
          <w:color w:val="auto"/>
        </w:rPr>
        <w:tab/>
      </w:r>
      <w:r>
        <w:rPr>
          <w:rFonts w:ascii="Arial" w:cs="Arial" w:eastAsia="Arial" w:hAnsi="Arial"/>
          <w:sz w:val="18"/>
          <w:szCs w:val="18"/>
          <w:color w:val="auto"/>
        </w:rPr>
        <w:t>10.120</w:t>
      </w:r>
      <w:r>
        <w:rPr>
          <w:sz w:val="20"/>
          <w:szCs w:val="20"/>
          <w:color w:val="auto"/>
        </w:rPr>
        <w:tab/>
      </w:r>
      <w:r>
        <w:rPr>
          <w:rFonts w:ascii="Arial" w:cs="Arial" w:eastAsia="Arial" w:hAnsi="Arial"/>
          <w:sz w:val="16"/>
          <w:szCs w:val="16"/>
          <w:color w:val="auto"/>
        </w:rPr>
        <w:t>2/12/2021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280" w:val="left"/>
          <w:tab w:leader="none" w:pos="24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001-33812</w:t>
      </w:r>
      <w:r>
        <w:rPr>
          <w:sz w:val="20"/>
          <w:szCs w:val="20"/>
          <w:color w:val="auto"/>
        </w:rPr>
        <w:tab/>
      </w:r>
      <w:r>
        <w:rPr>
          <w:rFonts w:ascii="Arial" w:cs="Arial" w:eastAsia="Arial" w:hAnsi="Arial"/>
          <w:sz w:val="18"/>
          <w:szCs w:val="18"/>
          <w:color w:val="auto"/>
        </w:rPr>
        <w:t>10.121</w:t>
      </w:r>
      <w:r>
        <w:rPr>
          <w:sz w:val="20"/>
          <w:szCs w:val="20"/>
          <w:color w:val="auto"/>
        </w:rPr>
        <w:tab/>
      </w:r>
      <w:r>
        <w:rPr>
          <w:rFonts w:ascii="Arial" w:cs="Arial" w:eastAsia="Arial" w:hAnsi="Arial"/>
          <w:sz w:val="16"/>
          <w:szCs w:val="16"/>
          <w:color w:val="auto"/>
        </w:rPr>
        <w:t>2/12/2021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280" w:val="left"/>
          <w:tab w:leader="none" w:pos="24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001-33812</w:t>
      </w:r>
      <w:r>
        <w:rPr>
          <w:sz w:val="20"/>
          <w:szCs w:val="20"/>
          <w:color w:val="auto"/>
        </w:rPr>
        <w:tab/>
      </w:r>
      <w:r>
        <w:rPr>
          <w:rFonts w:ascii="Arial" w:cs="Arial" w:eastAsia="Arial" w:hAnsi="Arial"/>
          <w:sz w:val="18"/>
          <w:szCs w:val="18"/>
          <w:color w:val="auto"/>
        </w:rPr>
        <w:t>10.122</w:t>
      </w:r>
      <w:r>
        <w:rPr>
          <w:sz w:val="20"/>
          <w:szCs w:val="20"/>
          <w:color w:val="auto"/>
        </w:rPr>
        <w:tab/>
      </w:r>
      <w:r>
        <w:rPr>
          <w:rFonts w:ascii="Arial" w:cs="Arial" w:eastAsia="Arial" w:hAnsi="Arial"/>
          <w:sz w:val="16"/>
          <w:szCs w:val="16"/>
          <w:color w:val="auto"/>
        </w:rPr>
        <w:t>2/12/2021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280" w:val="left"/>
          <w:tab w:leader="none" w:pos="24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001-33812</w:t>
      </w:r>
      <w:r>
        <w:rPr>
          <w:sz w:val="20"/>
          <w:szCs w:val="20"/>
          <w:color w:val="auto"/>
        </w:rPr>
        <w:tab/>
      </w:r>
      <w:r>
        <w:rPr>
          <w:rFonts w:ascii="Arial" w:cs="Arial" w:eastAsia="Arial" w:hAnsi="Arial"/>
          <w:sz w:val="18"/>
          <w:szCs w:val="18"/>
          <w:color w:val="auto"/>
        </w:rPr>
        <w:t>10.126</w:t>
      </w:r>
      <w:r>
        <w:rPr>
          <w:sz w:val="20"/>
          <w:szCs w:val="20"/>
          <w:color w:val="auto"/>
        </w:rPr>
        <w:tab/>
      </w:r>
      <w:r>
        <w:rPr>
          <w:rFonts w:ascii="Arial" w:cs="Arial" w:eastAsia="Arial" w:hAnsi="Arial"/>
          <w:sz w:val="16"/>
          <w:szCs w:val="16"/>
          <w:color w:val="auto"/>
        </w:rPr>
        <w:t>2/26/2016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280" w:val="left"/>
          <w:tab w:leader="none" w:pos="24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001-33812</w:t>
      </w:r>
      <w:r>
        <w:rPr>
          <w:sz w:val="20"/>
          <w:szCs w:val="20"/>
          <w:color w:val="auto"/>
        </w:rPr>
        <w:tab/>
      </w:r>
      <w:r>
        <w:rPr>
          <w:rFonts w:ascii="Arial" w:cs="Arial" w:eastAsia="Arial" w:hAnsi="Arial"/>
          <w:sz w:val="18"/>
          <w:szCs w:val="18"/>
          <w:color w:val="auto"/>
        </w:rPr>
        <w:t>10.127</w:t>
      </w:r>
      <w:r>
        <w:rPr>
          <w:sz w:val="20"/>
          <w:szCs w:val="20"/>
          <w:color w:val="auto"/>
        </w:rPr>
        <w:tab/>
      </w:r>
      <w:r>
        <w:rPr>
          <w:rFonts w:ascii="Arial" w:cs="Arial" w:eastAsia="Arial" w:hAnsi="Arial"/>
          <w:sz w:val="16"/>
          <w:szCs w:val="16"/>
          <w:color w:val="auto"/>
        </w:rPr>
        <w:t>2/12/2021</w:t>
      </w:r>
    </w:p>
    <w:p>
      <w:pPr>
        <w:sectPr>
          <w:pgSz w:w="11900" w:h="16838" w:orient="portrait"/>
          <w:cols w:equalWidth="0" w:num="2">
            <w:col w:w="6060" w:space="720"/>
            <w:col w:w="3980"/>
          </w:cols>
          <w:pgMar w:left="620" w:top="332" w:right="5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14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gridSpan w:val="21"/>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10.100††#</w:t>
            </w:r>
          </w:p>
        </w:tc>
        <w:tc>
          <w:tcPr>
            <w:tcW w:w="4740" w:type="dxa"/>
            <w:vAlign w:val="bottom"/>
            <w:tcBorders>
              <w:bottom w:val="single" w:sz="8" w:color="0000EE"/>
            </w:tcBorders>
            <w:gridSpan w:val="11"/>
          </w:tcPr>
          <w:p>
            <w:pPr>
              <w:spacing w:after="0"/>
              <w:rPr>
                <w:rFonts w:ascii="Arial" w:cs="Arial" w:eastAsia="Arial" w:hAnsi="Arial"/>
                <w:sz w:val="18"/>
                <w:szCs w:val="18"/>
                <w:color w:val="0000EE"/>
                <w:w w:val="88"/>
              </w:rPr>
            </w:pPr>
            <w:hyperlink r:id="rId280">
              <w:r>
                <w:rPr>
                  <w:rFonts w:ascii="Arial" w:cs="Arial" w:eastAsia="Arial" w:hAnsi="Arial"/>
                  <w:sz w:val="18"/>
                  <w:szCs w:val="18"/>
                  <w:color w:val="0000EE"/>
                  <w:w w:val="88"/>
                </w:rPr>
                <w:t>Amendment to the Index License Agreement for Funds, dated as of</w:t>
              </w:r>
            </w:hyperlink>
          </w:p>
        </w:tc>
        <w:tc>
          <w:tcPr>
            <w:tcW w:w="340" w:type="dxa"/>
            <w:vAlign w:val="bottom"/>
            <w:gridSpan w:val="12"/>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bottom w:val="single" w:sz="8" w:color="0000EE"/>
            </w:tcBorders>
            <w:gridSpan w:val="10"/>
          </w:tcPr>
          <w:p>
            <w:pPr>
              <w:spacing w:after="0" w:line="190" w:lineRule="exact"/>
              <w:rPr>
                <w:rFonts w:ascii="Arial" w:cs="Arial" w:eastAsia="Arial" w:hAnsi="Arial"/>
                <w:sz w:val="18"/>
                <w:szCs w:val="18"/>
                <w:color w:val="0000EE"/>
                <w:w w:val="89"/>
              </w:rPr>
            </w:pPr>
            <w:hyperlink r:id="rId280">
              <w:r>
                <w:rPr>
                  <w:rFonts w:ascii="Arial" w:cs="Arial" w:eastAsia="Arial" w:hAnsi="Arial"/>
                  <w:sz w:val="18"/>
                  <w:szCs w:val="18"/>
                  <w:color w:val="0000EE"/>
                  <w:w w:val="89"/>
                </w:rPr>
                <w:t>February 29, 2016, by and between MSCI Inc. (formerly, Morgan</w:t>
              </w:r>
            </w:hyperlink>
          </w:p>
        </w:tc>
        <w:tc>
          <w:tcPr>
            <w:tcW w:w="460" w:type="dxa"/>
            <w:vAlign w:val="bottom"/>
            <w:gridSpan w:val="13"/>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280">
              <w:r>
                <w:rPr>
                  <w:rFonts w:ascii="Arial" w:cs="Arial" w:eastAsia="Arial" w:hAnsi="Arial"/>
                  <w:sz w:val="18"/>
                  <w:szCs w:val="18"/>
                  <w:color w:val="0000EE"/>
                  <w:w w:val="89"/>
                </w:rPr>
                <w:t>Stanley Capital International Inc.) and BlackRock Fund Advisors (as</w:t>
              </w:r>
            </w:hyperlink>
          </w:p>
        </w:tc>
        <w:tc>
          <w:tcPr>
            <w:tcW w:w="240" w:type="dxa"/>
            <w:vAlign w:val="bottom"/>
            <w:gridSpan w:val="9"/>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tcBorders>
              <w:bottom w:val="single" w:sz="8" w:color="0000EE"/>
            </w:tcBorders>
            <w:gridSpan w:val="6"/>
          </w:tcPr>
          <w:p>
            <w:pPr>
              <w:spacing w:after="0" w:line="190" w:lineRule="exact"/>
              <w:rPr>
                <w:rFonts w:ascii="Arial" w:cs="Arial" w:eastAsia="Arial" w:hAnsi="Arial"/>
                <w:sz w:val="18"/>
                <w:szCs w:val="18"/>
                <w:color w:val="0000EE"/>
                <w:w w:val="88"/>
              </w:rPr>
            </w:pPr>
            <w:hyperlink r:id="rId280">
              <w:r>
                <w:rPr>
                  <w:rFonts w:ascii="Arial" w:cs="Arial" w:eastAsia="Arial" w:hAnsi="Arial"/>
                  <w:sz w:val="18"/>
                  <w:szCs w:val="18"/>
                  <w:color w:val="0000EE"/>
                  <w:w w:val="88"/>
                </w:rPr>
                <w:t>successor to Barclays Global Investors, N.A.)</w:t>
              </w:r>
            </w:hyperlink>
          </w:p>
        </w:tc>
        <w:tc>
          <w:tcPr>
            <w:tcW w:w="1860" w:type="dxa"/>
            <w:vAlign w:val="bottom"/>
            <w:gridSpan w:val="17"/>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10.101††#</w:t>
            </w:r>
          </w:p>
        </w:tc>
        <w:tc>
          <w:tcPr>
            <w:tcW w:w="476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81">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3"/>
          </w:tcPr>
          <w:p>
            <w:pPr>
              <w:spacing w:after="0" w:line="190" w:lineRule="exact"/>
              <w:rPr>
                <w:rFonts w:ascii="Arial" w:cs="Arial" w:eastAsia="Arial" w:hAnsi="Arial"/>
                <w:sz w:val="18"/>
                <w:szCs w:val="18"/>
                <w:color w:val="0000EE"/>
                <w:w w:val="94"/>
              </w:rPr>
            </w:pPr>
            <w:hyperlink r:id="rId281">
              <w:r>
                <w:rPr>
                  <w:rFonts w:ascii="Arial" w:cs="Arial" w:eastAsia="Arial" w:hAnsi="Arial"/>
                  <w:sz w:val="18"/>
                  <w:szCs w:val="18"/>
                  <w:color w:val="0000EE"/>
                  <w:w w:val="94"/>
                </w:rPr>
                <w:t>April 8, 2016, by and between MSCI Inc. (formerly, Morgan Stanley</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281">
              <w:r>
                <w:rPr>
                  <w:rFonts w:ascii="Arial" w:cs="Arial" w:eastAsia="Arial" w:hAnsi="Arial"/>
                  <w:sz w:val="18"/>
                  <w:szCs w:val="18"/>
                  <w:color w:val="0000EE"/>
                  <w:w w:val="88"/>
                </w:rPr>
                <w:t>Capital International Inc.) and BlackRock Fund Advisors (as successor</w:t>
              </w:r>
            </w:hyperlink>
          </w:p>
        </w:tc>
        <w:tc>
          <w:tcPr>
            <w:tcW w:w="80" w:type="dxa"/>
            <w:vAlign w:val="bottom"/>
            <w:gridSpan w:val="2"/>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281">
              <w:r>
                <w:rPr>
                  <w:rFonts w:ascii="Arial" w:cs="Arial" w:eastAsia="Arial" w:hAnsi="Arial"/>
                  <w:sz w:val="18"/>
                  <w:szCs w:val="18"/>
                  <w:color w:val="0000EE"/>
                  <w:w w:val="90"/>
                </w:rPr>
                <w:t>to Barclays Global Investors, N.A.)</w:t>
              </w:r>
            </w:hyperlink>
          </w:p>
        </w:tc>
        <w:tc>
          <w:tcPr>
            <w:tcW w:w="2580" w:type="dxa"/>
            <w:vAlign w:val="bottom"/>
            <w:gridSpan w:val="20"/>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10.102††#</w:t>
            </w: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7"/>
              </w:rPr>
            </w:pPr>
            <w:hyperlink r:id="rId282">
              <w:r>
                <w:rPr>
                  <w:rFonts w:ascii="Arial" w:cs="Arial" w:eastAsia="Arial" w:hAnsi="Arial"/>
                  <w:sz w:val="18"/>
                  <w:szCs w:val="18"/>
                  <w:color w:val="0000EE"/>
                  <w:w w:val="87"/>
                </w:rPr>
                <w:t>Amendment (to amend the Amendment dated December 16, 2011) to</w:t>
              </w:r>
            </w:hyperlink>
          </w:p>
        </w:tc>
        <w:tc>
          <w:tcPr>
            <w:tcW w:w="200" w:type="dxa"/>
            <w:vAlign w:val="bottom"/>
            <w:gridSpan w:val="7"/>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tcBorders>
              <w:bottom w:val="single" w:sz="8" w:color="0000EE"/>
            </w:tcBorders>
            <w:gridSpan w:val="20"/>
          </w:tcPr>
          <w:p>
            <w:pPr>
              <w:spacing w:after="0" w:line="190" w:lineRule="exact"/>
              <w:rPr>
                <w:rFonts w:ascii="Arial" w:cs="Arial" w:eastAsia="Arial" w:hAnsi="Arial"/>
                <w:sz w:val="18"/>
                <w:szCs w:val="18"/>
                <w:color w:val="0000EE"/>
                <w:w w:val="88"/>
              </w:rPr>
            </w:pPr>
            <w:hyperlink r:id="rId282">
              <w:r>
                <w:rPr>
                  <w:rFonts w:ascii="Arial" w:cs="Arial" w:eastAsia="Arial" w:hAnsi="Arial"/>
                  <w:sz w:val="18"/>
                  <w:szCs w:val="18"/>
                  <w:color w:val="0000EE"/>
                  <w:w w:val="88"/>
                </w:rPr>
                <w:t>the Index License Agreement for Funds, dated as of April 12, 2016, by</w:t>
              </w:r>
            </w:hyperlink>
          </w:p>
        </w:tc>
        <w:tc>
          <w:tcPr>
            <w:tcW w:w="100" w:type="dxa"/>
            <w:vAlign w:val="bottom"/>
            <w:gridSpan w:val="3"/>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tcBorders>
              <w:bottom w:val="single" w:sz="8" w:color="0000EE"/>
            </w:tcBorders>
            <w:gridSpan w:val="23"/>
          </w:tcPr>
          <w:p>
            <w:pPr>
              <w:spacing w:after="0" w:line="190" w:lineRule="exact"/>
              <w:rPr>
                <w:rFonts w:ascii="Arial" w:cs="Arial" w:eastAsia="Arial" w:hAnsi="Arial"/>
                <w:sz w:val="18"/>
                <w:szCs w:val="18"/>
                <w:color w:val="0000EE"/>
                <w:w w:val="89"/>
              </w:rPr>
            </w:pPr>
            <w:hyperlink r:id="rId282">
              <w:r>
                <w:rPr>
                  <w:rFonts w:ascii="Arial" w:cs="Arial" w:eastAsia="Arial" w:hAnsi="Arial"/>
                  <w:sz w:val="18"/>
                  <w:szCs w:val="18"/>
                  <w:color w:val="0000EE"/>
                  <w:w w:val="89"/>
                </w:rPr>
                <w:t>and between MSCI Inc. (formerly, Morgan Stanley Capital International</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82">
              <w:r>
                <w:rPr>
                  <w:rFonts w:ascii="Arial" w:cs="Arial" w:eastAsia="Arial" w:hAnsi="Arial"/>
                  <w:sz w:val="18"/>
                  <w:szCs w:val="18"/>
                  <w:color w:val="0000EE"/>
                  <w:w w:val="88"/>
                </w:rPr>
                <w:t>Inc.) and BlackRock Fund Advisors (as successor to Barclays Global</w:t>
              </w:r>
            </w:hyperlink>
          </w:p>
        </w:tc>
        <w:tc>
          <w:tcPr>
            <w:tcW w:w="220" w:type="dxa"/>
            <w:vAlign w:val="bottom"/>
            <w:gridSpan w:val="8"/>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82">
              <w:r>
                <w:rPr>
                  <w:rFonts w:ascii="Arial" w:cs="Arial" w:eastAsia="Arial" w:hAnsi="Arial"/>
                  <w:sz w:val="18"/>
                  <w:szCs w:val="18"/>
                  <w:color w:val="0000EE"/>
                  <w:w w:val="90"/>
                </w:rPr>
                <w:t>Investors, N.A.)</w:t>
              </w:r>
            </w:hyperlink>
          </w:p>
        </w:tc>
        <w:tc>
          <w:tcPr>
            <w:tcW w:w="3940" w:type="dxa"/>
            <w:vAlign w:val="bottom"/>
            <w:gridSpan w:val="22"/>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10.103††#</w:t>
            </w:r>
          </w:p>
        </w:tc>
        <w:tc>
          <w:tcPr>
            <w:tcW w:w="476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83">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2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r:id="rId283">
              <w:r>
                <w:rPr>
                  <w:rFonts w:ascii="Arial" w:cs="Arial" w:eastAsia="Arial" w:hAnsi="Arial"/>
                  <w:sz w:val="18"/>
                  <w:szCs w:val="18"/>
                  <w:color w:val="0000EE"/>
                  <w:w w:val="90"/>
                </w:rPr>
                <w:t>April 29, 2016, by and between MSCI Inc. (formerly, Morgan Stanley</w:t>
              </w:r>
            </w:hyperlink>
          </w:p>
        </w:tc>
        <w:tc>
          <w:tcPr>
            <w:tcW w:w="160" w:type="dxa"/>
            <w:vAlign w:val="bottom"/>
            <w:gridSpan w:val="6"/>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283">
              <w:r>
                <w:rPr>
                  <w:rFonts w:ascii="Arial" w:cs="Arial" w:eastAsia="Arial" w:hAnsi="Arial"/>
                  <w:sz w:val="18"/>
                  <w:szCs w:val="18"/>
                  <w:color w:val="0000EE"/>
                  <w:w w:val="88"/>
                </w:rPr>
                <w:t>Capital International Inc.) and BlackRock Fund Advisors (as successor</w:t>
              </w:r>
            </w:hyperlink>
          </w:p>
        </w:tc>
        <w:tc>
          <w:tcPr>
            <w:tcW w:w="80" w:type="dxa"/>
            <w:vAlign w:val="bottom"/>
            <w:gridSpan w:val="2"/>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283">
              <w:r>
                <w:rPr>
                  <w:rFonts w:ascii="Arial" w:cs="Arial" w:eastAsia="Arial" w:hAnsi="Arial"/>
                  <w:sz w:val="18"/>
                  <w:szCs w:val="18"/>
                  <w:color w:val="0000EE"/>
                  <w:w w:val="90"/>
                </w:rPr>
                <w:t>to Barclays Global Investors, N.A.)</w:t>
              </w:r>
            </w:hyperlink>
          </w:p>
        </w:tc>
        <w:tc>
          <w:tcPr>
            <w:tcW w:w="2580" w:type="dxa"/>
            <w:vAlign w:val="bottom"/>
            <w:gridSpan w:val="20"/>
          </w:tcPr>
          <w:p>
            <w:pPr>
              <w:spacing w:after="0"/>
              <w:rPr>
                <w:sz w:val="16"/>
                <w:szCs w:val="16"/>
                <w:color w:val="auto"/>
              </w:rPr>
            </w:pPr>
          </w:p>
        </w:tc>
      </w:tr>
      <w:tr>
        <w:trPr>
          <w:trHeight w:val="190"/>
        </w:trPr>
        <w:tc>
          <w:tcPr>
            <w:tcW w:w="100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87"/>
              </w:rPr>
              <w:t>10.104</w:t>
            </w:r>
          </w:p>
        </w:tc>
        <w:tc>
          <w:tcPr>
            <w:tcW w:w="5080" w:type="dxa"/>
            <w:vAlign w:val="bottom"/>
            <w:gridSpan w:val="23"/>
          </w:tcPr>
          <w:p>
            <w:pPr>
              <w:spacing w:after="0" w:line="190" w:lineRule="exact"/>
              <w:rPr>
                <w:rFonts w:ascii="Arial" w:cs="Arial" w:eastAsia="Arial" w:hAnsi="Arial"/>
                <w:sz w:val="18"/>
                <w:szCs w:val="18"/>
                <w:color w:val="0000EE"/>
                <w:w w:val="97"/>
              </w:rPr>
            </w:pPr>
            <w:hyperlink r:id="rId284">
              <w:r>
                <w:rPr>
                  <w:rFonts w:ascii="Arial" w:cs="Arial" w:eastAsia="Arial" w:hAnsi="Arial"/>
                  <w:sz w:val="18"/>
                  <w:szCs w:val="18"/>
                  <w:color w:val="0000EE"/>
                  <w:w w:val="97"/>
                </w:rPr>
                <w:t>Amendment to the Schedules to the Index License Agreement for</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r:id="rId284">
              <w:r>
                <w:rPr>
                  <w:rFonts w:ascii="Arial" w:cs="Arial" w:eastAsia="Arial" w:hAnsi="Arial"/>
                  <w:sz w:val="18"/>
                  <w:szCs w:val="18"/>
                  <w:color w:val="0000EE"/>
                  <w:w w:val="88"/>
                </w:rPr>
                <w:t>Funds, dated as of May 4, 2016, by and between MSCI Inc. (formerly,</w:t>
              </w:r>
            </w:hyperlink>
          </w:p>
        </w:tc>
        <w:tc>
          <w:tcPr>
            <w:tcW w:w="140" w:type="dxa"/>
            <w:vAlign w:val="bottom"/>
            <w:gridSpan w:val="5"/>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3"/>
          </w:tcPr>
          <w:p>
            <w:pPr>
              <w:spacing w:after="0" w:line="190" w:lineRule="exact"/>
              <w:rPr>
                <w:rFonts w:ascii="Arial" w:cs="Arial" w:eastAsia="Arial" w:hAnsi="Arial"/>
                <w:sz w:val="18"/>
                <w:szCs w:val="18"/>
                <w:color w:val="0000EE"/>
              </w:rPr>
            </w:pPr>
            <w:hyperlink r:id="rId284">
              <w:r>
                <w:rPr>
                  <w:rFonts w:ascii="Arial" w:cs="Arial" w:eastAsia="Arial" w:hAnsi="Arial"/>
                  <w:sz w:val="18"/>
                  <w:szCs w:val="18"/>
                  <w:color w:val="0000EE"/>
                </w:rPr>
                <w:t>Morgan Stanley Capital International Inc.) and BlackRock Fund</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40" w:type="dxa"/>
            <w:vAlign w:val="bottom"/>
            <w:tcBorders>
              <w:top w:val="single" w:sz="8" w:color="0000EE"/>
              <w:bottom w:val="single" w:sz="8" w:color="0000EE"/>
            </w:tcBorders>
            <w:gridSpan w:val="7"/>
          </w:tcPr>
          <w:p>
            <w:pPr>
              <w:spacing w:after="0" w:line="190" w:lineRule="exact"/>
              <w:rPr>
                <w:rFonts w:ascii="Arial" w:cs="Arial" w:eastAsia="Arial" w:hAnsi="Arial"/>
                <w:sz w:val="18"/>
                <w:szCs w:val="18"/>
                <w:color w:val="0000EE"/>
                <w:w w:val="88"/>
              </w:rPr>
            </w:pPr>
            <w:hyperlink r:id="rId284">
              <w:r>
                <w:rPr>
                  <w:rFonts w:ascii="Arial" w:cs="Arial" w:eastAsia="Arial" w:hAnsi="Arial"/>
                  <w:sz w:val="18"/>
                  <w:szCs w:val="18"/>
                  <w:color w:val="0000EE"/>
                  <w:w w:val="88"/>
                </w:rPr>
                <w:t>Advisors (as successor to Barclays Global Investors, N.A.)</w:t>
              </w:r>
            </w:hyperlink>
          </w:p>
        </w:tc>
        <w:tc>
          <w:tcPr>
            <w:tcW w:w="360" w:type="dxa"/>
            <w:vAlign w:val="bottom"/>
            <w:tcBorders>
              <w:top w:val="single" w:sz="8" w:color="0000EE"/>
            </w:tcBorders>
          </w:tcPr>
          <w:p>
            <w:pPr>
              <w:spacing w:after="0"/>
              <w:rPr>
                <w:sz w:val="16"/>
                <w:szCs w:val="16"/>
                <w:color w:val="auto"/>
              </w:rPr>
            </w:pPr>
          </w:p>
        </w:tc>
        <w:tc>
          <w:tcPr>
            <w:tcW w:w="580" w:type="dxa"/>
            <w:vAlign w:val="bottom"/>
            <w:gridSpan w:val="15"/>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10.105††#</w:t>
            </w:r>
          </w:p>
        </w:tc>
        <w:tc>
          <w:tcPr>
            <w:tcW w:w="476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85">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9"/>
              </w:rPr>
            </w:pPr>
            <w:hyperlink r:id="rId285">
              <w:r>
                <w:rPr>
                  <w:rFonts w:ascii="Arial" w:cs="Arial" w:eastAsia="Arial" w:hAnsi="Arial"/>
                  <w:sz w:val="18"/>
                  <w:szCs w:val="18"/>
                  <w:color w:val="0000EE"/>
                  <w:w w:val="89"/>
                </w:rPr>
                <w:t>May 12, 2016, by and between MSCI Inc. (formerly, Morgan Stanley</w:t>
              </w:r>
            </w:hyperlink>
          </w:p>
        </w:tc>
        <w:tc>
          <w:tcPr>
            <w:tcW w:w="200" w:type="dxa"/>
            <w:vAlign w:val="bottom"/>
            <w:gridSpan w:val="7"/>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285">
              <w:r>
                <w:rPr>
                  <w:rFonts w:ascii="Arial" w:cs="Arial" w:eastAsia="Arial" w:hAnsi="Arial"/>
                  <w:sz w:val="18"/>
                  <w:szCs w:val="18"/>
                  <w:color w:val="0000EE"/>
                  <w:w w:val="88"/>
                </w:rPr>
                <w:t>Capital International Inc.) and BlackRock Fund Advisors (as successor</w:t>
              </w:r>
            </w:hyperlink>
          </w:p>
        </w:tc>
        <w:tc>
          <w:tcPr>
            <w:tcW w:w="80" w:type="dxa"/>
            <w:vAlign w:val="bottom"/>
            <w:gridSpan w:val="2"/>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285">
              <w:r>
                <w:rPr>
                  <w:rFonts w:ascii="Arial" w:cs="Arial" w:eastAsia="Arial" w:hAnsi="Arial"/>
                  <w:sz w:val="18"/>
                  <w:szCs w:val="18"/>
                  <w:color w:val="0000EE"/>
                  <w:w w:val="90"/>
                </w:rPr>
                <w:t>to Barclays Global Investors, N.A.)</w:t>
              </w:r>
            </w:hyperlink>
          </w:p>
        </w:tc>
        <w:tc>
          <w:tcPr>
            <w:tcW w:w="2580" w:type="dxa"/>
            <w:vAlign w:val="bottom"/>
            <w:gridSpan w:val="20"/>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10.106††#</w:t>
            </w:r>
          </w:p>
        </w:tc>
        <w:tc>
          <w:tcPr>
            <w:tcW w:w="476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86">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86">
              <w:r>
                <w:rPr>
                  <w:rFonts w:ascii="Arial" w:cs="Arial" w:eastAsia="Arial" w:hAnsi="Arial"/>
                  <w:sz w:val="18"/>
                  <w:szCs w:val="18"/>
                  <w:color w:val="0000EE"/>
                  <w:w w:val="88"/>
                </w:rPr>
                <w:t>June 15, 2016, by and between MSCI Inc. (formerly, Morgan Stanley</w:t>
              </w:r>
            </w:hyperlink>
          </w:p>
        </w:tc>
        <w:tc>
          <w:tcPr>
            <w:tcW w:w="200" w:type="dxa"/>
            <w:vAlign w:val="bottom"/>
            <w:gridSpan w:val="7"/>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286">
              <w:r>
                <w:rPr>
                  <w:rFonts w:ascii="Arial" w:cs="Arial" w:eastAsia="Arial" w:hAnsi="Arial"/>
                  <w:sz w:val="18"/>
                  <w:szCs w:val="18"/>
                  <w:color w:val="0000EE"/>
                  <w:w w:val="88"/>
                </w:rPr>
                <w:t>Capital International Inc.) and BlackRock Fund Advisors (as successor</w:t>
              </w:r>
            </w:hyperlink>
          </w:p>
        </w:tc>
        <w:tc>
          <w:tcPr>
            <w:tcW w:w="80" w:type="dxa"/>
            <w:vAlign w:val="bottom"/>
            <w:gridSpan w:val="2"/>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286">
              <w:r>
                <w:rPr>
                  <w:rFonts w:ascii="Arial" w:cs="Arial" w:eastAsia="Arial" w:hAnsi="Arial"/>
                  <w:sz w:val="18"/>
                  <w:szCs w:val="18"/>
                  <w:color w:val="0000EE"/>
                  <w:w w:val="90"/>
                </w:rPr>
                <w:t>to Barclays Global Investors, N.A.)</w:t>
              </w:r>
            </w:hyperlink>
          </w:p>
        </w:tc>
        <w:tc>
          <w:tcPr>
            <w:tcW w:w="2580" w:type="dxa"/>
            <w:vAlign w:val="bottom"/>
            <w:gridSpan w:val="20"/>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10.107††#</w:t>
            </w:r>
          </w:p>
        </w:tc>
        <w:tc>
          <w:tcPr>
            <w:tcW w:w="5080" w:type="dxa"/>
            <w:vAlign w:val="bottom"/>
            <w:gridSpan w:val="23"/>
          </w:tcPr>
          <w:p>
            <w:pPr>
              <w:spacing w:after="0" w:line="190" w:lineRule="exact"/>
              <w:rPr>
                <w:rFonts w:ascii="Arial" w:cs="Arial" w:eastAsia="Arial" w:hAnsi="Arial"/>
                <w:sz w:val="18"/>
                <w:szCs w:val="18"/>
                <w:color w:val="0000EE"/>
                <w:w w:val="88"/>
              </w:rPr>
            </w:pPr>
            <w:hyperlink r:id="rId287">
              <w:r>
                <w:rPr>
                  <w:rFonts w:ascii="Arial" w:cs="Arial" w:eastAsia="Arial" w:hAnsi="Arial"/>
                  <w:sz w:val="18"/>
                  <w:szCs w:val="18"/>
                  <w:color w:val="0000EE"/>
                  <w:w w:val="88"/>
                </w:rPr>
                <w:t>Amendment (to amend the Amendment dated February 29, 2016) to the</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tcBorders>
              <w:top w:val="single" w:sz="8" w:color="0000EE"/>
              <w:bottom w:val="single" w:sz="8" w:color="0000EE"/>
            </w:tcBorders>
            <w:gridSpan w:val="18"/>
          </w:tcPr>
          <w:p>
            <w:pPr>
              <w:spacing w:after="0" w:line="190" w:lineRule="exact"/>
              <w:rPr>
                <w:rFonts w:ascii="Arial" w:cs="Arial" w:eastAsia="Arial" w:hAnsi="Arial"/>
                <w:sz w:val="18"/>
                <w:szCs w:val="18"/>
                <w:color w:val="0000EE"/>
                <w:w w:val="87"/>
              </w:rPr>
            </w:pPr>
            <w:hyperlink r:id="rId287">
              <w:r>
                <w:rPr>
                  <w:rFonts w:ascii="Arial" w:cs="Arial" w:eastAsia="Arial" w:hAnsi="Arial"/>
                  <w:sz w:val="18"/>
                  <w:szCs w:val="18"/>
                  <w:color w:val="0000EE"/>
                  <w:w w:val="87"/>
                </w:rPr>
                <w:t>Index License Agreement for Funds, dated as of July 21, 2016, by and</w:t>
              </w:r>
            </w:hyperlink>
          </w:p>
        </w:tc>
        <w:tc>
          <w:tcPr>
            <w:tcW w:w="100" w:type="dxa"/>
            <w:vAlign w:val="bottom"/>
            <w:tcBorders>
              <w:top w:val="single" w:sz="8" w:color="0000EE"/>
            </w:tcBorders>
            <w:gridSpan w:val="4"/>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r:id="rId287">
              <w:r>
                <w:rPr>
                  <w:rFonts w:ascii="Arial" w:cs="Arial" w:eastAsia="Arial" w:hAnsi="Arial"/>
                  <w:sz w:val="18"/>
                  <w:szCs w:val="18"/>
                  <w:color w:val="0000EE"/>
                  <w:w w:val="90"/>
                </w:rPr>
                <w:t>between MSCI Inc. (formerly, Morgan Stanley Capital International</w:t>
              </w:r>
            </w:hyperlink>
          </w:p>
        </w:tc>
        <w:tc>
          <w:tcPr>
            <w:tcW w:w="260" w:type="dxa"/>
            <w:vAlign w:val="bottom"/>
            <w:gridSpan w:val="10"/>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87">
              <w:r>
                <w:rPr>
                  <w:rFonts w:ascii="Arial" w:cs="Arial" w:eastAsia="Arial" w:hAnsi="Arial"/>
                  <w:sz w:val="18"/>
                  <w:szCs w:val="18"/>
                  <w:color w:val="0000EE"/>
                  <w:w w:val="88"/>
                </w:rPr>
                <w:t>Inc.) and BlackRock Fund Advisors (as successor to Barclays Global</w:t>
              </w:r>
            </w:hyperlink>
          </w:p>
        </w:tc>
        <w:tc>
          <w:tcPr>
            <w:tcW w:w="220" w:type="dxa"/>
            <w:vAlign w:val="bottom"/>
            <w:gridSpan w:val="8"/>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tcPr>
          <w:p>
            <w:pPr>
              <w:spacing w:after="0" w:line="190" w:lineRule="exact"/>
              <w:rPr>
                <w:rFonts w:ascii="Arial" w:cs="Arial" w:eastAsia="Arial" w:hAnsi="Arial"/>
                <w:sz w:val="18"/>
                <w:szCs w:val="18"/>
                <w:color w:val="0000EE"/>
                <w:w w:val="90"/>
              </w:rPr>
            </w:pPr>
            <w:hyperlink r:id="rId287">
              <w:r>
                <w:rPr>
                  <w:rFonts w:ascii="Arial" w:cs="Arial" w:eastAsia="Arial" w:hAnsi="Arial"/>
                  <w:sz w:val="18"/>
                  <w:szCs w:val="18"/>
                  <w:color w:val="0000EE"/>
                  <w:w w:val="90"/>
                </w:rPr>
                <w:t>Investors, N.A.)</w:t>
              </w:r>
            </w:hyperlink>
          </w:p>
        </w:tc>
        <w:tc>
          <w:tcPr>
            <w:tcW w:w="3940" w:type="dxa"/>
            <w:vAlign w:val="bottom"/>
            <w:gridSpan w:val="22"/>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10.108††#</w:t>
            </w:r>
          </w:p>
        </w:tc>
        <w:tc>
          <w:tcPr>
            <w:tcW w:w="476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88">
              <w:r>
                <w:rPr>
                  <w:rFonts w:ascii="Arial" w:cs="Arial" w:eastAsia="Arial" w:hAnsi="Arial"/>
                  <w:sz w:val="18"/>
                  <w:szCs w:val="18"/>
                  <w:color w:val="0000EE"/>
                  <w:w w:val="88"/>
                </w:rPr>
                <w:t>Amendment to the Index License Agreement for Funds, dated as of</w:t>
              </w:r>
            </w:hyperlink>
          </w:p>
        </w:tc>
        <w:tc>
          <w:tcPr>
            <w:tcW w:w="32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3"/>
          </w:tcPr>
          <w:p>
            <w:pPr>
              <w:spacing w:after="0" w:line="190" w:lineRule="exact"/>
              <w:rPr>
                <w:rFonts w:ascii="Arial" w:cs="Arial" w:eastAsia="Arial" w:hAnsi="Arial"/>
                <w:sz w:val="18"/>
                <w:szCs w:val="18"/>
                <w:color w:val="0000EE"/>
                <w:w w:val="91"/>
              </w:rPr>
            </w:pPr>
            <w:hyperlink r:id="rId288">
              <w:r>
                <w:rPr>
                  <w:rFonts w:ascii="Arial" w:cs="Arial" w:eastAsia="Arial" w:hAnsi="Arial"/>
                  <w:sz w:val="18"/>
                  <w:szCs w:val="18"/>
                  <w:color w:val="0000EE"/>
                  <w:w w:val="91"/>
                </w:rPr>
                <w:t>August 1, 2016, by and between MSCI Inc. (formerly, Morgan Stanley</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10"/>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288">
              <w:r>
                <w:rPr>
                  <w:rFonts w:ascii="Arial" w:cs="Arial" w:eastAsia="Arial" w:hAnsi="Arial"/>
                  <w:sz w:val="18"/>
                  <w:szCs w:val="18"/>
                  <w:color w:val="0000EE"/>
                  <w:w w:val="88"/>
                </w:rPr>
                <w:t>Capital International Inc.) and BlackRock Fund Advisors (as successor</w:t>
              </w:r>
            </w:hyperlink>
          </w:p>
        </w:tc>
        <w:tc>
          <w:tcPr>
            <w:tcW w:w="80" w:type="dxa"/>
            <w:vAlign w:val="bottom"/>
            <w:gridSpan w:val="2"/>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288">
              <w:r>
                <w:rPr>
                  <w:rFonts w:ascii="Arial" w:cs="Arial" w:eastAsia="Arial" w:hAnsi="Arial"/>
                  <w:sz w:val="18"/>
                  <w:szCs w:val="18"/>
                  <w:color w:val="0000EE"/>
                  <w:w w:val="90"/>
                </w:rPr>
                <w:t>to Barclays Global Investors, N.A.)</w:t>
              </w:r>
            </w:hyperlink>
          </w:p>
        </w:tc>
        <w:tc>
          <w:tcPr>
            <w:tcW w:w="2580" w:type="dxa"/>
            <w:vAlign w:val="bottom"/>
            <w:gridSpan w:val="20"/>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10.109††#</w:t>
            </w:r>
          </w:p>
        </w:tc>
        <w:tc>
          <w:tcPr>
            <w:tcW w:w="474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289">
              <w:r>
                <w:rPr>
                  <w:rFonts w:ascii="Arial" w:cs="Arial" w:eastAsia="Arial" w:hAnsi="Arial"/>
                  <w:sz w:val="18"/>
                  <w:szCs w:val="18"/>
                  <w:color w:val="0000EE"/>
                  <w:w w:val="88"/>
                </w:rPr>
                <w:t>Amendment to the Index License Agreement for Funds, dated as of</w:t>
              </w:r>
            </w:hyperlink>
          </w:p>
        </w:tc>
        <w:tc>
          <w:tcPr>
            <w:tcW w:w="340" w:type="dxa"/>
            <w:vAlign w:val="bottom"/>
            <w:gridSpan w:val="12"/>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3"/>
          </w:tcPr>
          <w:p>
            <w:pPr>
              <w:spacing w:after="0" w:line="190" w:lineRule="exact"/>
              <w:rPr>
                <w:rFonts w:ascii="Arial" w:cs="Arial" w:eastAsia="Arial" w:hAnsi="Arial"/>
                <w:sz w:val="18"/>
                <w:szCs w:val="18"/>
                <w:color w:val="0000EE"/>
                <w:w w:val="99"/>
              </w:rPr>
            </w:pPr>
            <w:hyperlink r:id="rId289">
              <w:r>
                <w:rPr>
                  <w:rFonts w:ascii="Arial" w:cs="Arial" w:eastAsia="Arial" w:hAnsi="Arial"/>
                  <w:sz w:val="18"/>
                  <w:szCs w:val="18"/>
                  <w:color w:val="0000EE"/>
                  <w:w w:val="99"/>
                </w:rPr>
                <w:t>October 12, 2016, by and between MSCI Inc. (formerly, Morgan</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289">
              <w:r>
                <w:rPr>
                  <w:rFonts w:ascii="Arial" w:cs="Arial" w:eastAsia="Arial" w:hAnsi="Arial"/>
                  <w:sz w:val="18"/>
                  <w:szCs w:val="18"/>
                  <w:color w:val="0000EE"/>
                  <w:w w:val="89"/>
                </w:rPr>
                <w:t>Stanley Capital International Inc.) and BlackRock Fund Advisors (as</w:t>
              </w:r>
            </w:hyperlink>
          </w:p>
        </w:tc>
        <w:tc>
          <w:tcPr>
            <w:tcW w:w="240" w:type="dxa"/>
            <w:vAlign w:val="bottom"/>
            <w:gridSpan w:val="9"/>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3"/>
          </w:tcPr>
          <w:p>
            <w:pPr>
              <w:spacing w:after="0" w:line="190" w:lineRule="exact"/>
              <w:rPr>
                <w:rFonts w:ascii="Arial" w:cs="Arial" w:eastAsia="Arial" w:hAnsi="Arial"/>
                <w:sz w:val="18"/>
                <w:szCs w:val="18"/>
                <w:color w:val="0000EE"/>
              </w:rPr>
            </w:pPr>
            <w:hyperlink r:id="rId289">
              <w:r>
                <w:rPr>
                  <w:rFonts w:ascii="Arial" w:cs="Arial" w:eastAsia="Arial" w:hAnsi="Arial"/>
                  <w:sz w:val="18"/>
                  <w:szCs w:val="18"/>
                  <w:color w:val="0000EE"/>
                </w:rPr>
                <w:t>successor to Barclays Global Investors, N.A.)</w:t>
              </w:r>
            </w:hyperlink>
          </w:p>
        </w:tc>
      </w:tr>
      <w:tr>
        <w:trPr>
          <w:trHeight w:val="439"/>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Borders>
              <w:top w:val="single" w:sz="8" w:color="0000EE"/>
            </w:tcBorders>
            <w:gridSpan w:val="5"/>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54610</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10.129</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10.130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10.131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10.140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10.141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2/24/2017</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10.142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10.143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10.144</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10.146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10.148</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bl>
    <w:p>
      <w:pPr>
        <w:sectPr>
          <w:pgSz w:w="11900" w:h="16838" w:orient="portrait"/>
          <w:cols w:equalWidth="0" w:num="2">
            <w:col w:w="6100" w:space="720"/>
            <w:col w:w="3980"/>
          </w:cols>
          <w:pgMar w:left="580" w:top="332" w:right="51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1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12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1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gridSpan w:val="20"/>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10.110</w:t>
            </w:r>
          </w:p>
        </w:tc>
        <w:tc>
          <w:tcPr>
            <w:tcW w:w="5020" w:type="dxa"/>
            <w:vAlign w:val="bottom"/>
            <w:gridSpan w:val="22"/>
          </w:tcPr>
          <w:p>
            <w:pPr>
              <w:spacing w:after="0"/>
              <w:rPr>
                <w:rFonts w:ascii="Arial" w:cs="Arial" w:eastAsia="Arial" w:hAnsi="Arial"/>
                <w:sz w:val="18"/>
                <w:szCs w:val="18"/>
                <w:color w:val="0000EE"/>
                <w:w w:val="95"/>
              </w:rPr>
            </w:pPr>
            <w:hyperlink r:id="rId291">
              <w:r>
                <w:rPr>
                  <w:rFonts w:ascii="Arial" w:cs="Arial" w:eastAsia="Arial" w:hAnsi="Arial"/>
                  <w:sz w:val="18"/>
                  <w:szCs w:val="18"/>
                  <w:color w:val="0000EE"/>
                  <w:w w:val="95"/>
                </w:rPr>
                <w:t>Amendment to the Schedules to the Index License Agreement for</w:t>
              </w:r>
            </w:hyperlink>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bottom w:val="single" w:sz="8" w:color="0000EE"/>
            </w:tcBorders>
            <w:gridSpan w:val="13"/>
          </w:tcPr>
          <w:p>
            <w:pPr>
              <w:spacing w:after="0" w:line="190" w:lineRule="exact"/>
              <w:rPr>
                <w:rFonts w:ascii="Arial" w:cs="Arial" w:eastAsia="Arial" w:hAnsi="Arial"/>
                <w:sz w:val="18"/>
                <w:szCs w:val="18"/>
                <w:color w:val="0000EE"/>
                <w:w w:val="87"/>
              </w:rPr>
            </w:pPr>
            <w:hyperlink r:id="rId291">
              <w:r>
                <w:rPr>
                  <w:rFonts w:ascii="Arial" w:cs="Arial" w:eastAsia="Arial" w:hAnsi="Arial"/>
                  <w:sz w:val="18"/>
                  <w:szCs w:val="18"/>
                  <w:color w:val="0000EE"/>
                  <w:w w:val="87"/>
                </w:rPr>
                <w:t>Funds, dated as of November 30, 2016, by and between MSCI Inc.</w:t>
              </w:r>
            </w:hyperlink>
          </w:p>
        </w:tc>
        <w:tc>
          <w:tcPr>
            <w:tcW w:w="320" w:type="dxa"/>
            <w:vAlign w:val="bottom"/>
            <w:gridSpan w:val="9"/>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8"/>
          </w:tcPr>
          <w:p>
            <w:pPr>
              <w:spacing w:after="0" w:line="190" w:lineRule="exact"/>
              <w:rPr>
                <w:rFonts w:ascii="Arial" w:cs="Arial" w:eastAsia="Arial" w:hAnsi="Arial"/>
                <w:sz w:val="18"/>
                <w:szCs w:val="18"/>
                <w:color w:val="0000EE"/>
                <w:w w:val="90"/>
              </w:rPr>
            </w:pPr>
            <w:hyperlink r:id="rId291">
              <w:r>
                <w:rPr>
                  <w:rFonts w:ascii="Arial" w:cs="Arial" w:eastAsia="Arial" w:hAnsi="Arial"/>
                  <w:sz w:val="18"/>
                  <w:szCs w:val="18"/>
                  <w:color w:val="0000EE"/>
                  <w:w w:val="90"/>
                </w:rPr>
                <w:t>(formerly, Morgan Stanley Capital International Inc.) and BlackRock</w:t>
              </w:r>
            </w:hyperlink>
          </w:p>
        </w:tc>
        <w:tc>
          <w:tcPr>
            <w:tcW w:w="160" w:type="dxa"/>
            <w:vAlign w:val="bottom"/>
            <w:gridSpan w:val="4"/>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4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91">
              <w:r>
                <w:rPr>
                  <w:rFonts w:ascii="Arial" w:cs="Arial" w:eastAsia="Arial" w:hAnsi="Arial"/>
                  <w:sz w:val="18"/>
                  <w:szCs w:val="18"/>
                  <w:color w:val="0000EE"/>
                  <w:w w:val="88"/>
                </w:rPr>
                <w:t>Fund Advisors (as successor to Barclays Global Investors, N.A.)</w:t>
              </w:r>
            </w:hyperlink>
          </w:p>
        </w:tc>
        <w:tc>
          <w:tcPr>
            <w:tcW w:w="480" w:type="dxa"/>
            <w:vAlign w:val="bottom"/>
            <w:gridSpan w:val="12"/>
          </w:tcPr>
          <w:p>
            <w:pPr>
              <w:spacing w:after="0"/>
              <w:rPr>
                <w:sz w:val="16"/>
                <w:szCs w:val="16"/>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4"/>
              </w:rPr>
              <w:t>10.111††#</w:t>
            </w:r>
          </w:p>
        </w:tc>
        <w:tc>
          <w:tcPr>
            <w:tcW w:w="474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92">
              <w:r>
                <w:rPr>
                  <w:rFonts w:ascii="Arial" w:cs="Arial" w:eastAsia="Arial" w:hAnsi="Arial"/>
                  <w:sz w:val="18"/>
                  <w:szCs w:val="18"/>
                  <w:color w:val="0000EE"/>
                  <w:w w:val="88"/>
                </w:rPr>
                <w:t>Amendment to the Index License Agreement for Funds, dated as of</w:t>
              </w:r>
            </w:hyperlink>
          </w:p>
        </w:tc>
        <w:tc>
          <w:tcPr>
            <w:tcW w:w="280" w:type="dxa"/>
            <w:vAlign w:val="bottom"/>
            <w:gridSpan w:val="8"/>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w w:val="96"/>
              </w:rPr>
            </w:pPr>
            <w:hyperlink r:id="rId292">
              <w:r>
                <w:rPr>
                  <w:rFonts w:ascii="Arial" w:cs="Arial" w:eastAsia="Arial" w:hAnsi="Arial"/>
                  <w:sz w:val="18"/>
                  <w:szCs w:val="18"/>
                  <w:color w:val="0000EE"/>
                  <w:w w:val="96"/>
                </w:rPr>
                <w:t>December 5, 2016, by and between MSCI Inc. (formerly, Morgan</w:t>
              </w:r>
            </w:hyperlink>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7"/>
          </w:tcPr>
          <w:p>
            <w:pPr>
              <w:spacing w:after="0" w:line="190" w:lineRule="exact"/>
              <w:rPr>
                <w:rFonts w:ascii="Arial" w:cs="Arial" w:eastAsia="Arial" w:hAnsi="Arial"/>
                <w:sz w:val="18"/>
                <w:szCs w:val="18"/>
                <w:color w:val="0000EE"/>
                <w:w w:val="89"/>
              </w:rPr>
            </w:pPr>
            <w:hyperlink r:id="rId292">
              <w:r>
                <w:rPr>
                  <w:rFonts w:ascii="Arial" w:cs="Arial" w:eastAsia="Arial" w:hAnsi="Arial"/>
                  <w:sz w:val="18"/>
                  <w:szCs w:val="18"/>
                  <w:color w:val="0000EE"/>
                  <w:w w:val="89"/>
                </w:rPr>
                <w:t>Stanley Capital International Inc.) and BlackRock Fund Advisors (as</w:t>
              </w:r>
            </w:hyperlink>
          </w:p>
        </w:tc>
        <w:tc>
          <w:tcPr>
            <w:tcW w:w="180" w:type="dxa"/>
            <w:vAlign w:val="bottom"/>
            <w:gridSpan w:val="5"/>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rPr>
            </w:pPr>
            <w:hyperlink r:id="rId292">
              <w:r>
                <w:rPr>
                  <w:rFonts w:ascii="Arial" w:cs="Arial" w:eastAsia="Arial" w:hAnsi="Arial"/>
                  <w:sz w:val="18"/>
                  <w:szCs w:val="18"/>
                  <w:color w:val="0000EE"/>
                </w:rPr>
                <w:t>successor to Barclays Global Investors, N.A.)</w:t>
              </w:r>
            </w:hyperlink>
          </w:p>
        </w:tc>
      </w:tr>
      <w:tr>
        <w:trPr>
          <w:trHeight w:val="20"/>
        </w:trPr>
        <w:tc>
          <w:tcPr>
            <w:tcW w:w="98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10.112†</w:t>
            </w:r>
          </w:p>
        </w:tc>
        <w:tc>
          <w:tcPr>
            <w:tcW w:w="4920" w:type="dxa"/>
            <w:vAlign w:val="bottom"/>
            <w:tcBorders>
              <w:bottom w:val="single" w:sz="8" w:color="0000EE"/>
            </w:tcBorders>
            <w:gridSpan w:val="20"/>
          </w:tcPr>
          <w:p>
            <w:pPr>
              <w:spacing w:after="0" w:line="190" w:lineRule="exact"/>
              <w:rPr>
                <w:rFonts w:ascii="Arial" w:cs="Arial" w:eastAsia="Arial" w:hAnsi="Arial"/>
                <w:sz w:val="18"/>
                <w:szCs w:val="18"/>
                <w:color w:val="0000EE"/>
                <w:w w:val="87"/>
              </w:rPr>
            </w:pPr>
            <w:hyperlink r:id="rId293">
              <w:r>
                <w:rPr>
                  <w:rFonts w:ascii="Arial" w:cs="Arial" w:eastAsia="Arial" w:hAnsi="Arial"/>
                  <w:sz w:val="18"/>
                  <w:szCs w:val="18"/>
                  <w:color w:val="0000EE"/>
                  <w:w w:val="87"/>
                </w:rPr>
                <w:t>Amendment to a Schedule to the Index License Agreement for Funds,</w:t>
              </w:r>
            </w:hyperlink>
          </w:p>
        </w:tc>
        <w:tc>
          <w:tcPr>
            <w:tcW w:w="100" w:type="dxa"/>
            <w:vAlign w:val="bottom"/>
            <w:gridSpan w:val="2"/>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293">
              <w:r>
                <w:rPr>
                  <w:rFonts w:ascii="Arial" w:cs="Arial" w:eastAsia="Arial" w:hAnsi="Arial"/>
                  <w:sz w:val="18"/>
                  <w:szCs w:val="18"/>
                  <w:color w:val="0000EE"/>
                  <w:w w:val="88"/>
                </w:rPr>
                <w:t>dated as of December 8, 2016, by and between MSCI Inc. (formerly,</w:t>
              </w:r>
            </w:hyperlink>
          </w:p>
        </w:tc>
        <w:tc>
          <w:tcPr>
            <w:tcW w:w="200" w:type="dxa"/>
            <w:vAlign w:val="bottom"/>
            <w:gridSpan w:val="6"/>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w w:val="99"/>
              </w:rPr>
            </w:pPr>
            <w:hyperlink r:id="rId293">
              <w:r>
                <w:rPr>
                  <w:rFonts w:ascii="Arial" w:cs="Arial" w:eastAsia="Arial" w:hAnsi="Arial"/>
                  <w:sz w:val="18"/>
                  <w:szCs w:val="18"/>
                  <w:color w:val="0000EE"/>
                  <w:w w:val="99"/>
                </w:rPr>
                <w:t>Morgan Stanley Capital International Inc.) and BlackRock Fund</w:t>
              </w:r>
            </w:hyperlink>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40" w:type="dxa"/>
            <w:vAlign w:val="bottom"/>
            <w:tcBorders>
              <w:top w:val="single" w:sz="8" w:color="0000EE"/>
              <w:bottom w:val="single" w:sz="8" w:color="0000EE"/>
            </w:tcBorders>
            <w:gridSpan w:val="7"/>
          </w:tcPr>
          <w:p>
            <w:pPr>
              <w:spacing w:after="0" w:line="190" w:lineRule="exact"/>
              <w:rPr>
                <w:rFonts w:ascii="Arial" w:cs="Arial" w:eastAsia="Arial" w:hAnsi="Arial"/>
                <w:sz w:val="18"/>
                <w:szCs w:val="18"/>
                <w:color w:val="0000EE"/>
                <w:w w:val="88"/>
              </w:rPr>
            </w:pPr>
            <w:hyperlink r:id="rId293">
              <w:r>
                <w:rPr>
                  <w:rFonts w:ascii="Arial" w:cs="Arial" w:eastAsia="Arial" w:hAnsi="Arial"/>
                  <w:sz w:val="18"/>
                  <w:szCs w:val="18"/>
                  <w:color w:val="0000EE"/>
                  <w:w w:val="88"/>
                </w:rPr>
                <w:t>Advisors (as successor to Barclays Global Investors, N.A.)</w:t>
              </w:r>
            </w:hyperlink>
          </w:p>
        </w:tc>
        <w:tc>
          <w:tcPr>
            <w:tcW w:w="360" w:type="dxa"/>
            <w:vAlign w:val="bottom"/>
            <w:tcBorders>
              <w:top w:val="single" w:sz="8" w:color="0000EE"/>
            </w:tcBorders>
          </w:tcPr>
          <w:p>
            <w:pPr>
              <w:spacing w:after="0"/>
              <w:rPr>
                <w:sz w:val="16"/>
                <w:szCs w:val="16"/>
                <w:color w:val="auto"/>
              </w:rPr>
            </w:pPr>
          </w:p>
        </w:tc>
        <w:tc>
          <w:tcPr>
            <w:tcW w:w="520" w:type="dxa"/>
            <w:vAlign w:val="bottom"/>
            <w:gridSpan w:val="14"/>
          </w:tcPr>
          <w:p>
            <w:pPr>
              <w:spacing w:after="0"/>
              <w:rPr>
                <w:sz w:val="16"/>
                <w:szCs w:val="16"/>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10.113†</w:t>
            </w:r>
          </w:p>
        </w:tc>
        <w:tc>
          <w:tcPr>
            <w:tcW w:w="474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94">
              <w:r>
                <w:rPr>
                  <w:rFonts w:ascii="Arial" w:cs="Arial" w:eastAsia="Arial" w:hAnsi="Arial"/>
                  <w:sz w:val="18"/>
                  <w:szCs w:val="18"/>
                  <w:color w:val="0000EE"/>
                  <w:w w:val="88"/>
                </w:rPr>
                <w:t>Amendment to the Index License Agreement for Funds, dated as of</w:t>
              </w:r>
            </w:hyperlink>
          </w:p>
        </w:tc>
        <w:tc>
          <w:tcPr>
            <w:tcW w:w="280" w:type="dxa"/>
            <w:vAlign w:val="bottom"/>
            <w:gridSpan w:val="8"/>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w w:val="97"/>
              </w:rPr>
            </w:pPr>
            <w:hyperlink r:id="rId294">
              <w:r>
                <w:rPr>
                  <w:rFonts w:ascii="Arial" w:cs="Arial" w:eastAsia="Arial" w:hAnsi="Arial"/>
                  <w:sz w:val="18"/>
                  <w:szCs w:val="18"/>
                  <w:color w:val="0000EE"/>
                  <w:w w:val="97"/>
                </w:rPr>
                <w:t>February 10, 2017, by and between MSCI Inc. (formerly, Morgan</w:t>
              </w:r>
            </w:hyperlink>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7"/>
          </w:tcPr>
          <w:p>
            <w:pPr>
              <w:spacing w:after="0" w:line="190" w:lineRule="exact"/>
              <w:rPr>
                <w:rFonts w:ascii="Arial" w:cs="Arial" w:eastAsia="Arial" w:hAnsi="Arial"/>
                <w:sz w:val="18"/>
                <w:szCs w:val="18"/>
                <w:color w:val="0000EE"/>
                <w:w w:val="89"/>
              </w:rPr>
            </w:pPr>
            <w:hyperlink r:id="rId294">
              <w:r>
                <w:rPr>
                  <w:rFonts w:ascii="Arial" w:cs="Arial" w:eastAsia="Arial" w:hAnsi="Arial"/>
                  <w:sz w:val="18"/>
                  <w:szCs w:val="18"/>
                  <w:color w:val="0000EE"/>
                  <w:w w:val="89"/>
                </w:rPr>
                <w:t>Stanley Capital International Inc.) and BlackRock Fund Advisors (as</w:t>
              </w:r>
            </w:hyperlink>
          </w:p>
        </w:tc>
        <w:tc>
          <w:tcPr>
            <w:tcW w:w="180" w:type="dxa"/>
            <w:vAlign w:val="bottom"/>
            <w:gridSpan w:val="5"/>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rPr>
            </w:pPr>
            <w:hyperlink r:id="rId294">
              <w:r>
                <w:rPr>
                  <w:rFonts w:ascii="Arial" w:cs="Arial" w:eastAsia="Arial" w:hAnsi="Arial"/>
                  <w:sz w:val="18"/>
                  <w:szCs w:val="18"/>
                  <w:color w:val="0000EE"/>
                </w:rPr>
                <w:t>successor to Barclays Global Investors, N.A.)</w:t>
              </w:r>
            </w:hyperlink>
          </w:p>
        </w:tc>
      </w:tr>
      <w:tr>
        <w:trPr>
          <w:trHeight w:val="20"/>
        </w:trPr>
        <w:tc>
          <w:tcPr>
            <w:tcW w:w="98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10.114†</w:t>
            </w:r>
          </w:p>
        </w:tc>
        <w:tc>
          <w:tcPr>
            <w:tcW w:w="4980" w:type="dxa"/>
            <w:vAlign w:val="bottom"/>
            <w:tcBorders>
              <w:bottom w:val="single" w:sz="8" w:color="0000EE"/>
            </w:tcBorders>
            <w:gridSpan w:val="21"/>
          </w:tcPr>
          <w:p>
            <w:pPr>
              <w:spacing w:after="0" w:line="190" w:lineRule="exact"/>
              <w:rPr>
                <w:rFonts w:ascii="Arial" w:cs="Arial" w:eastAsia="Arial" w:hAnsi="Arial"/>
                <w:sz w:val="18"/>
                <w:szCs w:val="18"/>
                <w:color w:val="0000EE"/>
                <w:w w:val="87"/>
              </w:rPr>
            </w:pPr>
            <w:hyperlink r:id="rId295">
              <w:r>
                <w:rPr>
                  <w:rFonts w:ascii="Arial" w:cs="Arial" w:eastAsia="Arial" w:hAnsi="Arial"/>
                  <w:sz w:val="18"/>
                  <w:szCs w:val="18"/>
                  <w:color w:val="0000EE"/>
                  <w:w w:val="87"/>
                </w:rPr>
                <w:t>Amendment No. 1 to the Index License Agreement for Funds, dated as</w:t>
              </w:r>
            </w:hyperlink>
          </w:p>
        </w:tc>
        <w:tc>
          <w:tcPr>
            <w:tcW w:w="40" w:type="dxa"/>
            <w:vAlign w:val="bottom"/>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w w:val="98"/>
              </w:rPr>
            </w:pPr>
            <w:hyperlink r:id="rId295">
              <w:r>
                <w:rPr>
                  <w:rFonts w:ascii="Arial" w:cs="Arial" w:eastAsia="Arial" w:hAnsi="Arial"/>
                  <w:sz w:val="18"/>
                  <w:szCs w:val="18"/>
                  <w:color w:val="0000EE"/>
                  <w:w w:val="98"/>
                </w:rPr>
                <w:t>of April 6, 2017, by and between MSCI ESG Research LLC and</w:t>
              </w:r>
            </w:hyperlink>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20" w:type="dxa"/>
            <w:vAlign w:val="bottom"/>
            <w:tcBorders>
              <w:top w:val="single" w:sz="8" w:color="0000EE"/>
            </w:tcBorders>
            <w:gridSpan w:val="9"/>
          </w:tcPr>
          <w:p>
            <w:pPr>
              <w:spacing w:after="0" w:line="190" w:lineRule="exact"/>
              <w:rPr>
                <w:rFonts w:ascii="Arial" w:cs="Arial" w:eastAsia="Arial" w:hAnsi="Arial"/>
                <w:sz w:val="18"/>
                <w:szCs w:val="18"/>
                <w:color w:val="0000EE"/>
              </w:rPr>
            </w:pPr>
            <w:hyperlink r:id="rId295">
              <w:r>
                <w:rPr>
                  <w:rFonts w:ascii="Arial" w:cs="Arial" w:eastAsia="Arial" w:hAnsi="Arial"/>
                  <w:sz w:val="18"/>
                  <w:szCs w:val="18"/>
                  <w:color w:val="0000EE"/>
                </w:rPr>
                <w:t>BlackRock Fund Advisors</w:t>
              </w:r>
            </w:hyperlink>
          </w:p>
        </w:tc>
        <w:tc>
          <w:tcPr>
            <w:tcW w:w="500" w:type="dxa"/>
            <w:vAlign w:val="bottom"/>
            <w:gridSpan w:val="13"/>
          </w:tcPr>
          <w:p>
            <w:pPr>
              <w:spacing w:after="0"/>
              <w:rPr>
                <w:sz w:val="16"/>
                <w:szCs w:val="16"/>
                <w:color w:val="auto"/>
              </w:rPr>
            </w:pPr>
          </w:p>
        </w:tc>
      </w:tr>
      <w:tr>
        <w:trPr>
          <w:trHeight w:val="20"/>
        </w:trPr>
        <w:tc>
          <w:tcPr>
            <w:tcW w:w="98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10.115†</w:t>
            </w:r>
          </w:p>
        </w:tc>
        <w:tc>
          <w:tcPr>
            <w:tcW w:w="4860" w:type="dxa"/>
            <w:vAlign w:val="bottom"/>
            <w:tcBorders>
              <w:bottom w:val="single" w:sz="8" w:color="0000EE"/>
            </w:tcBorders>
            <w:gridSpan w:val="18"/>
          </w:tcPr>
          <w:p>
            <w:pPr>
              <w:spacing w:after="0" w:line="190" w:lineRule="exact"/>
              <w:rPr>
                <w:rFonts w:ascii="Arial" w:cs="Arial" w:eastAsia="Arial" w:hAnsi="Arial"/>
                <w:sz w:val="18"/>
                <w:szCs w:val="18"/>
                <w:color w:val="0000EE"/>
                <w:w w:val="87"/>
              </w:rPr>
            </w:pPr>
            <w:hyperlink r:id="rId296">
              <w:r>
                <w:rPr>
                  <w:rFonts w:ascii="Arial" w:cs="Arial" w:eastAsia="Arial" w:hAnsi="Arial"/>
                  <w:sz w:val="18"/>
                  <w:szCs w:val="18"/>
                  <w:color w:val="0000EE"/>
                  <w:w w:val="87"/>
                </w:rPr>
                <w:t>Amendment to the Second Schedule to the Index License Agreement</w:t>
              </w:r>
            </w:hyperlink>
          </w:p>
        </w:tc>
        <w:tc>
          <w:tcPr>
            <w:tcW w:w="160" w:type="dxa"/>
            <w:vAlign w:val="bottom"/>
            <w:gridSpan w:val="4"/>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r:id="rId296">
              <w:r>
                <w:rPr>
                  <w:rFonts w:ascii="Arial" w:cs="Arial" w:eastAsia="Arial" w:hAnsi="Arial"/>
                  <w:sz w:val="18"/>
                  <w:szCs w:val="18"/>
                  <w:color w:val="0000EE"/>
                  <w:w w:val="89"/>
                </w:rPr>
                <w:t>for Funds, dated as of April 12, 2017, by and between MSCI Inc.</w:t>
              </w:r>
            </w:hyperlink>
          </w:p>
        </w:tc>
        <w:tc>
          <w:tcPr>
            <w:tcW w:w="420" w:type="dxa"/>
            <w:vAlign w:val="bottom"/>
            <w:gridSpan w:val="11"/>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8"/>
          </w:tcPr>
          <w:p>
            <w:pPr>
              <w:spacing w:after="0" w:line="190" w:lineRule="exact"/>
              <w:rPr>
                <w:rFonts w:ascii="Arial" w:cs="Arial" w:eastAsia="Arial" w:hAnsi="Arial"/>
                <w:sz w:val="18"/>
                <w:szCs w:val="18"/>
                <w:color w:val="0000EE"/>
                <w:w w:val="90"/>
              </w:rPr>
            </w:pPr>
            <w:hyperlink r:id="rId296">
              <w:r>
                <w:rPr>
                  <w:rFonts w:ascii="Arial" w:cs="Arial" w:eastAsia="Arial" w:hAnsi="Arial"/>
                  <w:sz w:val="18"/>
                  <w:szCs w:val="18"/>
                  <w:color w:val="0000EE"/>
                  <w:w w:val="90"/>
                </w:rPr>
                <w:t>(formerly, Morgan Stanley Capital International Inc.) and BlackRock</w:t>
              </w:r>
            </w:hyperlink>
          </w:p>
        </w:tc>
        <w:tc>
          <w:tcPr>
            <w:tcW w:w="160" w:type="dxa"/>
            <w:vAlign w:val="bottom"/>
            <w:gridSpan w:val="4"/>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40" w:type="dxa"/>
            <w:vAlign w:val="bottom"/>
            <w:tcBorders>
              <w:bottom w:val="single" w:sz="8" w:color="0000EE"/>
            </w:tcBorders>
            <w:gridSpan w:val="10"/>
          </w:tcPr>
          <w:p>
            <w:pPr>
              <w:spacing w:after="0" w:line="190" w:lineRule="exact"/>
              <w:rPr>
                <w:rFonts w:ascii="Arial" w:cs="Arial" w:eastAsia="Arial" w:hAnsi="Arial"/>
                <w:sz w:val="18"/>
                <w:szCs w:val="18"/>
                <w:color w:val="0000EE"/>
                <w:w w:val="88"/>
              </w:rPr>
            </w:pPr>
            <w:hyperlink r:id="rId296">
              <w:r>
                <w:rPr>
                  <w:rFonts w:ascii="Arial" w:cs="Arial" w:eastAsia="Arial" w:hAnsi="Arial"/>
                  <w:sz w:val="18"/>
                  <w:szCs w:val="18"/>
                  <w:color w:val="0000EE"/>
                  <w:w w:val="88"/>
                </w:rPr>
                <w:t>Fund Advisors (as successor to Barclays Global Investors, N.A.)</w:t>
              </w:r>
            </w:hyperlink>
          </w:p>
        </w:tc>
        <w:tc>
          <w:tcPr>
            <w:tcW w:w="480" w:type="dxa"/>
            <w:vAlign w:val="bottom"/>
            <w:gridSpan w:val="12"/>
          </w:tcPr>
          <w:p>
            <w:pPr>
              <w:spacing w:after="0"/>
              <w:rPr>
                <w:sz w:val="16"/>
                <w:szCs w:val="16"/>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10.116†</w:t>
            </w:r>
          </w:p>
        </w:tc>
        <w:tc>
          <w:tcPr>
            <w:tcW w:w="476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97">
              <w:r>
                <w:rPr>
                  <w:rFonts w:ascii="Arial" w:cs="Arial" w:eastAsia="Arial" w:hAnsi="Arial"/>
                  <w:sz w:val="18"/>
                  <w:szCs w:val="18"/>
                  <w:color w:val="0000EE"/>
                  <w:w w:val="88"/>
                </w:rPr>
                <w:t>Amendment to the Index License Agreement for Funds, dated as of</w:t>
              </w:r>
            </w:hyperlink>
          </w:p>
        </w:tc>
        <w:tc>
          <w:tcPr>
            <w:tcW w:w="260" w:type="dxa"/>
            <w:vAlign w:val="bottom"/>
            <w:gridSpan w:val="7"/>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w w:val="92"/>
              </w:rPr>
            </w:pPr>
            <w:hyperlink r:id="rId297">
              <w:r>
                <w:rPr>
                  <w:rFonts w:ascii="Arial" w:cs="Arial" w:eastAsia="Arial" w:hAnsi="Arial"/>
                  <w:sz w:val="18"/>
                  <w:szCs w:val="18"/>
                  <w:color w:val="0000EE"/>
                  <w:w w:val="92"/>
                </w:rPr>
                <w:t>May 26, 2017, by and between MSCI Inc. (formerly, Morgan Stanley</w:t>
              </w:r>
            </w:hyperlink>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gridSpan w:val="8"/>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w w:val="89"/>
              </w:rPr>
            </w:pPr>
            <w:hyperlink r:id="rId297">
              <w:r>
                <w:rPr>
                  <w:rFonts w:ascii="Arial" w:cs="Arial" w:eastAsia="Arial" w:hAnsi="Arial"/>
                  <w:sz w:val="18"/>
                  <w:szCs w:val="18"/>
                  <w:color w:val="0000EE"/>
                  <w:w w:val="89"/>
                </w:rPr>
                <w:t>Capital International Inc.) and BlackRock Fund Advisors (as successor</w:t>
              </w:r>
            </w:hyperlink>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90"/>
              </w:rPr>
            </w:pPr>
            <w:hyperlink r:id="rId297">
              <w:r>
                <w:rPr>
                  <w:rFonts w:ascii="Arial" w:cs="Arial" w:eastAsia="Arial" w:hAnsi="Arial"/>
                  <w:sz w:val="18"/>
                  <w:szCs w:val="18"/>
                  <w:color w:val="0000EE"/>
                  <w:w w:val="90"/>
                </w:rPr>
                <w:t>to Barclays Global Investors, N.A.)</w:t>
              </w:r>
            </w:hyperlink>
          </w:p>
        </w:tc>
        <w:tc>
          <w:tcPr>
            <w:tcW w:w="2460" w:type="dxa"/>
            <w:vAlign w:val="bottom"/>
            <w:tcBorders>
              <w:top w:val="single" w:sz="8" w:color="0000EE"/>
            </w:tcBorders>
            <w:gridSpan w:val="1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10.117†</w:t>
            </w:r>
          </w:p>
        </w:tc>
        <w:tc>
          <w:tcPr>
            <w:tcW w:w="4880" w:type="dxa"/>
            <w:vAlign w:val="bottom"/>
            <w:tcBorders>
              <w:bottom w:val="single" w:sz="8" w:color="0000EE"/>
            </w:tcBorders>
            <w:gridSpan w:val="19"/>
          </w:tcPr>
          <w:p>
            <w:pPr>
              <w:spacing w:after="0" w:line="190" w:lineRule="exact"/>
              <w:rPr>
                <w:rFonts w:ascii="Arial" w:cs="Arial" w:eastAsia="Arial" w:hAnsi="Arial"/>
                <w:sz w:val="18"/>
                <w:szCs w:val="18"/>
                <w:color w:val="0000EE"/>
                <w:w w:val="87"/>
              </w:rPr>
            </w:pPr>
            <w:hyperlink r:id="rId298">
              <w:r>
                <w:rPr>
                  <w:rFonts w:ascii="Arial" w:cs="Arial" w:eastAsia="Arial" w:hAnsi="Arial"/>
                  <w:sz w:val="18"/>
                  <w:szCs w:val="18"/>
                  <w:color w:val="0000EE"/>
                  <w:w w:val="87"/>
                </w:rPr>
                <w:t>Amendment to the Previous Amendment and Previous Name Change</w:t>
              </w:r>
            </w:hyperlink>
          </w:p>
        </w:tc>
        <w:tc>
          <w:tcPr>
            <w:tcW w:w="140" w:type="dxa"/>
            <w:vAlign w:val="bottom"/>
            <w:gridSpan w:val="3"/>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4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r:id="rId298">
              <w:r>
                <w:rPr>
                  <w:rFonts w:ascii="Arial" w:cs="Arial" w:eastAsia="Arial" w:hAnsi="Arial"/>
                  <w:sz w:val="18"/>
                  <w:szCs w:val="18"/>
                  <w:color w:val="0000EE"/>
                  <w:w w:val="88"/>
                </w:rPr>
                <w:t>Amendment to the Index License Agreement for Funds, dated as of</w:t>
              </w:r>
            </w:hyperlink>
          </w:p>
        </w:tc>
        <w:tc>
          <w:tcPr>
            <w:tcW w:w="280" w:type="dxa"/>
            <w:vAlign w:val="bottom"/>
            <w:gridSpan w:val="8"/>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298">
              <w:r>
                <w:rPr>
                  <w:rFonts w:ascii="Arial" w:cs="Arial" w:eastAsia="Arial" w:hAnsi="Arial"/>
                  <w:sz w:val="18"/>
                  <w:szCs w:val="18"/>
                  <w:color w:val="0000EE"/>
                  <w:w w:val="88"/>
                </w:rPr>
                <w:t>September 1, 2017, by and between MSCI Inc. (formerly, Morgan</w:t>
              </w:r>
            </w:hyperlink>
          </w:p>
        </w:tc>
        <w:tc>
          <w:tcPr>
            <w:tcW w:w="380" w:type="dxa"/>
            <w:vAlign w:val="bottom"/>
            <w:gridSpan w:val="10"/>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7"/>
          </w:tcPr>
          <w:p>
            <w:pPr>
              <w:spacing w:after="0" w:line="190" w:lineRule="exact"/>
              <w:rPr>
                <w:rFonts w:ascii="Arial" w:cs="Arial" w:eastAsia="Arial" w:hAnsi="Arial"/>
                <w:sz w:val="18"/>
                <w:szCs w:val="18"/>
                <w:color w:val="0000EE"/>
                <w:w w:val="89"/>
              </w:rPr>
            </w:pPr>
            <w:hyperlink r:id="rId298">
              <w:r>
                <w:rPr>
                  <w:rFonts w:ascii="Arial" w:cs="Arial" w:eastAsia="Arial" w:hAnsi="Arial"/>
                  <w:sz w:val="18"/>
                  <w:szCs w:val="18"/>
                  <w:color w:val="0000EE"/>
                  <w:w w:val="89"/>
                </w:rPr>
                <w:t>Stanley Capital International Inc.) and BlackRock Fund Advisors (as</w:t>
              </w:r>
            </w:hyperlink>
          </w:p>
        </w:tc>
        <w:tc>
          <w:tcPr>
            <w:tcW w:w="180" w:type="dxa"/>
            <w:vAlign w:val="bottom"/>
            <w:gridSpan w:val="5"/>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rPr>
            </w:pPr>
            <w:hyperlink r:id="rId298">
              <w:r>
                <w:rPr>
                  <w:rFonts w:ascii="Arial" w:cs="Arial" w:eastAsia="Arial" w:hAnsi="Arial"/>
                  <w:sz w:val="18"/>
                  <w:szCs w:val="18"/>
                  <w:color w:val="0000EE"/>
                </w:rPr>
                <w:t>successor to Barclays Global Investors, N.A.)</w:t>
              </w:r>
            </w:hyperlink>
          </w:p>
        </w:tc>
      </w:tr>
      <w:tr>
        <w:trPr>
          <w:trHeight w:val="20"/>
        </w:trPr>
        <w:tc>
          <w:tcPr>
            <w:tcW w:w="980" w:type="dxa"/>
            <w:vAlign w:val="bottom"/>
            <w:gridSpan w:val="3"/>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20" w:type="dxa"/>
            <w:vAlign w:val="bottom"/>
            <w:gridSpan w:val="16"/>
          </w:tcPr>
          <w:p>
            <w:pPr>
              <w:spacing w:after="0" w:line="20" w:lineRule="exact"/>
              <w:rPr>
                <w:sz w:val="1"/>
                <w:szCs w:val="1"/>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10.118†</w:t>
            </w:r>
          </w:p>
        </w:tc>
        <w:tc>
          <w:tcPr>
            <w:tcW w:w="476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299">
              <w:r>
                <w:rPr>
                  <w:rFonts w:ascii="Arial" w:cs="Arial" w:eastAsia="Arial" w:hAnsi="Arial"/>
                  <w:sz w:val="18"/>
                  <w:szCs w:val="18"/>
                  <w:color w:val="0000EE"/>
                  <w:w w:val="88"/>
                </w:rPr>
                <w:t>Amendment to the Index License Agreement for Funds, dated as of</w:t>
              </w:r>
            </w:hyperlink>
          </w:p>
        </w:tc>
        <w:tc>
          <w:tcPr>
            <w:tcW w:w="260" w:type="dxa"/>
            <w:vAlign w:val="bottom"/>
            <w:gridSpan w:val="7"/>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299">
              <w:r>
                <w:rPr>
                  <w:rFonts w:ascii="Arial" w:cs="Arial" w:eastAsia="Arial" w:hAnsi="Arial"/>
                  <w:sz w:val="18"/>
                  <w:szCs w:val="18"/>
                  <w:color w:val="0000EE"/>
                  <w:w w:val="88"/>
                </w:rPr>
                <w:t>October 1, 2017, by and between MSCI Inc. (formerly, Morgan Stanley</w:t>
              </w:r>
            </w:hyperlink>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w w:val="89"/>
              </w:rPr>
            </w:pPr>
            <w:hyperlink r:id="rId299">
              <w:r>
                <w:rPr>
                  <w:rFonts w:ascii="Arial" w:cs="Arial" w:eastAsia="Arial" w:hAnsi="Arial"/>
                  <w:sz w:val="18"/>
                  <w:szCs w:val="18"/>
                  <w:color w:val="0000EE"/>
                  <w:w w:val="89"/>
                </w:rPr>
                <w:t>Capital International Inc.) and BlackRock Fund Advisors (as successor</w:t>
              </w:r>
            </w:hyperlink>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90"/>
              </w:rPr>
            </w:pPr>
            <w:hyperlink r:id="rId299">
              <w:r>
                <w:rPr>
                  <w:rFonts w:ascii="Arial" w:cs="Arial" w:eastAsia="Arial" w:hAnsi="Arial"/>
                  <w:sz w:val="18"/>
                  <w:szCs w:val="18"/>
                  <w:color w:val="0000EE"/>
                  <w:w w:val="90"/>
                </w:rPr>
                <w:t>to Barclays Global Investors, N.A.)</w:t>
              </w:r>
            </w:hyperlink>
          </w:p>
        </w:tc>
        <w:tc>
          <w:tcPr>
            <w:tcW w:w="2460" w:type="dxa"/>
            <w:vAlign w:val="bottom"/>
            <w:tcBorders>
              <w:top w:val="single" w:sz="8" w:color="0000EE"/>
            </w:tcBorders>
            <w:gridSpan w:val="1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8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7"/>
              </w:rPr>
              <w:t>10.119</w:t>
            </w:r>
          </w:p>
        </w:tc>
        <w:tc>
          <w:tcPr>
            <w:tcW w:w="476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300">
              <w:r>
                <w:rPr>
                  <w:rFonts w:ascii="Arial" w:cs="Arial" w:eastAsia="Arial" w:hAnsi="Arial"/>
                  <w:sz w:val="18"/>
                  <w:szCs w:val="18"/>
                  <w:color w:val="0000EE"/>
                  <w:w w:val="88"/>
                </w:rPr>
                <w:t>Amendment to the Index License Agreement for Funds, dated as of</w:t>
              </w:r>
            </w:hyperlink>
          </w:p>
        </w:tc>
        <w:tc>
          <w:tcPr>
            <w:tcW w:w="260" w:type="dxa"/>
            <w:vAlign w:val="bottom"/>
            <w:gridSpan w:val="7"/>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300">
              <w:r>
                <w:rPr>
                  <w:rFonts w:ascii="Arial" w:cs="Arial" w:eastAsia="Arial" w:hAnsi="Arial"/>
                  <w:sz w:val="18"/>
                  <w:szCs w:val="18"/>
                  <w:color w:val="0000EE"/>
                  <w:w w:val="88"/>
                </w:rPr>
                <w:t>October 1, 2017, by and between MSCI Inc. (formerly, Morgan Stanley</w:t>
              </w:r>
            </w:hyperlink>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2"/>
          </w:tcPr>
          <w:p>
            <w:pPr>
              <w:spacing w:after="0" w:line="190" w:lineRule="exact"/>
              <w:rPr>
                <w:rFonts w:ascii="Arial" w:cs="Arial" w:eastAsia="Arial" w:hAnsi="Arial"/>
                <w:sz w:val="18"/>
                <w:szCs w:val="18"/>
                <w:color w:val="0000EE"/>
                <w:w w:val="89"/>
              </w:rPr>
            </w:pPr>
            <w:hyperlink r:id="rId300">
              <w:r>
                <w:rPr>
                  <w:rFonts w:ascii="Arial" w:cs="Arial" w:eastAsia="Arial" w:hAnsi="Arial"/>
                  <w:sz w:val="18"/>
                  <w:szCs w:val="18"/>
                  <w:color w:val="0000EE"/>
                  <w:w w:val="89"/>
                </w:rPr>
                <w:t>Capital International Inc.) and BlackRock Fund Advisors (as successor</w:t>
              </w:r>
            </w:hyperlink>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00">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8"/>
          </w:tcPr>
          <w:p>
            <w:pPr>
              <w:spacing w:after="0"/>
              <w:rPr>
                <w:sz w:val="16"/>
                <w:szCs w:val="16"/>
                <w:color w:val="auto"/>
              </w:rPr>
            </w:pPr>
          </w:p>
        </w:tc>
        <w:tc>
          <w:tcPr>
            <w:tcW w:w="40" w:type="dxa"/>
            <w:vAlign w:val="bottom"/>
          </w:tcPr>
          <w:p>
            <w:pPr>
              <w:spacing w:after="0"/>
              <w:rPr>
                <w:sz w:val="16"/>
                <w:szCs w:val="16"/>
                <w:color w:val="auto"/>
              </w:rPr>
            </w:pPr>
          </w:p>
        </w:tc>
      </w:tr>
      <w:tr>
        <w:trPr>
          <w:trHeight w:val="439"/>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00" w:type="dxa"/>
            <w:vAlign w:val="bottom"/>
            <w:gridSpan w:val="8"/>
          </w:tcPr>
          <w:p>
            <w:pPr>
              <w:ind w:left="4240"/>
              <w:spacing w:after="0"/>
              <w:rPr>
                <w:sz w:val="20"/>
                <w:szCs w:val="20"/>
                <w:color w:val="auto"/>
              </w:rPr>
            </w:pPr>
            <w:r>
              <w:rPr>
                <w:rFonts w:ascii="Arial" w:cs="Arial" w:eastAsia="Arial" w:hAnsi="Arial"/>
                <w:sz w:val="18"/>
                <w:szCs w:val="18"/>
                <w:color w:val="auto"/>
                <w:w w:val="79"/>
              </w:rPr>
              <w:t>110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54610</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10.149</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2/24/2017</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10.150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10.154</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2/26/2018</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10.155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2/26/2018</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10.156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2/26/2018</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10.157</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10.159</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2/26/2018</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10.160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2/26/2018</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10.161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10.162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bl>
    <w:p>
      <w:pPr>
        <w:sectPr>
          <w:pgSz w:w="11900" w:h="16838" w:orient="portrait"/>
          <w:cols w:equalWidth="0" w:num="2">
            <w:col w:w="6080" w:space="720"/>
            <w:col w:w="3980"/>
          </w:cols>
          <w:pgMar w:left="600" w:top="332" w:right="51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4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gridSpan w:val="18"/>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90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10.120†</w:t>
            </w:r>
          </w:p>
        </w:tc>
        <w:tc>
          <w:tcPr>
            <w:tcW w:w="4740" w:type="dxa"/>
            <w:vAlign w:val="bottom"/>
            <w:tcBorders>
              <w:bottom w:val="single" w:sz="8" w:color="0000EE"/>
            </w:tcBorders>
            <w:gridSpan w:val="15"/>
          </w:tcPr>
          <w:p>
            <w:pPr>
              <w:spacing w:after="0"/>
              <w:rPr>
                <w:rFonts w:ascii="Arial" w:cs="Arial" w:eastAsia="Arial" w:hAnsi="Arial"/>
                <w:sz w:val="18"/>
                <w:szCs w:val="18"/>
                <w:color w:val="0000EE"/>
                <w:w w:val="88"/>
              </w:rPr>
            </w:pPr>
            <w:hyperlink r:id="rId302">
              <w:r>
                <w:rPr>
                  <w:rFonts w:ascii="Arial" w:cs="Arial" w:eastAsia="Arial" w:hAnsi="Arial"/>
                  <w:sz w:val="18"/>
                  <w:szCs w:val="18"/>
                  <w:color w:val="0000EE"/>
                  <w:w w:val="88"/>
                </w:rPr>
                <w:t>Amendment to the Index License Agreement for Funds, dated as of</w:t>
              </w:r>
            </w:hyperlink>
          </w:p>
        </w:tc>
        <w:tc>
          <w:tcPr>
            <w:tcW w:w="240" w:type="dxa"/>
            <w:vAlign w:val="bottom"/>
            <w:gridSpan w:val="7"/>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302">
              <w:r>
                <w:rPr>
                  <w:rFonts w:ascii="Arial" w:cs="Arial" w:eastAsia="Arial" w:hAnsi="Arial"/>
                  <w:sz w:val="18"/>
                  <w:szCs w:val="18"/>
                  <w:color w:val="0000EE"/>
                  <w:w w:val="89"/>
                </w:rPr>
                <w:t>November 1, 2017, by and between MSCI Inc. (formerly, Morgan</w:t>
              </w:r>
            </w:hyperlink>
          </w:p>
        </w:tc>
        <w:tc>
          <w:tcPr>
            <w:tcW w:w="340" w:type="dxa"/>
            <w:vAlign w:val="bottom"/>
            <w:gridSpan w:val="8"/>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r:id="rId302">
              <w:r>
                <w:rPr>
                  <w:rFonts w:ascii="Arial" w:cs="Arial" w:eastAsia="Arial" w:hAnsi="Arial"/>
                  <w:sz w:val="18"/>
                  <w:szCs w:val="18"/>
                  <w:color w:val="0000EE"/>
                  <w:w w:val="89"/>
                </w:rPr>
                <w:t>Stanley Capital International Inc.) and BlackRock Fund Advisors (as</w:t>
              </w:r>
            </w:hyperlink>
          </w:p>
        </w:tc>
        <w:tc>
          <w:tcPr>
            <w:tcW w:w="140" w:type="dxa"/>
            <w:vAlign w:val="bottom"/>
            <w:gridSpan w:val="4"/>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rPr>
            </w:pPr>
            <w:hyperlink r:id="rId302">
              <w:r>
                <w:rPr>
                  <w:rFonts w:ascii="Arial" w:cs="Arial" w:eastAsia="Arial" w:hAnsi="Arial"/>
                  <w:sz w:val="18"/>
                  <w:szCs w:val="18"/>
                  <w:color w:val="0000EE"/>
                </w:rPr>
                <w:t>successor to Barclays Global Investors, N.A.)</w:t>
              </w:r>
            </w:hyperlink>
          </w:p>
        </w:tc>
      </w:tr>
      <w:tr>
        <w:trPr>
          <w:trHeight w:val="20"/>
        </w:trPr>
        <w:tc>
          <w:tcPr>
            <w:tcW w:w="9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6"/>
              </w:rPr>
              <w:t>10.121†</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303">
              <w:r>
                <w:rPr>
                  <w:rFonts w:ascii="Arial" w:cs="Arial" w:eastAsia="Arial" w:hAnsi="Arial"/>
                  <w:sz w:val="18"/>
                  <w:szCs w:val="18"/>
                  <w:color w:val="0000EE"/>
                  <w:w w:val="88"/>
                </w:rPr>
                <w:t>Amendment to the Index License Agreement for Funds, dated as of</w:t>
              </w:r>
            </w:hyperlink>
          </w:p>
        </w:tc>
        <w:tc>
          <w:tcPr>
            <w:tcW w:w="240" w:type="dxa"/>
            <w:vAlign w:val="bottom"/>
            <w:gridSpan w:val="7"/>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w w:val="97"/>
              </w:rPr>
            </w:pPr>
            <w:hyperlink r:id="rId303">
              <w:r>
                <w:rPr>
                  <w:rFonts w:ascii="Arial" w:cs="Arial" w:eastAsia="Arial" w:hAnsi="Arial"/>
                  <w:sz w:val="18"/>
                  <w:szCs w:val="18"/>
                  <w:color w:val="0000EE"/>
                  <w:w w:val="97"/>
                </w:rPr>
                <w:t>January 18, 2018, by and between MSCI Inc. (formerly, Morgan</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r:id="rId303">
              <w:r>
                <w:rPr>
                  <w:rFonts w:ascii="Arial" w:cs="Arial" w:eastAsia="Arial" w:hAnsi="Arial"/>
                  <w:sz w:val="18"/>
                  <w:szCs w:val="18"/>
                  <w:color w:val="0000EE"/>
                  <w:w w:val="89"/>
                </w:rPr>
                <w:t>Stanley Capital International Inc.) and BlackRock Fund Advisors (as</w:t>
              </w:r>
            </w:hyperlink>
          </w:p>
        </w:tc>
        <w:tc>
          <w:tcPr>
            <w:tcW w:w="140" w:type="dxa"/>
            <w:vAlign w:val="bottom"/>
            <w:gridSpan w:val="4"/>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rPr>
            </w:pPr>
            <w:hyperlink r:id="rId303">
              <w:r>
                <w:rPr>
                  <w:rFonts w:ascii="Arial" w:cs="Arial" w:eastAsia="Arial" w:hAnsi="Arial"/>
                  <w:sz w:val="18"/>
                  <w:szCs w:val="18"/>
                  <w:color w:val="0000EE"/>
                </w:rPr>
                <w:t>successor to Barclays Global Investors, N.A.)</w:t>
              </w:r>
            </w:hyperlink>
          </w:p>
        </w:tc>
      </w:tr>
      <w:tr>
        <w:trPr>
          <w:trHeight w:val="20"/>
        </w:trPr>
        <w:tc>
          <w:tcPr>
            <w:tcW w:w="9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6"/>
              </w:rPr>
              <w:t>10.122†</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304">
              <w:r>
                <w:rPr>
                  <w:rFonts w:ascii="Arial" w:cs="Arial" w:eastAsia="Arial" w:hAnsi="Arial"/>
                  <w:sz w:val="18"/>
                  <w:szCs w:val="18"/>
                  <w:color w:val="0000EE"/>
                  <w:w w:val="88"/>
                </w:rPr>
                <w:t>Amendment to the Index License Agreement for Funds, dated as of</w:t>
              </w:r>
            </w:hyperlink>
          </w:p>
        </w:tc>
        <w:tc>
          <w:tcPr>
            <w:tcW w:w="240" w:type="dxa"/>
            <w:vAlign w:val="bottom"/>
            <w:gridSpan w:val="7"/>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w w:val="98"/>
              </w:rPr>
            </w:pPr>
            <w:hyperlink r:id="rId304">
              <w:r>
                <w:rPr>
                  <w:rFonts w:ascii="Arial" w:cs="Arial" w:eastAsia="Arial" w:hAnsi="Arial"/>
                  <w:sz w:val="18"/>
                  <w:szCs w:val="18"/>
                  <w:color w:val="0000EE"/>
                  <w:w w:val="98"/>
                </w:rPr>
                <w:t>February 8, 2018, by and between MSCI Inc. (formerly, Morgan</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r:id="rId304">
              <w:r>
                <w:rPr>
                  <w:rFonts w:ascii="Arial" w:cs="Arial" w:eastAsia="Arial" w:hAnsi="Arial"/>
                  <w:sz w:val="18"/>
                  <w:szCs w:val="18"/>
                  <w:color w:val="0000EE"/>
                  <w:w w:val="89"/>
                </w:rPr>
                <w:t>Stanley Capital International Inc.) and BlackRock Fund Advisors (as</w:t>
              </w:r>
            </w:hyperlink>
          </w:p>
        </w:tc>
        <w:tc>
          <w:tcPr>
            <w:tcW w:w="140" w:type="dxa"/>
            <w:vAlign w:val="bottom"/>
            <w:gridSpan w:val="4"/>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rPr>
            </w:pPr>
            <w:hyperlink r:id="rId304">
              <w:r>
                <w:rPr>
                  <w:rFonts w:ascii="Arial" w:cs="Arial" w:eastAsia="Arial" w:hAnsi="Arial"/>
                  <w:sz w:val="18"/>
                  <w:szCs w:val="18"/>
                  <w:color w:val="0000EE"/>
                </w:rPr>
                <w:t>successor to Barclays Global Investors, N.A.)</w:t>
              </w:r>
            </w:hyperlink>
          </w:p>
        </w:tc>
      </w:tr>
      <w:tr>
        <w:trPr>
          <w:trHeight w:val="20"/>
        </w:trPr>
        <w:tc>
          <w:tcPr>
            <w:tcW w:w="9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7"/>
              </w:rPr>
              <w:t>10.123</w:t>
            </w:r>
          </w:p>
        </w:tc>
        <w:tc>
          <w:tcPr>
            <w:tcW w:w="4980" w:type="dxa"/>
            <w:vAlign w:val="bottom"/>
            <w:gridSpan w:val="22"/>
          </w:tcPr>
          <w:p>
            <w:pPr>
              <w:spacing w:after="0" w:line="190" w:lineRule="exact"/>
              <w:rPr>
                <w:rFonts w:ascii="Arial" w:cs="Arial" w:eastAsia="Arial" w:hAnsi="Arial"/>
                <w:sz w:val="18"/>
                <w:szCs w:val="18"/>
                <w:color w:val="0000EE"/>
              </w:rPr>
            </w:pPr>
            <w:hyperlink r:id="rId305">
              <w:r>
                <w:rPr>
                  <w:rFonts w:ascii="Arial" w:cs="Arial" w:eastAsia="Arial" w:hAnsi="Arial"/>
                  <w:sz w:val="18"/>
                  <w:szCs w:val="18"/>
                  <w:color w:val="0000EE"/>
                </w:rPr>
                <w:t>Amendment to the Previous Amendment to the Index License</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9"/>
          </w:tcPr>
          <w:p>
            <w:pPr>
              <w:spacing w:after="0" w:line="190" w:lineRule="exact"/>
              <w:rPr>
                <w:rFonts w:ascii="Arial" w:cs="Arial" w:eastAsia="Arial" w:hAnsi="Arial"/>
                <w:sz w:val="18"/>
                <w:szCs w:val="18"/>
                <w:color w:val="0000EE"/>
                <w:w w:val="87"/>
              </w:rPr>
            </w:pPr>
            <w:hyperlink r:id="rId305">
              <w:r>
                <w:rPr>
                  <w:rFonts w:ascii="Arial" w:cs="Arial" w:eastAsia="Arial" w:hAnsi="Arial"/>
                  <w:sz w:val="18"/>
                  <w:szCs w:val="18"/>
                  <w:color w:val="0000EE"/>
                  <w:w w:val="87"/>
                </w:rPr>
                <w:t>Agreement for Funds, dated as of February 19, 2018, by and between</w:t>
              </w:r>
            </w:hyperlink>
          </w:p>
        </w:tc>
        <w:tc>
          <w:tcPr>
            <w:tcW w:w="100" w:type="dxa"/>
            <w:vAlign w:val="bottom"/>
            <w:gridSpan w:val="3"/>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r:id="rId305">
              <w:r>
                <w:rPr>
                  <w:rFonts w:ascii="Arial" w:cs="Arial" w:eastAsia="Arial" w:hAnsi="Arial"/>
                  <w:sz w:val="18"/>
                  <w:szCs w:val="18"/>
                  <w:color w:val="0000EE"/>
                  <w:w w:val="90"/>
                </w:rPr>
                <w:t>MSCI Inc. (formerly, Morgan Stanley Capital International Inc.) and</w:t>
              </w:r>
            </w:hyperlink>
          </w:p>
        </w:tc>
        <w:tc>
          <w:tcPr>
            <w:tcW w:w="160" w:type="dxa"/>
            <w:vAlign w:val="bottom"/>
            <w:gridSpan w:val="5"/>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305">
              <w:r>
                <w:rPr>
                  <w:rFonts w:ascii="Arial" w:cs="Arial" w:eastAsia="Arial" w:hAnsi="Arial"/>
                  <w:sz w:val="18"/>
                  <w:szCs w:val="18"/>
                  <w:color w:val="0000EE"/>
                  <w:w w:val="88"/>
                </w:rPr>
                <w:t>BlackRock Fund Advisors (as successor to Barclays Global Investors,</w:t>
              </w:r>
            </w:hyperlink>
          </w:p>
        </w:tc>
        <w:tc>
          <w:tcPr>
            <w:tcW w:w="40" w:type="dxa"/>
            <w:vAlign w:val="bottom"/>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Borders>
              <w:bottom w:val="single" w:sz="8" w:color="0000EE"/>
            </w:tcBorders>
            <w:gridSpan w:val="2"/>
          </w:tcPr>
          <w:p>
            <w:pPr>
              <w:spacing w:after="0" w:line="190" w:lineRule="exact"/>
              <w:rPr>
                <w:rFonts w:ascii="Arial" w:cs="Arial" w:eastAsia="Arial" w:hAnsi="Arial"/>
                <w:sz w:val="18"/>
                <w:szCs w:val="18"/>
                <w:color w:val="0000EE"/>
                <w:w w:val="97"/>
              </w:rPr>
            </w:pPr>
            <w:hyperlink r:id="rId305">
              <w:r>
                <w:rPr>
                  <w:rFonts w:ascii="Arial" w:cs="Arial" w:eastAsia="Arial" w:hAnsi="Arial"/>
                  <w:sz w:val="18"/>
                  <w:szCs w:val="18"/>
                  <w:color w:val="0000EE"/>
                  <w:w w:val="97"/>
                </w:rPr>
                <w:t>N.A.)</w:t>
              </w:r>
            </w:hyperlink>
          </w:p>
        </w:tc>
        <w:tc>
          <w:tcPr>
            <w:tcW w:w="4560" w:type="dxa"/>
            <w:vAlign w:val="bottom"/>
            <w:gridSpan w:val="20"/>
          </w:tcPr>
          <w:p>
            <w:pPr>
              <w:spacing w:after="0"/>
              <w:rPr>
                <w:sz w:val="16"/>
                <w:szCs w:val="16"/>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6"/>
              </w:rPr>
              <w:t>10.124†</w:t>
            </w:r>
          </w:p>
        </w:tc>
        <w:tc>
          <w:tcPr>
            <w:tcW w:w="4980" w:type="dxa"/>
            <w:vAlign w:val="bottom"/>
            <w:tcBorders>
              <w:bottom w:val="single" w:sz="8" w:color="0000EE"/>
            </w:tcBorders>
            <w:gridSpan w:val="22"/>
          </w:tcPr>
          <w:p>
            <w:pPr>
              <w:spacing w:after="0" w:line="190" w:lineRule="exact"/>
              <w:rPr>
                <w:rFonts w:ascii="Arial" w:cs="Arial" w:eastAsia="Arial" w:hAnsi="Arial"/>
                <w:sz w:val="18"/>
                <w:szCs w:val="18"/>
                <w:color w:val="0000EE"/>
                <w:w w:val="87"/>
              </w:rPr>
            </w:pPr>
            <w:hyperlink r:id="rId306">
              <w:r>
                <w:rPr>
                  <w:rFonts w:ascii="Arial" w:cs="Arial" w:eastAsia="Arial" w:hAnsi="Arial"/>
                  <w:sz w:val="18"/>
                  <w:szCs w:val="18"/>
                  <w:color w:val="0000EE"/>
                  <w:w w:val="87"/>
                </w:rPr>
                <w:t>Amendment No. 2 to the Index License Agreement for Funds, dated as</w:t>
              </w:r>
            </w:hyperlink>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bottom w:val="single" w:sz="8" w:color="0000EE"/>
            </w:tcBorders>
            <w:gridSpan w:val="13"/>
          </w:tcPr>
          <w:p>
            <w:pPr>
              <w:spacing w:after="0" w:line="190" w:lineRule="exact"/>
              <w:rPr>
                <w:rFonts w:ascii="Arial" w:cs="Arial" w:eastAsia="Arial" w:hAnsi="Arial"/>
                <w:sz w:val="18"/>
                <w:szCs w:val="18"/>
                <w:color w:val="0000EE"/>
                <w:w w:val="88"/>
              </w:rPr>
            </w:pPr>
            <w:hyperlink r:id="rId306">
              <w:r>
                <w:rPr>
                  <w:rFonts w:ascii="Arial" w:cs="Arial" w:eastAsia="Arial" w:hAnsi="Arial"/>
                  <w:sz w:val="18"/>
                  <w:szCs w:val="18"/>
                  <w:color w:val="0000EE"/>
                  <w:w w:val="88"/>
                </w:rPr>
                <w:t>of March 1, 2018, by and between MSCI ESG Research LLC and</w:t>
              </w:r>
            </w:hyperlink>
          </w:p>
        </w:tc>
        <w:tc>
          <w:tcPr>
            <w:tcW w:w="360" w:type="dxa"/>
            <w:vAlign w:val="bottom"/>
            <w:gridSpan w:val="9"/>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rPr>
            </w:pPr>
            <w:hyperlink r:id="rId306">
              <w:r>
                <w:rPr>
                  <w:rFonts w:ascii="Arial" w:cs="Arial" w:eastAsia="Arial" w:hAnsi="Arial"/>
                  <w:sz w:val="18"/>
                  <w:szCs w:val="18"/>
                  <w:color w:val="0000EE"/>
                </w:rPr>
                <w:t>BlackRock Fund Advisors</w:t>
              </w:r>
            </w:hyperlink>
          </w:p>
        </w:tc>
      </w:tr>
      <w:tr>
        <w:trPr>
          <w:trHeight w:val="20"/>
        </w:trPr>
        <w:tc>
          <w:tcPr>
            <w:tcW w:w="9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7"/>
              </w:rPr>
              <w:t>10.125</w:t>
            </w:r>
          </w:p>
        </w:tc>
        <w:tc>
          <w:tcPr>
            <w:tcW w:w="4980" w:type="dxa"/>
            <w:vAlign w:val="bottom"/>
            <w:gridSpan w:val="22"/>
          </w:tcPr>
          <w:p>
            <w:pPr>
              <w:spacing w:after="0" w:line="190" w:lineRule="exact"/>
              <w:rPr>
                <w:rFonts w:ascii="Arial" w:cs="Arial" w:eastAsia="Arial" w:hAnsi="Arial"/>
                <w:sz w:val="18"/>
                <w:szCs w:val="18"/>
                <w:color w:val="0000EE"/>
                <w:w w:val="95"/>
              </w:rPr>
            </w:pPr>
            <w:hyperlink r:id="rId307">
              <w:r>
                <w:rPr>
                  <w:rFonts w:ascii="Arial" w:cs="Arial" w:eastAsia="Arial" w:hAnsi="Arial"/>
                  <w:sz w:val="18"/>
                  <w:szCs w:val="18"/>
                  <w:color w:val="0000EE"/>
                  <w:w w:val="95"/>
                </w:rPr>
                <w:t>Amendment to the Schedules to the Index License Agreement for</w:t>
              </w:r>
            </w:hyperlink>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80" w:type="dxa"/>
            <w:vAlign w:val="bottom"/>
            <w:tcBorders>
              <w:top w:val="single" w:sz="8" w:color="0000EE"/>
              <w:bottom w:val="single" w:sz="8" w:color="0000EE"/>
            </w:tcBorders>
            <w:gridSpan w:val="11"/>
          </w:tcPr>
          <w:p>
            <w:pPr>
              <w:spacing w:after="0" w:line="190" w:lineRule="exact"/>
              <w:rPr>
                <w:rFonts w:ascii="Arial" w:cs="Arial" w:eastAsia="Arial" w:hAnsi="Arial"/>
                <w:sz w:val="18"/>
                <w:szCs w:val="18"/>
                <w:color w:val="0000EE"/>
                <w:w w:val="87"/>
              </w:rPr>
            </w:pPr>
            <w:hyperlink r:id="rId307">
              <w:r>
                <w:rPr>
                  <w:rFonts w:ascii="Arial" w:cs="Arial" w:eastAsia="Arial" w:hAnsi="Arial"/>
                  <w:sz w:val="18"/>
                  <w:szCs w:val="18"/>
                  <w:color w:val="0000EE"/>
                  <w:w w:val="87"/>
                </w:rPr>
                <w:t>Funds, dated as of May 15, 2018, by and between MSCI Inc. and</w:t>
              </w:r>
            </w:hyperlink>
          </w:p>
        </w:tc>
        <w:tc>
          <w:tcPr>
            <w:tcW w:w="20" w:type="dxa"/>
            <w:vAlign w:val="bottom"/>
            <w:tcBorders>
              <w:top w:val="single" w:sz="8" w:color="0000EE"/>
            </w:tcBorders>
          </w:tcPr>
          <w:p>
            <w:pPr>
              <w:spacing w:after="0"/>
              <w:rPr>
                <w:sz w:val="16"/>
                <w:szCs w:val="16"/>
                <w:color w:val="auto"/>
              </w:rPr>
            </w:pPr>
          </w:p>
        </w:tc>
        <w:tc>
          <w:tcPr>
            <w:tcW w:w="380" w:type="dxa"/>
            <w:vAlign w:val="bottom"/>
            <w:gridSpan w:val="10"/>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rPr>
            </w:pPr>
            <w:hyperlink r:id="rId307">
              <w:r>
                <w:rPr>
                  <w:rFonts w:ascii="Arial" w:cs="Arial" w:eastAsia="Arial" w:hAnsi="Arial"/>
                  <w:sz w:val="18"/>
                  <w:szCs w:val="18"/>
                  <w:color w:val="0000EE"/>
                </w:rPr>
                <w:t>BlackRock Fund Advisors</w:t>
              </w:r>
            </w:hyperlink>
          </w:p>
        </w:tc>
      </w:tr>
      <w:tr>
        <w:trPr>
          <w:trHeight w:val="20"/>
        </w:trPr>
        <w:tc>
          <w:tcPr>
            <w:tcW w:w="9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6"/>
              </w:rPr>
              <w:t>10.126†</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308">
              <w:r>
                <w:rPr>
                  <w:rFonts w:ascii="Arial" w:cs="Arial" w:eastAsia="Arial" w:hAnsi="Arial"/>
                  <w:sz w:val="18"/>
                  <w:szCs w:val="18"/>
                  <w:color w:val="0000EE"/>
                  <w:w w:val="88"/>
                </w:rPr>
                <w:t>Amendment to the Index License Agreement for Funds, dated as of</w:t>
              </w:r>
            </w:hyperlink>
          </w:p>
        </w:tc>
        <w:tc>
          <w:tcPr>
            <w:tcW w:w="240" w:type="dxa"/>
            <w:vAlign w:val="bottom"/>
            <w:gridSpan w:val="7"/>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308">
              <w:r>
                <w:rPr>
                  <w:rFonts w:ascii="Arial" w:cs="Arial" w:eastAsia="Arial" w:hAnsi="Arial"/>
                  <w:sz w:val="18"/>
                  <w:szCs w:val="18"/>
                  <w:color w:val="0000EE"/>
                  <w:w w:val="88"/>
                </w:rPr>
                <w:t>June 1, 2018, by and between MSCI Inc. (formerly, Morgan Stanley</w:t>
              </w:r>
            </w:hyperlink>
          </w:p>
        </w:tc>
        <w:tc>
          <w:tcPr>
            <w:tcW w:w="200" w:type="dxa"/>
            <w:vAlign w:val="bottom"/>
            <w:gridSpan w:val="6"/>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308">
              <w:r>
                <w:rPr>
                  <w:rFonts w:ascii="Arial" w:cs="Arial" w:eastAsia="Arial" w:hAnsi="Arial"/>
                  <w:sz w:val="18"/>
                  <w:szCs w:val="18"/>
                  <w:color w:val="0000EE"/>
                  <w:w w:val="88"/>
                </w:rPr>
                <w:t>Capital International Inc.) and BlackRock Fund Advisors (as successor</w:t>
              </w:r>
            </w:hyperlink>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bottom w:val="single" w:sz="8" w:color="0000EE"/>
            </w:tcBorders>
            <w:gridSpan w:val="5"/>
          </w:tcPr>
          <w:p>
            <w:pPr>
              <w:spacing w:after="0" w:line="190" w:lineRule="exact"/>
              <w:rPr>
                <w:rFonts w:ascii="Arial" w:cs="Arial" w:eastAsia="Arial" w:hAnsi="Arial"/>
                <w:sz w:val="18"/>
                <w:szCs w:val="18"/>
                <w:color w:val="0000EE"/>
                <w:w w:val="90"/>
              </w:rPr>
            </w:pPr>
            <w:hyperlink r:id="rId308">
              <w:r>
                <w:rPr>
                  <w:rFonts w:ascii="Arial" w:cs="Arial" w:eastAsia="Arial" w:hAnsi="Arial"/>
                  <w:sz w:val="18"/>
                  <w:szCs w:val="18"/>
                  <w:color w:val="0000EE"/>
                  <w:w w:val="90"/>
                </w:rPr>
                <w:t>to Barclays Global Investors, N.A.)</w:t>
              </w:r>
            </w:hyperlink>
          </w:p>
        </w:tc>
        <w:tc>
          <w:tcPr>
            <w:tcW w:w="2480" w:type="dxa"/>
            <w:vAlign w:val="bottom"/>
            <w:gridSpan w:val="17"/>
          </w:tcPr>
          <w:p>
            <w:pPr>
              <w:spacing w:after="0"/>
              <w:rPr>
                <w:sz w:val="16"/>
                <w:szCs w:val="16"/>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6"/>
              </w:rPr>
              <w:t>10.127†</w:t>
            </w:r>
          </w:p>
        </w:tc>
        <w:tc>
          <w:tcPr>
            <w:tcW w:w="4980" w:type="dxa"/>
            <w:vAlign w:val="bottom"/>
            <w:tcBorders>
              <w:bottom w:val="single" w:sz="8" w:color="0000EE"/>
            </w:tcBorders>
            <w:gridSpan w:val="22"/>
          </w:tcPr>
          <w:p>
            <w:pPr>
              <w:spacing w:after="0" w:line="190" w:lineRule="exact"/>
              <w:rPr>
                <w:rFonts w:ascii="Arial" w:cs="Arial" w:eastAsia="Arial" w:hAnsi="Arial"/>
                <w:sz w:val="18"/>
                <w:szCs w:val="18"/>
                <w:color w:val="0000EE"/>
                <w:w w:val="87"/>
              </w:rPr>
            </w:pPr>
            <w:hyperlink r:id="rId309">
              <w:r>
                <w:rPr>
                  <w:rFonts w:ascii="Arial" w:cs="Arial" w:eastAsia="Arial" w:hAnsi="Arial"/>
                  <w:sz w:val="18"/>
                  <w:szCs w:val="18"/>
                  <w:color w:val="0000EE"/>
                  <w:w w:val="87"/>
                </w:rPr>
                <w:t>Amendment No. 3 to the Index License Agreement for Funds, dated as</w:t>
              </w:r>
            </w:hyperlink>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w w:val="98"/>
              </w:rPr>
            </w:pPr>
            <w:hyperlink r:id="rId309">
              <w:r>
                <w:rPr>
                  <w:rFonts w:ascii="Arial" w:cs="Arial" w:eastAsia="Arial" w:hAnsi="Arial"/>
                  <w:sz w:val="18"/>
                  <w:szCs w:val="18"/>
                  <w:color w:val="0000EE"/>
                  <w:w w:val="98"/>
                </w:rPr>
                <w:t>of July 1, 2018, by and between MSCI ESG Research LLC and</w:t>
              </w:r>
            </w:hyperlink>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40" w:type="dxa"/>
            <w:vAlign w:val="bottom"/>
            <w:tcBorders>
              <w:top w:val="single" w:sz="8" w:color="0000EE"/>
            </w:tcBorders>
            <w:gridSpan w:val="9"/>
          </w:tcPr>
          <w:p>
            <w:pPr>
              <w:spacing w:after="0" w:line="190" w:lineRule="exact"/>
              <w:rPr>
                <w:rFonts w:ascii="Arial" w:cs="Arial" w:eastAsia="Arial" w:hAnsi="Arial"/>
                <w:sz w:val="18"/>
                <w:szCs w:val="18"/>
                <w:color w:val="0000EE"/>
              </w:rPr>
            </w:pPr>
            <w:hyperlink r:id="rId309">
              <w:r>
                <w:rPr>
                  <w:rFonts w:ascii="Arial" w:cs="Arial" w:eastAsia="Arial" w:hAnsi="Arial"/>
                  <w:sz w:val="18"/>
                  <w:szCs w:val="18"/>
                  <w:color w:val="0000EE"/>
                </w:rPr>
                <w:t>BlackRock Fund Advisors</w:t>
              </w:r>
            </w:hyperlink>
          </w:p>
        </w:tc>
        <w:tc>
          <w:tcPr>
            <w:tcW w:w="540" w:type="dxa"/>
            <w:vAlign w:val="bottom"/>
            <w:gridSpan w:val="13"/>
          </w:tcPr>
          <w:p>
            <w:pPr>
              <w:spacing w:after="0"/>
              <w:rPr>
                <w:sz w:val="16"/>
                <w:szCs w:val="16"/>
                <w:color w:val="auto"/>
              </w:rPr>
            </w:pPr>
          </w:p>
        </w:tc>
      </w:tr>
      <w:tr>
        <w:trPr>
          <w:trHeight w:val="20"/>
        </w:trPr>
        <w:tc>
          <w:tcPr>
            <w:tcW w:w="9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7"/>
              </w:rPr>
              <w:t>10.128</w:t>
            </w:r>
          </w:p>
        </w:tc>
        <w:tc>
          <w:tcPr>
            <w:tcW w:w="4980" w:type="dxa"/>
            <w:vAlign w:val="bottom"/>
            <w:gridSpan w:val="22"/>
          </w:tcPr>
          <w:p>
            <w:pPr>
              <w:spacing w:after="0" w:line="190" w:lineRule="exact"/>
              <w:rPr>
                <w:rFonts w:ascii="Arial" w:cs="Arial" w:eastAsia="Arial" w:hAnsi="Arial"/>
                <w:sz w:val="18"/>
                <w:szCs w:val="18"/>
                <w:color w:val="0000EE"/>
                <w:w w:val="95"/>
              </w:rPr>
            </w:pPr>
            <w:hyperlink r:id="rId310">
              <w:r>
                <w:rPr>
                  <w:rFonts w:ascii="Arial" w:cs="Arial" w:eastAsia="Arial" w:hAnsi="Arial"/>
                  <w:sz w:val="18"/>
                  <w:szCs w:val="18"/>
                  <w:color w:val="0000EE"/>
                  <w:w w:val="95"/>
                </w:rPr>
                <w:t>Amendment to the Schedules to the Index License Agreement for</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20" w:type="dxa"/>
            <w:vAlign w:val="bottom"/>
            <w:tcBorders>
              <w:bottom w:val="single" w:sz="8" w:color="0000EE"/>
            </w:tcBorders>
            <w:gridSpan w:val="20"/>
          </w:tcPr>
          <w:p>
            <w:pPr>
              <w:spacing w:after="0" w:line="190" w:lineRule="exact"/>
              <w:rPr>
                <w:rFonts w:ascii="Arial" w:cs="Arial" w:eastAsia="Arial" w:hAnsi="Arial"/>
                <w:sz w:val="18"/>
                <w:szCs w:val="18"/>
                <w:color w:val="0000EE"/>
                <w:w w:val="86"/>
              </w:rPr>
            </w:pPr>
            <w:hyperlink r:id="rId310">
              <w:r>
                <w:rPr>
                  <w:rFonts w:ascii="Arial" w:cs="Arial" w:eastAsia="Arial" w:hAnsi="Arial"/>
                  <w:sz w:val="18"/>
                  <w:szCs w:val="18"/>
                  <w:color w:val="0000EE"/>
                  <w:w w:val="86"/>
                </w:rPr>
                <w:t>Funds, dated as of September 1, 2018, by and between MSCI Inc. and</w:t>
              </w:r>
            </w:hyperlink>
          </w:p>
        </w:tc>
        <w:tc>
          <w:tcPr>
            <w:tcW w:w="60" w:type="dxa"/>
            <w:vAlign w:val="bottom"/>
            <w:gridSpan w:val="2"/>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rPr>
            </w:pPr>
            <w:hyperlink r:id="rId310">
              <w:r>
                <w:rPr>
                  <w:rFonts w:ascii="Arial" w:cs="Arial" w:eastAsia="Arial" w:hAnsi="Arial"/>
                  <w:sz w:val="18"/>
                  <w:szCs w:val="18"/>
                  <w:color w:val="0000EE"/>
                </w:rPr>
                <w:t>BlackRock Fund Advisors</w:t>
              </w:r>
            </w:hyperlink>
          </w:p>
        </w:tc>
      </w:tr>
      <w:tr>
        <w:trPr>
          <w:trHeight w:val="20"/>
        </w:trPr>
        <w:tc>
          <w:tcPr>
            <w:tcW w:w="9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120" w:type="dxa"/>
            <w:vAlign w:val="bottom"/>
            <w:gridSpan w:val="19"/>
          </w:tcPr>
          <w:p>
            <w:pPr>
              <w:spacing w:after="0" w:line="20" w:lineRule="exact"/>
              <w:rPr>
                <w:sz w:val="1"/>
                <w:szCs w:val="1"/>
                <w:color w:val="auto"/>
              </w:rPr>
            </w:pPr>
          </w:p>
        </w:tc>
      </w:tr>
      <w:tr>
        <w:trPr>
          <w:trHeight w:val="190"/>
        </w:trPr>
        <w:tc>
          <w:tcPr>
            <w:tcW w:w="90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87"/>
              </w:rPr>
              <w:t>10.129</w:t>
            </w:r>
          </w:p>
        </w:tc>
        <w:tc>
          <w:tcPr>
            <w:tcW w:w="4980" w:type="dxa"/>
            <w:vAlign w:val="bottom"/>
            <w:gridSpan w:val="22"/>
          </w:tcPr>
          <w:p>
            <w:pPr>
              <w:spacing w:after="0" w:line="190" w:lineRule="exact"/>
              <w:rPr>
                <w:rFonts w:ascii="Arial" w:cs="Arial" w:eastAsia="Arial" w:hAnsi="Arial"/>
                <w:sz w:val="18"/>
                <w:szCs w:val="18"/>
                <w:color w:val="0000EE"/>
              </w:rPr>
            </w:pPr>
            <w:hyperlink r:id="rId311">
              <w:r>
                <w:rPr>
                  <w:rFonts w:ascii="Arial" w:cs="Arial" w:eastAsia="Arial" w:hAnsi="Arial"/>
                  <w:sz w:val="18"/>
                  <w:szCs w:val="18"/>
                  <w:color w:val="0000EE"/>
                </w:rPr>
                <w:t>Amendment to the Previous Amendment to the Index License</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40" w:type="dxa"/>
            <w:vAlign w:val="bottom"/>
            <w:gridSpan w:val="7"/>
            <w:shd w:val="clear" w:color="auto" w:fill="0000EE"/>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tcBorders>
              <w:bottom w:val="single" w:sz="8" w:color="0000EE"/>
            </w:tcBorders>
            <w:gridSpan w:val="22"/>
          </w:tcPr>
          <w:p>
            <w:pPr>
              <w:spacing w:after="0" w:line="190" w:lineRule="exact"/>
              <w:rPr>
                <w:rFonts w:ascii="Arial" w:cs="Arial" w:eastAsia="Arial" w:hAnsi="Arial"/>
                <w:sz w:val="18"/>
                <w:szCs w:val="18"/>
                <w:color w:val="0000EE"/>
                <w:w w:val="86"/>
              </w:rPr>
            </w:pPr>
            <w:hyperlink r:id="rId311">
              <w:r>
                <w:rPr>
                  <w:rFonts w:ascii="Arial" w:cs="Arial" w:eastAsia="Arial" w:hAnsi="Arial"/>
                  <w:sz w:val="18"/>
                  <w:szCs w:val="18"/>
                  <w:color w:val="0000EE"/>
                  <w:w w:val="86"/>
                </w:rPr>
                <w:t>Agreement for Funds, dated as of September 10, 2018, by and between</w:t>
              </w:r>
            </w:hyperlink>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r:id="rId311">
              <w:r>
                <w:rPr>
                  <w:rFonts w:ascii="Arial" w:cs="Arial" w:eastAsia="Arial" w:hAnsi="Arial"/>
                  <w:sz w:val="18"/>
                  <w:szCs w:val="18"/>
                  <w:color w:val="0000EE"/>
                  <w:w w:val="90"/>
                </w:rPr>
                <w:t>MSCI Inc. (formerly, Morgan Stanley Capital International Inc.) and</w:t>
              </w:r>
            </w:hyperlink>
          </w:p>
        </w:tc>
        <w:tc>
          <w:tcPr>
            <w:tcW w:w="160" w:type="dxa"/>
            <w:vAlign w:val="bottom"/>
            <w:gridSpan w:val="5"/>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311">
              <w:r>
                <w:rPr>
                  <w:rFonts w:ascii="Arial" w:cs="Arial" w:eastAsia="Arial" w:hAnsi="Arial"/>
                  <w:sz w:val="18"/>
                  <w:szCs w:val="18"/>
                  <w:color w:val="0000EE"/>
                  <w:w w:val="88"/>
                </w:rPr>
                <w:t>BlackRock Fund Advisors (as successor to Barclays Global Investors,</w:t>
              </w:r>
            </w:hyperlink>
          </w:p>
        </w:tc>
        <w:tc>
          <w:tcPr>
            <w:tcW w:w="40" w:type="dxa"/>
            <w:vAlign w:val="bottom"/>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gridSpan w:val="22"/>
          </w:tcPr>
          <w:p>
            <w:pPr>
              <w:spacing w:after="0" w:line="190" w:lineRule="exact"/>
              <w:rPr>
                <w:rFonts w:ascii="Arial" w:cs="Arial" w:eastAsia="Arial" w:hAnsi="Arial"/>
                <w:sz w:val="18"/>
                <w:szCs w:val="18"/>
                <w:color w:val="0000EE"/>
              </w:rPr>
            </w:pPr>
            <w:hyperlink r:id="rId311">
              <w:r>
                <w:rPr>
                  <w:rFonts w:ascii="Arial" w:cs="Arial" w:eastAsia="Arial" w:hAnsi="Arial"/>
                  <w:sz w:val="18"/>
                  <w:szCs w:val="18"/>
                  <w:color w:val="0000EE"/>
                </w:rPr>
                <w:t>N.A.)</w:t>
              </w:r>
            </w:hyperlink>
          </w:p>
        </w:tc>
      </w:tr>
      <w:tr>
        <w:trPr>
          <w:trHeight w:val="439"/>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120" w:type="dxa"/>
            <w:vAlign w:val="bottom"/>
            <w:gridSpan w:val="9"/>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54610</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10.163</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2/26/2018</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10.169</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10.177</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10.178</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2/22/2019</w:t>
            </w:r>
          </w:p>
        </w:tc>
      </w:tr>
    </w:tbl>
    <w:p>
      <w:pPr>
        <w:sectPr>
          <w:pgSz w:w="11900" w:h="16838" w:orient="portrait"/>
          <w:cols w:equalWidth="0" w:num="2">
            <w:col w:w="6000" w:space="720"/>
            <w:col w:w="3980"/>
          </w:cols>
          <w:pgMar w:left="680" w:top="332" w:right="51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0" w:type="dxa"/>
            <w:vAlign w:val="bottom"/>
            <w:gridSpan w:val="21"/>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96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10.130†</w:t>
            </w:r>
          </w:p>
        </w:tc>
        <w:tc>
          <w:tcPr>
            <w:tcW w:w="5020" w:type="dxa"/>
            <w:vAlign w:val="bottom"/>
            <w:gridSpan w:val="26"/>
          </w:tcPr>
          <w:p>
            <w:pPr>
              <w:spacing w:after="0"/>
              <w:rPr>
                <w:rFonts w:ascii="Arial" w:cs="Arial" w:eastAsia="Arial" w:hAnsi="Arial"/>
                <w:sz w:val="18"/>
                <w:szCs w:val="18"/>
                <w:color w:val="0000EE"/>
                <w:w w:val="94"/>
              </w:rPr>
            </w:pPr>
            <w:hyperlink r:id="rId313">
              <w:r>
                <w:rPr>
                  <w:rFonts w:ascii="Arial" w:cs="Arial" w:eastAsia="Arial" w:hAnsi="Arial"/>
                  <w:sz w:val="18"/>
                  <w:szCs w:val="18"/>
                  <w:color w:val="0000EE"/>
                  <w:w w:val="94"/>
                </w:rPr>
                <w:t>Amendment to the Previous Amendment, the Previous Conversion</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60" w:type="dxa"/>
            <w:vAlign w:val="bottom"/>
            <w:tcBorders>
              <w:top w:val="single" w:sz="8" w:color="0000EE"/>
              <w:bottom w:val="single" w:sz="8" w:color="0000EE"/>
            </w:tcBorders>
            <w:gridSpan w:val="13"/>
          </w:tcPr>
          <w:p>
            <w:pPr>
              <w:spacing w:after="0" w:line="190" w:lineRule="exact"/>
              <w:rPr>
                <w:rFonts w:ascii="Arial" w:cs="Arial" w:eastAsia="Arial" w:hAnsi="Arial"/>
                <w:sz w:val="18"/>
                <w:szCs w:val="18"/>
                <w:color w:val="0000EE"/>
                <w:w w:val="87"/>
              </w:rPr>
            </w:pPr>
            <w:hyperlink r:id="rId313">
              <w:r>
                <w:rPr>
                  <w:rFonts w:ascii="Arial" w:cs="Arial" w:eastAsia="Arial" w:hAnsi="Arial"/>
                  <w:sz w:val="18"/>
                  <w:szCs w:val="18"/>
                  <w:color w:val="0000EE"/>
                  <w:w w:val="87"/>
                </w:rPr>
                <w:t>Amendment and Previous Name Change Amendment to the Index</w:t>
              </w:r>
            </w:hyperlink>
          </w:p>
        </w:tc>
        <w:tc>
          <w:tcPr>
            <w:tcW w:w="20" w:type="dxa"/>
            <w:vAlign w:val="bottom"/>
            <w:tcBorders>
              <w:top w:val="single" w:sz="8" w:color="0000EE"/>
            </w:tcBorders>
          </w:tcPr>
          <w:p>
            <w:pPr>
              <w:spacing w:after="0"/>
              <w:rPr>
                <w:sz w:val="16"/>
                <w:szCs w:val="16"/>
                <w:color w:val="auto"/>
              </w:rPr>
            </w:pPr>
          </w:p>
        </w:tc>
        <w:tc>
          <w:tcPr>
            <w:tcW w:w="340" w:type="dxa"/>
            <w:vAlign w:val="bottom"/>
            <w:gridSpan w:val="1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w w:val="88"/>
              </w:rPr>
            </w:pPr>
            <w:hyperlink r:id="rId313">
              <w:r>
                <w:rPr>
                  <w:rFonts w:ascii="Arial" w:cs="Arial" w:eastAsia="Arial" w:hAnsi="Arial"/>
                  <w:sz w:val="18"/>
                  <w:szCs w:val="18"/>
                  <w:color w:val="0000EE"/>
                  <w:w w:val="88"/>
                </w:rPr>
                <w:t>License Agreement for Funds, dated as of September 10, 2018, by and</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top w:val="single" w:sz="8" w:color="0000EE"/>
              <w:bottom w:val="single" w:sz="8" w:color="0000EE"/>
            </w:tcBorders>
            <w:gridSpan w:val="17"/>
          </w:tcPr>
          <w:p>
            <w:pPr>
              <w:spacing w:after="0" w:line="190" w:lineRule="exact"/>
              <w:rPr>
                <w:rFonts w:ascii="Arial" w:cs="Arial" w:eastAsia="Arial" w:hAnsi="Arial"/>
                <w:sz w:val="18"/>
                <w:szCs w:val="18"/>
                <w:color w:val="0000EE"/>
                <w:w w:val="89"/>
              </w:rPr>
            </w:pPr>
            <w:hyperlink r:id="rId313">
              <w:r>
                <w:rPr>
                  <w:rFonts w:ascii="Arial" w:cs="Arial" w:eastAsia="Arial" w:hAnsi="Arial"/>
                  <w:sz w:val="18"/>
                  <w:szCs w:val="18"/>
                  <w:color w:val="0000EE"/>
                  <w:w w:val="89"/>
                </w:rPr>
                <w:t>between MSCI Inc. (formerly, Morgan Stanley Capital International</w:t>
              </w:r>
            </w:hyperlink>
          </w:p>
        </w:tc>
        <w:tc>
          <w:tcPr>
            <w:tcW w:w="160" w:type="dxa"/>
            <w:vAlign w:val="bottom"/>
            <w:tcBorders>
              <w:top w:val="single" w:sz="8" w:color="0000EE"/>
            </w:tcBorders>
            <w:gridSpan w:val="6"/>
          </w:tcPr>
          <w:p>
            <w:pPr>
              <w:spacing w:after="0"/>
              <w:rPr>
                <w:sz w:val="16"/>
                <w:szCs w:val="16"/>
                <w:color w:val="auto"/>
              </w:rPr>
            </w:pPr>
          </w:p>
        </w:tc>
        <w:tc>
          <w:tcPr>
            <w:tcW w:w="80" w:type="dxa"/>
            <w:vAlign w:val="bottom"/>
            <w:gridSpan w:val="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20"/>
          </w:tcPr>
          <w:p>
            <w:pPr>
              <w:spacing w:after="0" w:line="190" w:lineRule="exact"/>
              <w:rPr>
                <w:rFonts w:ascii="Arial" w:cs="Arial" w:eastAsia="Arial" w:hAnsi="Arial"/>
                <w:sz w:val="18"/>
                <w:szCs w:val="18"/>
                <w:color w:val="0000EE"/>
                <w:w w:val="88"/>
              </w:rPr>
            </w:pPr>
            <w:hyperlink r:id="rId313">
              <w:r>
                <w:rPr>
                  <w:rFonts w:ascii="Arial" w:cs="Arial" w:eastAsia="Arial" w:hAnsi="Arial"/>
                  <w:sz w:val="18"/>
                  <w:szCs w:val="18"/>
                  <w:color w:val="0000EE"/>
                  <w:w w:val="88"/>
                </w:rPr>
                <w:t>Inc.) and BlackRock Fund Advisors (as successor to Barclays Global</w:t>
              </w:r>
            </w:hyperlink>
          </w:p>
        </w:tc>
        <w:tc>
          <w:tcPr>
            <w:tcW w:w="160" w:type="dxa"/>
            <w:vAlign w:val="bottom"/>
            <w:gridSpan w:val="6"/>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r:id="rId313">
              <w:r>
                <w:rPr>
                  <w:rFonts w:ascii="Arial" w:cs="Arial" w:eastAsia="Arial" w:hAnsi="Arial"/>
                  <w:sz w:val="18"/>
                  <w:szCs w:val="18"/>
                  <w:color w:val="0000EE"/>
                  <w:w w:val="90"/>
                </w:rPr>
                <w:t>Investors, N.A.)</w:t>
              </w:r>
            </w:hyperlink>
          </w:p>
        </w:tc>
        <w:tc>
          <w:tcPr>
            <w:tcW w:w="3880" w:type="dxa"/>
            <w:vAlign w:val="bottom"/>
            <w:gridSpan w:val="23"/>
          </w:tcPr>
          <w:p>
            <w:pPr>
              <w:spacing w:after="0"/>
              <w:rPr>
                <w:sz w:val="16"/>
                <w:szCs w:val="16"/>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6"/>
              </w:rPr>
              <w:t>10.131†</w:t>
            </w:r>
          </w:p>
        </w:tc>
        <w:tc>
          <w:tcPr>
            <w:tcW w:w="476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314">
              <w:r>
                <w:rPr>
                  <w:rFonts w:ascii="Arial" w:cs="Arial" w:eastAsia="Arial" w:hAnsi="Arial"/>
                  <w:sz w:val="18"/>
                  <w:szCs w:val="18"/>
                  <w:color w:val="0000EE"/>
                  <w:w w:val="88"/>
                </w:rPr>
                <w:t>Amendment to the Index License Agreement for Funds, dated as of</w:t>
              </w:r>
            </w:hyperlink>
          </w:p>
        </w:tc>
        <w:tc>
          <w:tcPr>
            <w:tcW w:w="260" w:type="dxa"/>
            <w:vAlign w:val="bottom"/>
            <w:gridSpan w:val="10"/>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bottom w:val="single" w:sz="8" w:color="0000EE"/>
            </w:tcBorders>
            <w:gridSpan w:val="26"/>
          </w:tcPr>
          <w:p>
            <w:pPr>
              <w:spacing w:after="0" w:line="190" w:lineRule="exact"/>
              <w:rPr>
                <w:rFonts w:ascii="Arial" w:cs="Arial" w:eastAsia="Arial" w:hAnsi="Arial"/>
                <w:sz w:val="18"/>
                <w:szCs w:val="18"/>
                <w:color w:val="0000EE"/>
                <w:w w:val="88"/>
              </w:rPr>
            </w:pPr>
            <w:hyperlink r:id="rId314">
              <w:r>
                <w:rPr>
                  <w:rFonts w:ascii="Arial" w:cs="Arial" w:eastAsia="Arial" w:hAnsi="Arial"/>
                  <w:sz w:val="18"/>
                  <w:szCs w:val="18"/>
                  <w:color w:val="0000EE"/>
                  <w:w w:val="88"/>
                </w:rPr>
                <w:t>October 1, 2018, by and between MSCI Inc. (formerly, Morgan Stanley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25"/>
          </w:tcPr>
          <w:p>
            <w:pPr>
              <w:spacing w:after="0" w:line="190" w:lineRule="exact"/>
              <w:rPr>
                <w:rFonts w:ascii="Arial" w:cs="Arial" w:eastAsia="Arial" w:hAnsi="Arial"/>
                <w:sz w:val="18"/>
                <w:szCs w:val="18"/>
                <w:color w:val="0000EE"/>
                <w:w w:val="89"/>
              </w:rPr>
            </w:pPr>
            <w:hyperlink r:id="rId314">
              <w:r>
                <w:rPr>
                  <w:rFonts w:ascii="Arial" w:cs="Arial" w:eastAsia="Arial" w:hAnsi="Arial"/>
                  <w:sz w:val="18"/>
                  <w:szCs w:val="18"/>
                  <w:color w:val="0000EE"/>
                  <w:w w:val="89"/>
                </w:rPr>
                <w:t>Capital International Inc.) and BlackRock Institutional Trust Company,</w:t>
              </w:r>
            </w:hyperlink>
          </w:p>
        </w:tc>
        <w:tc>
          <w:tcPr>
            <w:tcW w:w="2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rPr>
            </w:pPr>
            <w:hyperlink r:id="rId314">
              <w:r>
                <w:rPr>
                  <w:rFonts w:ascii="Arial" w:cs="Arial" w:eastAsia="Arial" w:hAnsi="Arial"/>
                  <w:sz w:val="18"/>
                  <w:szCs w:val="18"/>
                  <w:color w:val="0000EE"/>
                </w:rPr>
                <w:t>N.A. (formerly,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6"/>
              </w:rPr>
              <w:t>10.132†</w:t>
            </w:r>
          </w:p>
        </w:tc>
        <w:tc>
          <w:tcPr>
            <w:tcW w:w="4760" w:type="dxa"/>
            <w:vAlign w:val="bottom"/>
            <w:tcBorders>
              <w:bottom w:val="single" w:sz="8" w:color="0000EE"/>
            </w:tcBorders>
            <w:gridSpan w:val="16"/>
          </w:tcPr>
          <w:p>
            <w:pPr>
              <w:spacing w:after="0" w:line="190" w:lineRule="exact"/>
              <w:rPr>
                <w:rFonts w:ascii="Arial" w:cs="Arial" w:eastAsia="Arial" w:hAnsi="Arial"/>
                <w:sz w:val="18"/>
                <w:szCs w:val="18"/>
                <w:color w:val="0000EE"/>
                <w:w w:val="88"/>
              </w:rPr>
            </w:pPr>
            <w:hyperlink r:id="rId315">
              <w:r>
                <w:rPr>
                  <w:rFonts w:ascii="Arial" w:cs="Arial" w:eastAsia="Arial" w:hAnsi="Arial"/>
                  <w:sz w:val="18"/>
                  <w:szCs w:val="18"/>
                  <w:color w:val="0000EE"/>
                  <w:w w:val="88"/>
                </w:rPr>
                <w:t>Amendment to the Index License Agreement for Funds, dated as of</w:t>
              </w:r>
            </w:hyperlink>
          </w:p>
        </w:tc>
        <w:tc>
          <w:tcPr>
            <w:tcW w:w="260" w:type="dxa"/>
            <w:vAlign w:val="bottom"/>
            <w:gridSpan w:val="10"/>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bottom w:val="single" w:sz="8" w:color="0000EE"/>
            </w:tcBorders>
            <w:gridSpan w:val="26"/>
          </w:tcPr>
          <w:p>
            <w:pPr>
              <w:spacing w:after="0" w:line="190" w:lineRule="exact"/>
              <w:rPr>
                <w:rFonts w:ascii="Arial" w:cs="Arial" w:eastAsia="Arial" w:hAnsi="Arial"/>
                <w:sz w:val="18"/>
                <w:szCs w:val="18"/>
                <w:color w:val="0000EE"/>
                <w:w w:val="88"/>
              </w:rPr>
            </w:pPr>
            <w:hyperlink r:id="rId315">
              <w:r>
                <w:rPr>
                  <w:rFonts w:ascii="Arial" w:cs="Arial" w:eastAsia="Arial" w:hAnsi="Arial"/>
                  <w:sz w:val="18"/>
                  <w:szCs w:val="18"/>
                  <w:color w:val="0000EE"/>
                  <w:w w:val="88"/>
                </w:rPr>
                <w:t>October 1, 2018, by and between MSCI Inc. (formerly, Morgan Stanley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25"/>
          </w:tcPr>
          <w:p>
            <w:pPr>
              <w:spacing w:after="0" w:line="190" w:lineRule="exact"/>
              <w:rPr>
                <w:rFonts w:ascii="Arial" w:cs="Arial" w:eastAsia="Arial" w:hAnsi="Arial"/>
                <w:sz w:val="18"/>
                <w:szCs w:val="18"/>
                <w:color w:val="0000EE"/>
                <w:w w:val="89"/>
              </w:rPr>
            </w:pPr>
            <w:hyperlink r:id="rId315">
              <w:r>
                <w:rPr>
                  <w:rFonts w:ascii="Arial" w:cs="Arial" w:eastAsia="Arial" w:hAnsi="Arial"/>
                  <w:sz w:val="18"/>
                  <w:szCs w:val="18"/>
                  <w:color w:val="0000EE"/>
                  <w:w w:val="89"/>
                </w:rPr>
                <w:t>Capital International Inc.) and BlackRock Institutional Trust Company,</w:t>
              </w:r>
            </w:hyperlink>
          </w:p>
        </w:tc>
        <w:tc>
          <w:tcPr>
            <w:tcW w:w="2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rPr>
            </w:pPr>
            <w:hyperlink r:id="rId315">
              <w:r>
                <w:rPr>
                  <w:rFonts w:ascii="Arial" w:cs="Arial" w:eastAsia="Arial" w:hAnsi="Arial"/>
                  <w:sz w:val="18"/>
                  <w:szCs w:val="18"/>
                  <w:color w:val="0000EE"/>
                </w:rPr>
                <w:t>N.A. (formerly,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6"/>
              </w:rPr>
              <w:t>10.133†</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316">
              <w:r>
                <w:rPr>
                  <w:rFonts w:ascii="Arial" w:cs="Arial" w:eastAsia="Arial" w:hAnsi="Arial"/>
                  <w:sz w:val="18"/>
                  <w:szCs w:val="18"/>
                  <w:color w:val="0000EE"/>
                  <w:w w:val="88"/>
                </w:rPr>
                <w:t>Amendment to the Index License Agreement for Funds, dated as of</w:t>
              </w:r>
            </w:hyperlink>
          </w:p>
        </w:tc>
        <w:tc>
          <w:tcPr>
            <w:tcW w:w="28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w w:val="96"/>
              </w:rPr>
            </w:pPr>
            <w:hyperlink r:id="rId316">
              <w:r>
                <w:rPr>
                  <w:rFonts w:ascii="Arial" w:cs="Arial" w:eastAsia="Arial" w:hAnsi="Arial"/>
                  <w:sz w:val="18"/>
                  <w:szCs w:val="18"/>
                  <w:color w:val="0000EE"/>
                  <w:w w:val="96"/>
                </w:rPr>
                <w:t>November 1, 2018,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316">
              <w:r>
                <w:rPr>
                  <w:rFonts w:ascii="Arial" w:cs="Arial" w:eastAsia="Arial" w:hAnsi="Arial"/>
                  <w:sz w:val="18"/>
                  <w:szCs w:val="18"/>
                  <w:color w:val="0000EE"/>
                  <w:w w:val="89"/>
                </w:rPr>
                <w:t>Stanley Capital International Inc.) and BlackRock Fund Advisors (as</w:t>
              </w:r>
            </w:hyperlink>
          </w:p>
        </w:tc>
        <w:tc>
          <w:tcPr>
            <w:tcW w:w="18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rPr>
            </w:pPr>
            <w:hyperlink r:id="rId316">
              <w:r>
                <w:rPr>
                  <w:rFonts w:ascii="Arial" w:cs="Arial" w:eastAsia="Arial" w:hAnsi="Arial"/>
                  <w:sz w:val="18"/>
                  <w:szCs w:val="18"/>
                  <w:color w:val="0000EE"/>
                </w:rPr>
                <w:t>successor to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6"/>
              </w:rPr>
              <w:t>10.134†</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317">
              <w:r>
                <w:rPr>
                  <w:rFonts w:ascii="Arial" w:cs="Arial" w:eastAsia="Arial" w:hAnsi="Arial"/>
                  <w:sz w:val="18"/>
                  <w:szCs w:val="18"/>
                  <w:color w:val="0000EE"/>
                  <w:w w:val="88"/>
                </w:rPr>
                <w:t>Amendment to the Index License Agreement for Funds, dated as of</w:t>
              </w:r>
            </w:hyperlink>
          </w:p>
        </w:tc>
        <w:tc>
          <w:tcPr>
            <w:tcW w:w="28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w w:val="96"/>
              </w:rPr>
            </w:pPr>
            <w:hyperlink r:id="rId317">
              <w:r>
                <w:rPr>
                  <w:rFonts w:ascii="Arial" w:cs="Arial" w:eastAsia="Arial" w:hAnsi="Arial"/>
                  <w:sz w:val="18"/>
                  <w:szCs w:val="18"/>
                  <w:color w:val="0000EE"/>
                  <w:w w:val="96"/>
                </w:rPr>
                <w:t>November 1, 2018,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317">
              <w:r>
                <w:rPr>
                  <w:rFonts w:ascii="Arial" w:cs="Arial" w:eastAsia="Arial" w:hAnsi="Arial"/>
                  <w:sz w:val="18"/>
                  <w:szCs w:val="18"/>
                  <w:color w:val="0000EE"/>
                  <w:w w:val="89"/>
                </w:rPr>
                <w:t>Stanley Capital International Inc.) and BlackRock Fund Advisors (as</w:t>
              </w:r>
            </w:hyperlink>
          </w:p>
        </w:tc>
        <w:tc>
          <w:tcPr>
            <w:tcW w:w="18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rPr>
            </w:pPr>
            <w:hyperlink r:id="rId317">
              <w:r>
                <w:rPr>
                  <w:rFonts w:ascii="Arial" w:cs="Arial" w:eastAsia="Arial" w:hAnsi="Arial"/>
                  <w:sz w:val="18"/>
                  <w:szCs w:val="18"/>
                  <w:color w:val="0000EE"/>
                </w:rPr>
                <w:t>successor to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6"/>
              </w:rPr>
              <w:t>10.135†</w:t>
            </w:r>
          </w:p>
        </w:tc>
        <w:tc>
          <w:tcPr>
            <w:tcW w:w="5020" w:type="dxa"/>
            <w:vAlign w:val="bottom"/>
            <w:gridSpan w:val="26"/>
          </w:tcPr>
          <w:p>
            <w:pPr>
              <w:spacing w:after="0" w:line="190" w:lineRule="exact"/>
              <w:rPr>
                <w:rFonts w:ascii="Arial" w:cs="Arial" w:eastAsia="Arial" w:hAnsi="Arial"/>
                <w:sz w:val="18"/>
                <w:szCs w:val="18"/>
                <w:color w:val="0000EE"/>
              </w:rPr>
            </w:pPr>
            <w:hyperlink r:id="rId318">
              <w:r>
                <w:rPr>
                  <w:rFonts w:ascii="Arial" w:cs="Arial" w:eastAsia="Arial" w:hAnsi="Arial"/>
                  <w:sz w:val="18"/>
                  <w:szCs w:val="18"/>
                  <w:color w:val="0000EE"/>
                </w:rPr>
                <w:t>Amendment to the Previous Amendment to the Index License</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80" w:type="dxa"/>
            <w:vAlign w:val="bottom"/>
            <w:tcBorders>
              <w:bottom w:val="single" w:sz="8" w:color="0000EE"/>
            </w:tcBorders>
            <w:gridSpan w:val="24"/>
          </w:tcPr>
          <w:p>
            <w:pPr>
              <w:spacing w:after="0" w:line="190" w:lineRule="exact"/>
              <w:rPr>
                <w:rFonts w:ascii="Arial" w:cs="Arial" w:eastAsia="Arial" w:hAnsi="Arial"/>
                <w:sz w:val="18"/>
                <w:szCs w:val="18"/>
                <w:color w:val="0000EE"/>
                <w:w w:val="87"/>
              </w:rPr>
            </w:pPr>
            <w:hyperlink r:id="rId318">
              <w:r>
                <w:rPr>
                  <w:rFonts w:ascii="Arial" w:cs="Arial" w:eastAsia="Arial" w:hAnsi="Arial"/>
                  <w:sz w:val="18"/>
                  <w:szCs w:val="18"/>
                  <w:color w:val="0000EE"/>
                  <w:w w:val="87"/>
                </w:rPr>
                <w:t>Agreement for Funds, dated as of November 16, 2018, by and between</w:t>
              </w:r>
            </w:hyperlink>
          </w:p>
        </w:tc>
        <w:tc>
          <w:tcPr>
            <w:tcW w:w="4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8"/>
          </w:tcPr>
          <w:p>
            <w:pPr>
              <w:spacing w:after="0" w:line="190" w:lineRule="exact"/>
              <w:rPr>
                <w:rFonts w:ascii="Arial" w:cs="Arial" w:eastAsia="Arial" w:hAnsi="Arial"/>
                <w:sz w:val="18"/>
                <w:szCs w:val="18"/>
                <w:color w:val="0000EE"/>
                <w:w w:val="90"/>
              </w:rPr>
            </w:pPr>
            <w:hyperlink r:id="rId318">
              <w:r>
                <w:rPr>
                  <w:rFonts w:ascii="Arial" w:cs="Arial" w:eastAsia="Arial" w:hAnsi="Arial"/>
                  <w:sz w:val="18"/>
                  <w:szCs w:val="18"/>
                  <w:color w:val="0000EE"/>
                  <w:w w:val="90"/>
                </w:rPr>
                <w:t>MSCI Inc. (formerly, Morgan Stanley Capital International Inc.) and</w:t>
              </w:r>
            </w:hyperlink>
          </w:p>
        </w:tc>
        <w:tc>
          <w:tcPr>
            <w:tcW w:w="20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2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318">
              <w:r>
                <w:rPr>
                  <w:rFonts w:ascii="Arial" w:cs="Arial" w:eastAsia="Arial" w:hAnsi="Arial"/>
                  <w:sz w:val="18"/>
                  <w:szCs w:val="18"/>
                  <w:color w:val="0000EE"/>
                  <w:w w:val="88"/>
                </w:rPr>
                <w:t>BlackRock Fund Advisors (as successor to Barclays Global Investors,</w:t>
              </w:r>
            </w:hyperlink>
          </w:p>
        </w:tc>
        <w:tc>
          <w:tcPr>
            <w:tcW w:w="10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Borders>
              <w:bottom w:val="single" w:sz="8" w:color="0000EE"/>
            </w:tcBorders>
            <w:gridSpan w:val="2"/>
          </w:tcPr>
          <w:p>
            <w:pPr>
              <w:spacing w:after="0" w:line="190" w:lineRule="exact"/>
              <w:rPr>
                <w:rFonts w:ascii="Arial" w:cs="Arial" w:eastAsia="Arial" w:hAnsi="Arial"/>
                <w:sz w:val="18"/>
                <w:szCs w:val="18"/>
                <w:color w:val="0000EE"/>
                <w:w w:val="97"/>
              </w:rPr>
            </w:pPr>
            <w:hyperlink r:id="rId318">
              <w:r>
                <w:rPr>
                  <w:rFonts w:ascii="Arial" w:cs="Arial" w:eastAsia="Arial" w:hAnsi="Arial"/>
                  <w:sz w:val="18"/>
                  <w:szCs w:val="18"/>
                  <w:color w:val="0000EE"/>
                  <w:w w:val="97"/>
                </w:rPr>
                <w:t>N.A.)</w:t>
              </w:r>
            </w:hyperlink>
          </w:p>
        </w:tc>
        <w:tc>
          <w:tcPr>
            <w:tcW w:w="4600" w:type="dxa"/>
            <w:vAlign w:val="bottom"/>
            <w:gridSpan w:val="24"/>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10.136††</w:t>
            </w:r>
          </w:p>
        </w:tc>
        <w:tc>
          <w:tcPr>
            <w:tcW w:w="4900" w:type="dxa"/>
            <w:vAlign w:val="bottom"/>
            <w:tcBorders>
              <w:bottom w:val="single" w:sz="8" w:color="0000EE"/>
            </w:tcBorders>
            <w:gridSpan w:val="21"/>
          </w:tcPr>
          <w:p>
            <w:pPr>
              <w:spacing w:after="0" w:line="190" w:lineRule="exact"/>
              <w:rPr>
                <w:rFonts w:ascii="Arial" w:cs="Arial" w:eastAsia="Arial" w:hAnsi="Arial"/>
                <w:sz w:val="18"/>
                <w:szCs w:val="18"/>
                <w:color w:val="0000EE"/>
                <w:w w:val="88"/>
              </w:rPr>
            </w:pPr>
            <w:hyperlink r:id="rId319">
              <w:r>
                <w:rPr>
                  <w:rFonts w:ascii="Arial" w:cs="Arial" w:eastAsia="Arial" w:hAnsi="Arial"/>
                  <w:sz w:val="18"/>
                  <w:szCs w:val="18"/>
                  <w:color w:val="0000EE"/>
                  <w:w w:val="88"/>
                </w:rPr>
                <w:t>Amendment, dated as of October 30, 2019, by and among MSCI Inc.,</w:t>
              </w:r>
            </w:hyperlink>
          </w:p>
        </w:tc>
        <w:tc>
          <w:tcPr>
            <w:tcW w:w="120" w:type="dxa"/>
            <w:vAlign w:val="bottom"/>
            <w:gridSpan w:val="5"/>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w w:val="91"/>
              </w:rPr>
            </w:pPr>
            <w:hyperlink r:id="rId319">
              <w:r>
                <w:rPr>
                  <w:rFonts w:ascii="Arial" w:cs="Arial" w:eastAsia="Arial" w:hAnsi="Arial"/>
                  <w:sz w:val="18"/>
                  <w:szCs w:val="18"/>
                  <w:color w:val="0000EE"/>
                  <w:w w:val="91"/>
                </w:rPr>
                <w:t>MSCI Limited, BlackRock Fund Advisors and BlackRock Institutional</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89"/>
              </w:rPr>
            </w:pPr>
            <w:hyperlink r:id="rId319">
              <w:r>
                <w:rPr>
                  <w:rFonts w:ascii="Arial" w:cs="Arial" w:eastAsia="Arial" w:hAnsi="Arial"/>
                  <w:sz w:val="18"/>
                  <w:szCs w:val="18"/>
                  <w:color w:val="0000EE"/>
                  <w:w w:val="89"/>
                </w:rPr>
                <w:t>Trust Company, N.A.</w:t>
              </w:r>
            </w:hyperlink>
          </w:p>
        </w:tc>
        <w:tc>
          <w:tcPr>
            <w:tcW w:w="3460" w:type="dxa"/>
            <w:vAlign w:val="bottom"/>
            <w:tcBorders>
              <w:top w:val="single" w:sz="8" w:color="0000EE"/>
            </w:tcBorders>
            <w:gridSpan w:val="20"/>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7"/>
              </w:rPr>
              <w:t>10.137</w:t>
            </w:r>
          </w:p>
        </w:tc>
        <w:tc>
          <w:tcPr>
            <w:tcW w:w="5020" w:type="dxa"/>
            <w:vAlign w:val="bottom"/>
            <w:gridSpan w:val="26"/>
          </w:tcPr>
          <w:p>
            <w:pPr>
              <w:spacing w:after="0" w:line="190" w:lineRule="exact"/>
              <w:rPr>
                <w:rFonts w:ascii="Arial" w:cs="Arial" w:eastAsia="Arial" w:hAnsi="Arial"/>
                <w:sz w:val="18"/>
                <w:szCs w:val="18"/>
                <w:color w:val="0000EE"/>
              </w:rPr>
            </w:pPr>
            <w:hyperlink r:id="rId320">
              <w:r>
                <w:rPr>
                  <w:rFonts w:ascii="Arial" w:cs="Arial" w:eastAsia="Arial" w:hAnsi="Arial"/>
                  <w:sz w:val="18"/>
                  <w:szCs w:val="18"/>
                  <w:color w:val="0000EE"/>
                </w:rPr>
                <w:t>Amendment to the Previous Amendment to the Index License</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w w:val="91"/>
              </w:rPr>
            </w:pPr>
            <w:hyperlink r:id="rId320">
              <w:r>
                <w:rPr>
                  <w:rFonts w:ascii="Arial" w:cs="Arial" w:eastAsia="Arial" w:hAnsi="Arial"/>
                  <w:sz w:val="18"/>
                  <w:szCs w:val="18"/>
                  <w:color w:val="0000EE"/>
                  <w:w w:val="91"/>
                </w:rPr>
                <w:t>Agreement for Funds, dated as of January 31, 2019, by and between</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top w:val="single" w:sz="8" w:color="0000EE"/>
            </w:tcBorders>
            <w:gridSpan w:val="17"/>
          </w:tcPr>
          <w:p>
            <w:pPr>
              <w:spacing w:after="0" w:line="190" w:lineRule="exact"/>
              <w:rPr>
                <w:rFonts w:ascii="Arial" w:cs="Arial" w:eastAsia="Arial" w:hAnsi="Arial"/>
                <w:sz w:val="18"/>
                <w:szCs w:val="18"/>
                <w:color w:val="0000EE"/>
              </w:rPr>
            </w:pPr>
            <w:hyperlink r:id="rId320">
              <w:r>
                <w:rPr>
                  <w:rFonts w:ascii="Arial" w:cs="Arial" w:eastAsia="Arial" w:hAnsi="Arial"/>
                  <w:sz w:val="18"/>
                  <w:szCs w:val="18"/>
                  <w:color w:val="0000EE"/>
                </w:rPr>
                <w:t>MSCI Inc. and BlackRock Fund Advisors</w:t>
              </w:r>
            </w:hyperlink>
          </w:p>
        </w:tc>
        <w:tc>
          <w:tcPr>
            <w:tcW w:w="240" w:type="dxa"/>
            <w:vAlign w:val="bottom"/>
            <w:gridSpan w:val="9"/>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10.138††</w:t>
            </w:r>
          </w:p>
        </w:tc>
        <w:tc>
          <w:tcPr>
            <w:tcW w:w="474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r:id="rId321">
              <w:r>
                <w:rPr>
                  <w:rFonts w:ascii="Arial" w:cs="Arial" w:eastAsia="Arial" w:hAnsi="Arial"/>
                  <w:sz w:val="18"/>
                  <w:szCs w:val="18"/>
                  <w:color w:val="0000EE"/>
                  <w:w w:val="88"/>
                </w:rPr>
                <w:t>Amendment to the Index License Agreement for Funds, dated as of</w:t>
              </w:r>
            </w:hyperlink>
          </w:p>
        </w:tc>
        <w:tc>
          <w:tcPr>
            <w:tcW w:w="280" w:type="dxa"/>
            <w:vAlign w:val="bottom"/>
            <w:gridSpan w:val="11"/>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w w:val="98"/>
              </w:rPr>
            </w:pPr>
            <w:hyperlink r:id="rId321">
              <w:r>
                <w:rPr>
                  <w:rFonts w:ascii="Arial" w:cs="Arial" w:eastAsia="Arial" w:hAnsi="Arial"/>
                  <w:sz w:val="18"/>
                  <w:szCs w:val="18"/>
                  <w:color w:val="0000EE"/>
                  <w:w w:val="98"/>
                </w:rPr>
                <w:t>February 1, 2019, by and between MSCI Inc. (formerly, Morgan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12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r:id="rId321">
              <w:r>
                <w:rPr>
                  <w:rFonts w:ascii="Arial" w:cs="Arial" w:eastAsia="Arial" w:hAnsi="Arial"/>
                  <w:sz w:val="18"/>
                  <w:szCs w:val="18"/>
                  <w:color w:val="0000EE"/>
                  <w:w w:val="89"/>
                </w:rPr>
                <w:t>Stanley Capital International Inc.) and BlackRock Fund Advisors (as</w:t>
              </w:r>
            </w:hyperlink>
          </w:p>
        </w:tc>
        <w:tc>
          <w:tcPr>
            <w:tcW w:w="180" w:type="dxa"/>
            <w:vAlign w:val="bottom"/>
            <w:gridSpan w:val="7"/>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rPr>
            </w:pPr>
            <w:hyperlink r:id="rId321">
              <w:r>
                <w:rPr>
                  <w:rFonts w:ascii="Arial" w:cs="Arial" w:eastAsia="Arial" w:hAnsi="Arial"/>
                  <w:sz w:val="18"/>
                  <w:szCs w:val="18"/>
                  <w:color w:val="0000EE"/>
                </w:rPr>
                <w:t>successor to Barclays Global Investors, N.A.)</w:t>
              </w:r>
            </w:hyperlink>
          </w:p>
        </w:tc>
      </w:tr>
      <w:tr>
        <w:trPr>
          <w:trHeight w:val="20"/>
        </w:trPr>
        <w:tc>
          <w:tcPr>
            <w:tcW w:w="9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7"/>
              </w:rPr>
              <w:t>10.139</w:t>
            </w:r>
          </w:p>
        </w:tc>
        <w:tc>
          <w:tcPr>
            <w:tcW w:w="5020" w:type="dxa"/>
            <w:vAlign w:val="bottom"/>
            <w:gridSpan w:val="26"/>
          </w:tcPr>
          <w:p>
            <w:pPr>
              <w:spacing w:after="0" w:line="190" w:lineRule="exact"/>
              <w:rPr>
                <w:rFonts w:ascii="Arial" w:cs="Arial" w:eastAsia="Arial" w:hAnsi="Arial"/>
                <w:sz w:val="18"/>
                <w:szCs w:val="18"/>
                <w:color w:val="0000EE"/>
              </w:rPr>
            </w:pPr>
            <w:hyperlink r:id="rId322">
              <w:r>
                <w:rPr>
                  <w:rFonts w:ascii="Arial" w:cs="Arial" w:eastAsia="Arial" w:hAnsi="Arial"/>
                  <w:sz w:val="18"/>
                  <w:szCs w:val="18"/>
                  <w:color w:val="0000EE"/>
                </w:rPr>
                <w:t>Amendment to the Previous Amendment to the Index License</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40" w:type="dxa"/>
            <w:vAlign w:val="bottom"/>
            <w:gridSpan w:val="9"/>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w w:val="95"/>
              </w:rPr>
            </w:pPr>
            <w:hyperlink r:id="rId322">
              <w:r>
                <w:rPr>
                  <w:rFonts w:ascii="Arial" w:cs="Arial" w:eastAsia="Arial" w:hAnsi="Arial"/>
                  <w:sz w:val="18"/>
                  <w:szCs w:val="18"/>
                  <w:color w:val="0000EE"/>
                  <w:w w:val="95"/>
                </w:rPr>
                <w:t>Agreement for Funds, dated as of March 1, 2019, by and between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8"/>
          </w:tcPr>
          <w:p>
            <w:pPr>
              <w:spacing w:after="0" w:line="190" w:lineRule="exact"/>
              <w:rPr>
                <w:rFonts w:ascii="Arial" w:cs="Arial" w:eastAsia="Arial" w:hAnsi="Arial"/>
                <w:sz w:val="18"/>
                <w:szCs w:val="18"/>
                <w:color w:val="0000EE"/>
                <w:w w:val="90"/>
              </w:rPr>
            </w:pPr>
            <w:hyperlink r:id="rId322">
              <w:r>
                <w:rPr>
                  <w:rFonts w:ascii="Arial" w:cs="Arial" w:eastAsia="Arial" w:hAnsi="Arial"/>
                  <w:sz w:val="18"/>
                  <w:szCs w:val="18"/>
                  <w:color w:val="0000EE"/>
                  <w:w w:val="90"/>
                </w:rPr>
                <w:t>MSCI Inc. (formerly, Morgan Stanley Capital International Inc.) and</w:t>
              </w:r>
            </w:hyperlink>
          </w:p>
        </w:tc>
        <w:tc>
          <w:tcPr>
            <w:tcW w:w="200" w:type="dxa"/>
            <w:vAlign w:val="bottom"/>
            <w:gridSpan w:val="8"/>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20" w:type="dxa"/>
            <w:vAlign w:val="bottom"/>
            <w:tcBorders>
              <w:bottom w:val="single" w:sz="8" w:color="0000EE"/>
            </w:tcBorders>
            <w:gridSpan w:val="22"/>
          </w:tcPr>
          <w:p>
            <w:pPr>
              <w:spacing w:after="0" w:line="190" w:lineRule="exact"/>
              <w:rPr>
                <w:rFonts w:ascii="Arial" w:cs="Arial" w:eastAsia="Arial" w:hAnsi="Arial"/>
                <w:sz w:val="18"/>
                <w:szCs w:val="18"/>
                <w:color w:val="0000EE"/>
                <w:w w:val="88"/>
              </w:rPr>
            </w:pPr>
            <w:hyperlink r:id="rId322">
              <w:r>
                <w:rPr>
                  <w:rFonts w:ascii="Arial" w:cs="Arial" w:eastAsia="Arial" w:hAnsi="Arial"/>
                  <w:sz w:val="18"/>
                  <w:szCs w:val="18"/>
                  <w:color w:val="0000EE"/>
                  <w:w w:val="88"/>
                </w:rPr>
                <w:t>BlackRock Fund Advisors (as successor to Barclays Global Investors,</w:t>
              </w:r>
            </w:hyperlink>
          </w:p>
        </w:tc>
        <w:tc>
          <w:tcPr>
            <w:tcW w:w="10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26"/>
          </w:tcPr>
          <w:p>
            <w:pPr>
              <w:spacing w:after="0" w:line="190" w:lineRule="exact"/>
              <w:rPr>
                <w:rFonts w:ascii="Arial" w:cs="Arial" w:eastAsia="Arial" w:hAnsi="Arial"/>
                <w:sz w:val="18"/>
                <w:szCs w:val="18"/>
                <w:color w:val="0000EE"/>
              </w:rPr>
            </w:pPr>
            <w:hyperlink r:id="rId322">
              <w:r>
                <w:rPr>
                  <w:rFonts w:ascii="Arial" w:cs="Arial" w:eastAsia="Arial" w:hAnsi="Arial"/>
                  <w:sz w:val="18"/>
                  <w:szCs w:val="18"/>
                  <w:color w:val="0000EE"/>
                </w:rPr>
                <w:t>N.A.)</w:t>
              </w:r>
            </w:hyperlink>
          </w:p>
        </w:tc>
      </w:tr>
      <w:tr>
        <w:trPr>
          <w:trHeight w:val="439"/>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120" w:type="dxa"/>
            <w:vAlign w:val="bottom"/>
            <w:gridSpan w:val="10"/>
          </w:tcPr>
          <w:p>
            <w:pPr>
              <w:jc w:val="right"/>
              <w:ind w:right="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54610</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920" w:type="dxa"/>
            <w:vAlign w:val="bottom"/>
            <w:gridSpan w:val="3"/>
          </w:tcPr>
          <w:p>
            <w:pPr>
              <w:ind w:left="220"/>
              <w:spacing w:after="0"/>
              <w:rPr>
                <w:sz w:val="20"/>
                <w:szCs w:val="20"/>
                <w:color w:val="auto"/>
              </w:rPr>
            </w:pPr>
            <w:r>
              <w:rPr>
                <w:rFonts w:ascii="Arial" w:cs="Arial" w:eastAsia="Arial" w:hAnsi="Arial"/>
                <w:sz w:val="13"/>
                <w:szCs w:val="13"/>
                <w:b w:val="1"/>
                <w:bCs w:val="1"/>
                <w:color w:val="auto"/>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10.179</w:t>
            </w:r>
          </w:p>
        </w:tc>
        <w:tc>
          <w:tcPr>
            <w:tcW w:w="120" w:type="dxa"/>
            <w:vAlign w:val="bottom"/>
          </w:tcPr>
          <w:p>
            <w:pPr>
              <w:spacing w:after="0"/>
              <w:rPr>
                <w:sz w:val="22"/>
                <w:szCs w:val="22"/>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2/22/2019</w:t>
            </w:r>
          </w:p>
        </w:tc>
      </w:tr>
      <w:tr>
        <w:trPr>
          <w:trHeight w:val="1262"/>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10.180</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2/22/2019</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2/22/2019</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10.182</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2/22/2019</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10.183</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10.184</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2/22/2019</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10-Q</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8"/>
              </w:rPr>
              <w:t>10/31/2019</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10.201</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2/18/2020</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10.202</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10.203</w:t>
            </w:r>
          </w:p>
        </w:tc>
        <w:tc>
          <w:tcPr>
            <w:tcW w:w="120" w:type="dxa"/>
            <w:vAlign w:val="bottom"/>
          </w:tcPr>
          <w:p>
            <w:pPr>
              <w:spacing w:after="0"/>
              <w:rPr>
                <w:sz w:val="24"/>
                <w:szCs w:val="24"/>
                <w:color w:val="auto"/>
              </w:rPr>
            </w:pPr>
          </w:p>
        </w:tc>
        <w:tc>
          <w:tcPr>
            <w:tcW w:w="920" w:type="dxa"/>
            <w:vAlign w:val="bottom"/>
            <w:gridSpan w:val="3"/>
          </w:tcPr>
          <w:p>
            <w:pPr>
              <w:jc w:val="center"/>
              <w:ind w:left="34"/>
              <w:spacing w:after="0"/>
              <w:rPr>
                <w:sz w:val="20"/>
                <w:szCs w:val="20"/>
                <w:color w:val="auto"/>
              </w:rPr>
            </w:pPr>
            <w:r>
              <w:rPr>
                <w:rFonts w:ascii="Arial" w:cs="Arial" w:eastAsia="Arial" w:hAnsi="Arial"/>
                <w:sz w:val="18"/>
                <w:szCs w:val="18"/>
                <w:color w:val="auto"/>
                <w:w w:val="89"/>
              </w:rPr>
              <w:t>2/18/2020</w:t>
            </w:r>
          </w:p>
        </w:tc>
      </w:tr>
    </w:tbl>
    <w:p>
      <w:pPr>
        <w:sectPr>
          <w:pgSz w:w="11900" w:h="16838" w:orient="portrait"/>
          <w:cols w:equalWidth="0" w:num="2">
            <w:col w:w="6060" w:space="720"/>
            <w:col w:w="4020"/>
          </w:cols>
          <w:pgMar w:left="620" w:top="332" w:right="47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00" w:type="dxa"/>
            <w:vAlign w:val="bottom"/>
            <w:gridSpan w:val="9"/>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96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10.140</w:t>
            </w:r>
          </w:p>
        </w:tc>
        <w:tc>
          <w:tcPr>
            <w:tcW w:w="5020" w:type="dxa"/>
            <w:vAlign w:val="bottom"/>
            <w:gridSpan w:val="11"/>
          </w:tcPr>
          <w:p>
            <w:pPr>
              <w:spacing w:after="0"/>
              <w:rPr>
                <w:rFonts w:ascii="Arial" w:cs="Arial" w:eastAsia="Arial" w:hAnsi="Arial"/>
                <w:sz w:val="18"/>
                <w:szCs w:val="18"/>
                <w:color w:val="0000EE"/>
              </w:rPr>
            </w:pPr>
            <w:hyperlink r:id="rId324">
              <w:r>
                <w:rPr>
                  <w:rFonts w:ascii="Arial" w:cs="Arial" w:eastAsia="Arial" w:hAnsi="Arial"/>
                  <w:sz w:val="18"/>
                  <w:szCs w:val="18"/>
                  <w:color w:val="0000EE"/>
                </w:rPr>
                <w:t>Amendment to the Previous Amendment to the Index License</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5"/>
              </w:rPr>
            </w:pPr>
            <w:hyperlink r:id="rId324">
              <w:r>
                <w:rPr>
                  <w:rFonts w:ascii="Arial" w:cs="Arial" w:eastAsia="Arial" w:hAnsi="Arial"/>
                  <w:sz w:val="18"/>
                  <w:szCs w:val="18"/>
                  <w:color w:val="0000EE"/>
                  <w:w w:val="95"/>
                </w:rPr>
                <w:t>Agreement for Funds, dated as of March 1, 2019, by and between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bottom w:val="single" w:sz="8" w:color="0000EE"/>
            </w:tcBorders>
            <w:gridSpan w:val="8"/>
          </w:tcPr>
          <w:p>
            <w:pPr>
              <w:spacing w:after="0" w:line="190" w:lineRule="exact"/>
              <w:rPr>
                <w:rFonts w:ascii="Arial" w:cs="Arial" w:eastAsia="Arial" w:hAnsi="Arial"/>
                <w:sz w:val="18"/>
                <w:szCs w:val="18"/>
                <w:color w:val="0000EE"/>
                <w:w w:val="89"/>
              </w:rPr>
            </w:pPr>
            <w:hyperlink r:id="rId324">
              <w:r>
                <w:rPr>
                  <w:rFonts w:ascii="Arial" w:cs="Arial" w:eastAsia="Arial" w:hAnsi="Arial"/>
                  <w:sz w:val="18"/>
                  <w:szCs w:val="18"/>
                  <w:color w:val="0000EE"/>
                  <w:w w:val="89"/>
                </w:rPr>
                <w:t>MSCI Inc. (formerly, Morgan Stanley Capital International Inc.) and</w:t>
              </w:r>
            </w:hyperlink>
          </w:p>
        </w:tc>
        <w:tc>
          <w:tcPr>
            <w:tcW w:w="220" w:type="dxa"/>
            <w:vAlign w:val="bottom"/>
            <w:gridSpan w:val="3"/>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20" w:type="dxa"/>
            <w:vAlign w:val="bottom"/>
            <w:tcBorders>
              <w:bottom w:val="single" w:sz="8" w:color="0000EE"/>
            </w:tcBorders>
            <w:gridSpan w:val="9"/>
          </w:tcPr>
          <w:p>
            <w:pPr>
              <w:spacing w:after="0" w:line="190" w:lineRule="exact"/>
              <w:rPr>
                <w:rFonts w:ascii="Arial" w:cs="Arial" w:eastAsia="Arial" w:hAnsi="Arial"/>
                <w:sz w:val="18"/>
                <w:szCs w:val="18"/>
                <w:color w:val="0000EE"/>
                <w:w w:val="88"/>
              </w:rPr>
            </w:pPr>
            <w:hyperlink r:id="rId324">
              <w:r>
                <w:rPr>
                  <w:rFonts w:ascii="Arial" w:cs="Arial" w:eastAsia="Arial" w:hAnsi="Arial"/>
                  <w:sz w:val="18"/>
                  <w:szCs w:val="18"/>
                  <w:color w:val="0000EE"/>
                  <w:w w:val="88"/>
                </w:rPr>
                <w:t>BlackRock Fund Advisors (as successor to Barclays Global Investors,</w:t>
              </w:r>
            </w:hyperlink>
          </w:p>
        </w:tc>
        <w:tc>
          <w:tcPr>
            <w:tcW w:w="100" w:type="dxa"/>
            <w:vAlign w:val="bottom"/>
            <w:gridSpan w:val="2"/>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rPr>
            </w:pPr>
            <w:hyperlink r:id="rId324">
              <w:r>
                <w:rPr>
                  <w:rFonts w:ascii="Arial" w:cs="Arial" w:eastAsia="Arial" w:hAnsi="Arial"/>
                  <w:sz w:val="18"/>
                  <w:szCs w:val="18"/>
                  <w:color w:val="0000EE"/>
                </w:rPr>
                <w:t>N.A.)</w:t>
              </w:r>
            </w:hyperlink>
          </w:p>
        </w:tc>
      </w:tr>
      <w:tr>
        <w:trPr>
          <w:trHeight w:val="20"/>
        </w:trPr>
        <w:tc>
          <w:tcPr>
            <w:tcW w:w="9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10.141††</w:t>
            </w:r>
          </w:p>
        </w:tc>
        <w:tc>
          <w:tcPr>
            <w:tcW w:w="47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25">
              <w:r>
                <w:rPr>
                  <w:rFonts w:ascii="Arial" w:cs="Arial" w:eastAsia="Arial" w:hAnsi="Arial"/>
                  <w:sz w:val="18"/>
                  <w:szCs w:val="18"/>
                  <w:color w:val="0000EE"/>
                  <w:w w:val="88"/>
                </w:rPr>
                <w:t>Amendment to the Index License Agreement for Funds, dated as of</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3"/>
              </w:rPr>
            </w:pPr>
            <w:hyperlink r:id="rId325">
              <w:r>
                <w:rPr>
                  <w:rFonts w:ascii="Arial" w:cs="Arial" w:eastAsia="Arial" w:hAnsi="Arial"/>
                  <w:sz w:val="18"/>
                  <w:szCs w:val="18"/>
                  <w:color w:val="0000EE"/>
                  <w:w w:val="93"/>
                </w:rPr>
                <w:t>April 1, 2019,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89"/>
              </w:rPr>
            </w:pPr>
            <w:hyperlink r:id="rId325">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25">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10.142††</w:t>
            </w:r>
          </w:p>
        </w:tc>
        <w:tc>
          <w:tcPr>
            <w:tcW w:w="47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26">
              <w:r>
                <w:rPr>
                  <w:rFonts w:ascii="Arial" w:cs="Arial" w:eastAsia="Arial" w:hAnsi="Arial"/>
                  <w:sz w:val="18"/>
                  <w:szCs w:val="18"/>
                  <w:color w:val="0000EE"/>
                  <w:w w:val="88"/>
                </w:rPr>
                <w:t>Amendment to the Index License Agreement for Funds, dated as of</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3"/>
              </w:rPr>
            </w:pPr>
            <w:hyperlink r:id="rId326">
              <w:r>
                <w:rPr>
                  <w:rFonts w:ascii="Arial" w:cs="Arial" w:eastAsia="Arial" w:hAnsi="Arial"/>
                  <w:sz w:val="18"/>
                  <w:szCs w:val="18"/>
                  <w:color w:val="0000EE"/>
                  <w:w w:val="93"/>
                </w:rPr>
                <w:t>April 1, 2019,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89"/>
              </w:rPr>
            </w:pPr>
            <w:hyperlink r:id="rId326">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26">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10.143††</w:t>
            </w:r>
          </w:p>
        </w:tc>
        <w:tc>
          <w:tcPr>
            <w:tcW w:w="47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27">
              <w:r>
                <w:rPr>
                  <w:rFonts w:ascii="Arial" w:cs="Arial" w:eastAsia="Arial" w:hAnsi="Arial"/>
                  <w:sz w:val="18"/>
                  <w:szCs w:val="18"/>
                  <w:color w:val="0000EE"/>
                  <w:w w:val="88"/>
                </w:rPr>
                <w:t>Amendment to the Index License Agreement for Funds, dated as of</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3"/>
              </w:rPr>
            </w:pPr>
            <w:hyperlink r:id="rId327">
              <w:r>
                <w:rPr>
                  <w:rFonts w:ascii="Arial" w:cs="Arial" w:eastAsia="Arial" w:hAnsi="Arial"/>
                  <w:sz w:val="18"/>
                  <w:szCs w:val="18"/>
                  <w:color w:val="0000EE"/>
                  <w:w w:val="93"/>
                </w:rPr>
                <w:t>April 1, 2019,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89"/>
              </w:rPr>
            </w:pPr>
            <w:hyperlink r:id="rId327">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27">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10.144††</w:t>
            </w:r>
          </w:p>
        </w:tc>
        <w:tc>
          <w:tcPr>
            <w:tcW w:w="47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28">
              <w:r>
                <w:rPr>
                  <w:rFonts w:ascii="Arial" w:cs="Arial" w:eastAsia="Arial" w:hAnsi="Arial"/>
                  <w:sz w:val="18"/>
                  <w:szCs w:val="18"/>
                  <w:color w:val="0000EE"/>
                  <w:w w:val="88"/>
                </w:rPr>
                <w:t>Amendment to the Index License Agreement for Funds, dated as of</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3"/>
              </w:rPr>
            </w:pPr>
            <w:hyperlink r:id="rId328">
              <w:r>
                <w:rPr>
                  <w:rFonts w:ascii="Arial" w:cs="Arial" w:eastAsia="Arial" w:hAnsi="Arial"/>
                  <w:sz w:val="18"/>
                  <w:szCs w:val="18"/>
                  <w:color w:val="0000EE"/>
                  <w:w w:val="93"/>
                </w:rPr>
                <w:t>April 1, 2019,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89"/>
              </w:rPr>
            </w:pPr>
            <w:hyperlink r:id="rId328">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28">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10.145††</w:t>
            </w:r>
          </w:p>
        </w:tc>
        <w:tc>
          <w:tcPr>
            <w:tcW w:w="47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29">
              <w:r>
                <w:rPr>
                  <w:rFonts w:ascii="Arial" w:cs="Arial" w:eastAsia="Arial" w:hAnsi="Arial"/>
                  <w:sz w:val="18"/>
                  <w:szCs w:val="18"/>
                  <w:color w:val="0000EE"/>
                  <w:w w:val="88"/>
                </w:rPr>
                <w:t>Amendment to the Index License Agreement for Funds, dated as of</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3"/>
              </w:rPr>
            </w:pPr>
            <w:hyperlink r:id="rId329">
              <w:r>
                <w:rPr>
                  <w:rFonts w:ascii="Arial" w:cs="Arial" w:eastAsia="Arial" w:hAnsi="Arial"/>
                  <w:sz w:val="18"/>
                  <w:szCs w:val="18"/>
                  <w:color w:val="0000EE"/>
                  <w:w w:val="93"/>
                </w:rPr>
                <w:t>April 1, 2019,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89"/>
              </w:rPr>
            </w:pPr>
            <w:hyperlink r:id="rId329">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29">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10.146††</w:t>
            </w:r>
          </w:p>
        </w:tc>
        <w:tc>
          <w:tcPr>
            <w:tcW w:w="47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30">
              <w:r>
                <w:rPr>
                  <w:rFonts w:ascii="Arial" w:cs="Arial" w:eastAsia="Arial" w:hAnsi="Arial"/>
                  <w:sz w:val="18"/>
                  <w:szCs w:val="18"/>
                  <w:color w:val="0000EE"/>
                  <w:w w:val="88"/>
                </w:rPr>
                <w:t>Amendment to the Index License Agreement for Funds, dated as of</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3"/>
              </w:rPr>
            </w:pPr>
            <w:hyperlink r:id="rId330">
              <w:r>
                <w:rPr>
                  <w:rFonts w:ascii="Arial" w:cs="Arial" w:eastAsia="Arial" w:hAnsi="Arial"/>
                  <w:sz w:val="18"/>
                  <w:szCs w:val="18"/>
                  <w:color w:val="0000EE"/>
                  <w:w w:val="93"/>
                </w:rPr>
                <w:t>April 1, 2019,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89"/>
              </w:rPr>
            </w:pPr>
            <w:hyperlink r:id="rId330">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30">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10.147††</w:t>
            </w:r>
          </w:p>
        </w:tc>
        <w:tc>
          <w:tcPr>
            <w:tcW w:w="47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31">
              <w:r>
                <w:rPr>
                  <w:rFonts w:ascii="Arial" w:cs="Arial" w:eastAsia="Arial" w:hAnsi="Arial"/>
                  <w:sz w:val="18"/>
                  <w:szCs w:val="18"/>
                  <w:color w:val="0000EE"/>
                  <w:w w:val="88"/>
                </w:rPr>
                <w:t>Amendment to the Index License Agreement for Funds, dated as of</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3"/>
              </w:rPr>
            </w:pPr>
            <w:hyperlink r:id="rId331">
              <w:r>
                <w:rPr>
                  <w:rFonts w:ascii="Arial" w:cs="Arial" w:eastAsia="Arial" w:hAnsi="Arial"/>
                  <w:sz w:val="18"/>
                  <w:szCs w:val="18"/>
                  <w:color w:val="0000EE"/>
                  <w:w w:val="93"/>
                </w:rPr>
                <w:t>April 1, 2019, by and between MSCI Inc. (formerly, Morgan Stanley</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89"/>
              </w:rPr>
            </w:pPr>
            <w:hyperlink r:id="rId331">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31">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60" w:type="dxa"/>
            <w:vAlign w:val="bottom"/>
            <w:gridSpan w:val="3"/>
          </w:tcPr>
          <w:p>
            <w:pPr>
              <w:jc w:val="center"/>
              <w:ind w:right="300"/>
              <w:spacing w:after="0" w:line="190" w:lineRule="exact"/>
              <w:rPr>
                <w:sz w:val="20"/>
                <w:szCs w:val="20"/>
                <w:color w:val="auto"/>
              </w:rPr>
            </w:pPr>
            <w:r>
              <w:rPr>
                <w:rFonts w:ascii="Arial" w:cs="Arial" w:eastAsia="Arial" w:hAnsi="Arial"/>
                <w:sz w:val="18"/>
                <w:szCs w:val="18"/>
                <w:color w:val="auto"/>
                <w:w w:val="87"/>
              </w:rPr>
              <w:t>10.148††</w:t>
            </w:r>
          </w:p>
        </w:tc>
        <w:tc>
          <w:tcPr>
            <w:tcW w:w="47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32">
              <w:r>
                <w:rPr>
                  <w:rFonts w:ascii="Arial" w:cs="Arial" w:eastAsia="Arial" w:hAnsi="Arial"/>
                  <w:sz w:val="18"/>
                  <w:szCs w:val="18"/>
                  <w:color w:val="0000EE"/>
                  <w:w w:val="88"/>
                </w:rPr>
                <w:t>Amendment to the Index License Agreement for Funds, dated as of</w:t>
              </w:r>
            </w:hyperlink>
          </w:p>
        </w:tc>
        <w:tc>
          <w:tcPr>
            <w:tcW w:w="280" w:type="dxa"/>
            <w:vAlign w:val="bottom"/>
            <w:gridSpan w:val="4"/>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332">
              <w:r>
                <w:rPr>
                  <w:rFonts w:ascii="Arial" w:cs="Arial" w:eastAsia="Arial" w:hAnsi="Arial"/>
                  <w:sz w:val="18"/>
                  <w:szCs w:val="18"/>
                  <w:color w:val="0000EE"/>
                  <w:w w:val="88"/>
                </w:rPr>
                <w:t>October 1, 2019, by and between MSCI Inc. (formerly, Morgan Stanley</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89"/>
              </w:rPr>
            </w:pPr>
            <w:hyperlink r:id="rId332">
              <w:r>
                <w:rPr>
                  <w:rFonts w:ascii="Arial" w:cs="Arial" w:eastAsia="Arial" w:hAnsi="Arial"/>
                  <w:sz w:val="18"/>
                  <w:szCs w:val="18"/>
                  <w:color w:val="0000EE"/>
                  <w:w w:val="89"/>
                </w:rPr>
                <w:t>Capital International Inc.) and BlackRock Fund Advisors (as successor</w:t>
              </w:r>
            </w:hyperlink>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90"/>
              </w:rPr>
            </w:pPr>
            <w:hyperlink r:id="rId332">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96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87"/>
              </w:rPr>
              <w:t>10.149</w:t>
            </w:r>
          </w:p>
        </w:tc>
        <w:tc>
          <w:tcPr>
            <w:tcW w:w="5020" w:type="dxa"/>
            <w:vAlign w:val="bottom"/>
            <w:gridSpan w:val="11"/>
          </w:tcPr>
          <w:p>
            <w:pPr>
              <w:spacing w:after="0" w:line="190" w:lineRule="exact"/>
              <w:rPr>
                <w:rFonts w:ascii="Arial" w:cs="Arial" w:eastAsia="Arial" w:hAnsi="Arial"/>
                <w:sz w:val="18"/>
                <w:szCs w:val="18"/>
                <w:color w:val="0000EE"/>
              </w:rPr>
            </w:pPr>
            <w:hyperlink r:id="rId333">
              <w:r>
                <w:rPr>
                  <w:rFonts w:ascii="Arial" w:cs="Arial" w:eastAsia="Arial" w:hAnsi="Arial"/>
                  <w:sz w:val="18"/>
                  <w:szCs w:val="18"/>
                  <w:color w:val="0000EE"/>
                </w:rPr>
                <w:t>Amendment to the Previous Amendment to the Index License</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40" w:type="dxa"/>
            <w:vAlign w:val="bottom"/>
            <w:gridSpan w:val="5"/>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20" w:type="dxa"/>
            <w:vAlign w:val="bottom"/>
            <w:gridSpan w:val="11"/>
          </w:tcPr>
          <w:p>
            <w:pPr>
              <w:spacing w:after="0" w:line="190" w:lineRule="exact"/>
              <w:rPr>
                <w:rFonts w:ascii="Arial" w:cs="Arial" w:eastAsia="Arial" w:hAnsi="Arial"/>
                <w:sz w:val="18"/>
                <w:szCs w:val="18"/>
                <w:color w:val="0000EE"/>
                <w:w w:val="91"/>
              </w:rPr>
            </w:pPr>
            <w:hyperlink r:id="rId333">
              <w:r>
                <w:rPr>
                  <w:rFonts w:ascii="Arial" w:cs="Arial" w:eastAsia="Arial" w:hAnsi="Arial"/>
                  <w:sz w:val="18"/>
                  <w:szCs w:val="18"/>
                  <w:color w:val="0000EE"/>
                  <w:w w:val="91"/>
                </w:rPr>
                <w:t>Agreement for Funds, dated as of October 25, 2019, by and between</w:t>
              </w:r>
            </w:hyperlink>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bottom w:val="single" w:sz="8" w:color="0000EE"/>
            </w:tcBorders>
            <w:gridSpan w:val="8"/>
          </w:tcPr>
          <w:p>
            <w:pPr>
              <w:spacing w:after="0" w:line="190" w:lineRule="exact"/>
              <w:rPr>
                <w:rFonts w:ascii="Arial" w:cs="Arial" w:eastAsia="Arial" w:hAnsi="Arial"/>
                <w:sz w:val="18"/>
                <w:szCs w:val="18"/>
                <w:color w:val="0000EE"/>
                <w:w w:val="89"/>
              </w:rPr>
            </w:pPr>
            <w:hyperlink r:id="rId333">
              <w:r>
                <w:rPr>
                  <w:rFonts w:ascii="Arial" w:cs="Arial" w:eastAsia="Arial" w:hAnsi="Arial"/>
                  <w:sz w:val="18"/>
                  <w:szCs w:val="18"/>
                  <w:color w:val="0000EE"/>
                  <w:w w:val="89"/>
                </w:rPr>
                <w:t>MSCI Inc. (formerly, Morgan Stanley Capital International Inc.) and</w:t>
              </w:r>
            </w:hyperlink>
          </w:p>
        </w:tc>
        <w:tc>
          <w:tcPr>
            <w:tcW w:w="220" w:type="dxa"/>
            <w:vAlign w:val="bottom"/>
            <w:gridSpan w:val="3"/>
          </w:tcPr>
          <w:p>
            <w:pPr>
              <w:spacing w:after="0"/>
              <w:rPr>
                <w:sz w:val="16"/>
                <w:szCs w:val="16"/>
                <w:color w:val="auto"/>
              </w:rPr>
            </w:pPr>
          </w:p>
        </w:tc>
      </w:tr>
    </w:tbl>
    <w:p>
      <w:pPr>
        <w:spacing w:after="0" w:line="14" w:lineRule="exact"/>
        <w:rPr>
          <w:sz w:val="20"/>
          <w:szCs w:val="20"/>
          <w:color w:val="auto"/>
        </w:rPr>
      </w:pPr>
    </w:p>
    <w:p>
      <w:pPr>
        <w:ind w:left="960" w:right="60"/>
        <w:spacing w:after="0" w:line="252" w:lineRule="auto"/>
        <w:rPr>
          <w:rFonts w:ascii="Arial" w:cs="Arial" w:eastAsia="Arial" w:hAnsi="Arial"/>
          <w:sz w:val="18"/>
          <w:szCs w:val="18"/>
          <w:u w:val="single" w:color="auto"/>
          <w:color w:val="0000EE"/>
        </w:rPr>
      </w:pPr>
      <w:hyperlink r:id="rId333">
        <w:r>
          <w:rPr>
            <w:rFonts w:ascii="Arial" w:cs="Arial" w:eastAsia="Arial" w:hAnsi="Arial"/>
            <w:sz w:val="18"/>
            <w:szCs w:val="18"/>
            <w:u w:val="single" w:color="auto"/>
            <w:color w:val="0000EE"/>
          </w:rPr>
          <w:t>BlackRock Fund Advisors (as successor to Barclays Global Investors,</w:t>
        </w:r>
      </w:hyperlink>
      <w:r>
        <w:rPr>
          <w:rFonts w:ascii="Arial" w:cs="Arial" w:eastAsia="Arial" w:hAnsi="Arial"/>
          <w:sz w:val="18"/>
          <w:szCs w:val="18"/>
          <w:u w:val="single" w:color="auto"/>
          <w:color w:val="0000EE"/>
        </w:rPr>
        <w:t xml:space="preserve"> </w:t>
      </w:r>
      <w:hyperlink r:id="rId333">
        <w:r>
          <w:rPr>
            <w:rFonts w:ascii="Arial" w:cs="Arial" w:eastAsia="Arial" w:hAnsi="Arial"/>
            <w:sz w:val="18"/>
            <w:szCs w:val="18"/>
            <w:u w:val="single" w:color="auto"/>
            <w:color w:val="0000EE"/>
          </w:rPr>
          <w:t>N.A., which was succeeded by BlackRock Institutional Trust Company,</w:t>
        </w:r>
      </w:hyperlink>
      <w:r>
        <w:rPr>
          <w:rFonts w:ascii="Arial" w:cs="Arial" w:eastAsia="Arial" w:hAnsi="Arial"/>
          <w:sz w:val="18"/>
          <w:szCs w:val="18"/>
          <w:u w:val="single" w:color="auto"/>
          <w:color w:val="0000EE"/>
        </w:rPr>
        <w:t xml:space="preserve"> </w:t>
      </w:r>
      <w:hyperlink r:id="rId333">
        <w:r>
          <w:rPr>
            <w:rFonts w:ascii="Arial" w:cs="Arial" w:eastAsia="Arial" w:hAnsi="Arial"/>
            <w:sz w:val="18"/>
            <w:szCs w:val="18"/>
            <w:u w:val="single" w:color="auto"/>
            <w:color w:val="0000EE"/>
          </w:rPr>
          <w:t>N.A.)</w:t>
        </w:r>
      </w:hyperlink>
    </w:p>
    <w:p>
      <w:pPr>
        <w:spacing w:after="0" w:line="189" w:lineRule="exact"/>
        <w:rPr>
          <w:rFonts w:ascii="Arial" w:cs="Arial" w:eastAsia="Arial" w:hAnsi="Arial"/>
          <w:sz w:val="18"/>
          <w:szCs w:val="18"/>
          <w:u w:val="single" w:color="auto"/>
          <w:color w:val="0000EE"/>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-199390</wp:posOffset>
            </wp:positionH>
            <wp:positionV relativeFrom="paragraph">
              <wp:posOffset>64135</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24"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10.204</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105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10.207</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10.208</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10.209</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bl>
    <w:p>
      <w:pPr>
        <w:sectPr>
          <w:pgSz w:w="11900" w:h="16838" w:orient="portrait"/>
          <w:cols w:equalWidth="0" w:num="2">
            <w:col w:w="6060" w:space="720"/>
            <w:col w:w="3980"/>
          </w:cols>
          <w:pgMar w:left="620" w:top="332" w:right="51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1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14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1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gridSpan w:val="16"/>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10.150††</w:t>
            </w:r>
          </w:p>
        </w:tc>
        <w:tc>
          <w:tcPr>
            <w:tcW w:w="4740" w:type="dxa"/>
            <w:vAlign w:val="bottom"/>
            <w:tcBorders>
              <w:bottom w:val="single" w:sz="8" w:color="0000EE"/>
            </w:tcBorders>
            <w:gridSpan w:val="11"/>
          </w:tcPr>
          <w:p>
            <w:pPr>
              <w:spacing w:after="0"/>
              <w:rPr>
                <w:rFonts w:ascii="Arial" w:cs="Arial" w:eastAsia="Arial" w:hAnsi="Arial"/>
                <w:sz w:val="18"/>
                <w:szCs w:val="18"/>
                <w:color w:val="0000EE"/>
                <w:w w:val="88"/>
              </w:rPr>
            </w:pPr>
            <w:hyperlink r:id="rId335">
              <w:r>
                <w:rPr>
                  <w:rFonts w:ascii="Arial" w:cs="Arial" w:eastAsia="Arial" w:hAnsi="Arial"/>
                  <w:sz w:val="18"/>
                  <w:szCs w:val="18"/>
                  <w:color w:val="0000EE"/>
                  <w:w w:val="88"/>
                </w:rPr>
                <w:t>Amendment to the Index License Agreement for Funds, dated as of</w:t>
              </w:r>
            </w:hyperlink>
          </w:p>
        </w:tc>
        <w:tc>
          <w:tcPr>
            <w:tcW w:w="260" w:type="dxa"/>
            <w:vAlign w:val="bottom"/>
            <w:gridSpan w:val="7"/>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Borders>
              <w:bottom w:val="single" w:sz="8" w:color="0000EE"/>
            </w:tcBorders>
            <w:gridSpan w:val="10"/>
          </w:tcPr>
          <w:p>
            <w:pPr>
              <w:spacing w:after="0" w:line="190" w:lineRule="exact"/>
              <w:rPr>
                <w:rFonts w:ascii="Arial" w:cs="Arial" w:eastAsia="Arial" w:hAnsi="Arial"/>
                <w:sz w:val="18"/>
                <w:szCs w:val="18"/>
                <w:color w:val="0000EE"/>
                <w:w w:val="89"/>
              </w:rPr>
            </w:pPr>
            <w:hyperlink r:id="rId335">
              <w:r>
                <w:rPr>
                  <w:rFonts w:ascii="Arial" w:cs="Arial" w:eastAsia="Arial" w:hAnsi="Arial"/>
                  <w:sz w:val="18"/>
                  <w:szCs w:val="18"/>
                  <w:color w:val="0000EE"/>
                  <w:w w:val="89"/>
                </w:rPr>
                <w:t>November 25, 2019, by and between MSCI Inc. (formerly, Morgan</w:t>
              </w:r>
            </w:hyperlink>
          </w:p>
        </w:tc>
        <w:tc>
          <w:tcPr>
            <w:tcW w:w="280" w:type="dxa"/>
            <w:vAlign w:val="bottom"/>
            <w:gridSpan w:val="8"/>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r:id="rId335">
              <w:r>
                <w:rPr>
                  <w:rFonts w:ascii="Arial" w:cs="Arial" w:eastAsia="Arial" w:hAnsi="Arial"/>
                  <w:sz w:val="18"/>
                  <w:szCs w:val="18"/>
                  <w:color w:val="0000EE"/>
                  <w:w w:val="89"/>
                </w:rPr>
                <w:t>Stanley Capital International Inc.) and BlackRock Fund Advisors (as</w:t>
              </w:r>
            </w:hyperlink>
          </w:p>
        </w:tc>
        <w:tc>
          <w:tcPr>
            <w:tcW w:w="160" w:type="dxa"/>
            <w:vAlign w:val="bottom"/>
            <w:gridSpan w:val="3"/>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35">
              <w:r>
                <w:rPr>
                  <w:rFonts w:ascii="Arial" w:cs="Arial" w:eastAsia="Arial" w:hAnsi="Arial"/>
                  <w:sz w:val="18"/>
                  <w:szCs w:val="18"/>
                  <w:color w:val="0000EE"/>
                </w:rPr>
                <w:t>successor to Barclays Global Investors, N.A.)</w:t>
              </w:r>
            </w:hyperlink>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7"/>
              </w:rPr>
              <w:t>10.151††</w:t>
            </w:r>
          </w:p>
        </w:tc>
        <w:tc>
          <w:tcPr>
            <w:tcW w:w="474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336">
              <w:r>
                <w:rPr>
                  <w:rFonts w:ascii="Arial" w:cs="Arial" w:eastAsia="Arial" w:hAnsi="Arial"/>
                  <w:sz w:val="18"/>
                  <w:szCs w:val="18"/>
                  <w:color w:val="0000EE"/>
                  <w:w w:val="88"/>
                </w:rPr>
                <w:t>Amendment to the Index License Agreement for Funds, dated as of</w:t>
              </w:r>
            </w:hyperlink>
          </w:p>
        </w:tc>
        <w:tc>
          <w:tcPr>
            <w:tcW w:w="260" w:type="dxa"/>
            <w:vAlign w:val="bottom"/>
            <w:gridSpan w:val="7"/>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Borders>
              <w:bottom w:val="single" w:sz="8" w:color="0000EE"/>
            </w:tcBorders>
            <w:gridSpan w:val="10"/>
          </w:tcPr>
          <w:p>
            <w:pPr>
              <w:spacing w:after="0" w:line="190" w:lineRule="exact"/>
              <w:rPr>
                <w:rFonts w:ascii="Arial" w:cs="Arial" w:eastAsia="Arial" w:hAnsi="Arial"/>
                <w:sz w:val="18"/>
                <w:szCs w:val="18"/>
                <w:color w:val="0000EE"/>
                <w:w w:val="89"/>
              </w:rPr>
            </w:pPr>
            <w:hyperlink r:id="rId336">
              <w:r>
                <w:rPr>
                  <w:rFonts w:ascii="Arial" w:cs="Arial" w:eastAsia="Arial" w:hAnsi="Arial"/>
                  <w:sz w:val="18"/>
                  <w:szCs w:val="18"/>
                  <w:color w:val="0000EE"/>
                  <w:w w:val="89"/>
                </w:rPr>
                <w:t>November 25, 2019, by and between MSCI Inc. (formerly, Morgan</w:t>
              </w:r>
            </w:hyperlink>
          </w:p>
        </w:tc>
        <w:tc>
          <w:tcPr>
            <w:tcW w:w="280" w:type="dxa"/>
            <w:vAlign w:val="bottom"/>
            <w:gridSpan w:val="8"/>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r:id="rId336">
              <w:r>
                <w:rPr>
                  <w:rFonts w:ascii="Arial" w:cs="Arial" w:eastAsia="Arial" w:hAnsi="Arial"/>
                  <w:sz w:val="18"/>
                  <w:szCs w:val="18"/>
                  <w:color w:val="0000EE"/>
                  <w:w w:val="89"/>
                </w:rPr>
                <w:t>Stanley Capital International Inc.) and BlackRock Fund Advisors (as</w:t>
              </w:r>
            </w:hyperlink>
          </w:p>
        </w:tc>
        <w:tc>
          <w:tcPr>
            <w:tcW w:w="160" w:type="dxa"/>
            <w:vAlign w:val="bottom"/>
            <w:gridSpan w:val="3"/>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36">
              <w:r>
                <w:rPr>
                  <w:rFonts w:ascii="Arial" w:cs="Arial" w:eastAsia="Arial" w:hAnsi="Arial"/>
                  <w:sz w:val="18"/>
                  <w:szCs w:val="18"/>
                  <w:color w:val="0000EE"/>
                </w:rPr>
                <w:t>successor to Barclays Global Investors, N.A.)</w:t>
              </w:r>
            </w:hyperlink>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87"/>
              </w:rPr>
              <w:t>10.152</w:t>
            </w:r>
          </w:p>
        </w:tc>
        <w:tc>
          <w:tcPr>
            <w:tcW w:w="5000" w:type="dxa"/>
            <w:vAlign w:val="bottom"/>
            <w:gridSpan w:val="18"/>
          </w:tcPr>
          <w:p>
            <w:pPr>
              <w:spacing w:after="0" w:line="190" w:lineRule="exact"/>
              <w:rPr>
                <w:rFonts w:ascii="Arial" w:cs="Arial" w:eastAsia="Arial" w:hAnsi="Arial"/>
                <w:sz w:val="18"/>
                <w:szCs w:val="18"/>
                <w:color w:val="0000EE"/>
                <w:w w:val="95"/>
              </w:rPr>
            </w:pPr>
            <w:hyperlink r:id="rId337">
              <w:r>
                <w:rPr>
                  <w:rFonts w:ascii="Arial" w:cs="Arial" w:eastAsia="Arial" w:hAnsi="Arial"/>
                  <w:sz w:val="18"/>
                  <w:szCs w:val="18"/>
                  <w:color w:val="0000EE"/>
                  <w:w w:val="95"/>
                </w:rPr>
                <w:t>Amendment to the Schedules to the Index License Agreement for</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0" w:type="dxa"/>
            <w:vAlign w:val="bottom"/>
            <w:tcBorders>
              <w:bottom w:val="single" w:sz="8" w:color="0000EE"/>
            </w:tcBorders>
            <w:gridSpan w:val="13"/>
          </w:tcPr>
          <w:p>
            <w:pPr>
              <w:spacing w:after="0" w:line="190" w:lineRule="exact"/>
              <w:rPr>
                <w:rFonts w:ascii="Arial" w:cs="Arial" w:eastAsia="Arial" w:hAnsi="Arial"/>
                <w:sz w:val="18"/>
                <w:szCs w:val="18"/>
                <w:color w:val="0000EE"/>
                <w:w w:val="87"/>
              </w:rPr>
            </w:pPr>
            <w:hyperlink r:id="rId337">
              <w:r>
                <w:rPr>
                  <w:rFonts w:ascii="Arial" w:cs="Arial" w:eastAsia="Arial" w:hAnsi="Arial"/>
                  <w:sz w:val="18"/>
                  <w:szCs w:val="18"/>
                  <w:color w:val="0000EE"/>
                  <w:w w:val="87"/>
                </w:rPr>
                <w:t>Funds, dated as of February 3, 2020, by and between MSCI Inc. and</w:t>
              </w:r>
            </w:hyperlink>
          </w:p>
        </w:tc>
        <w:tc>
          <w:tcPr>
            <w:tcW w:w="200" w:type="dxa"/>
            <w:vAlign w:val="bottom"/>
            <w:gridSpan w:val="5"/>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37">
              <w:r>
                <w:rPr>
                  <w:rFonts w:ascii="Arial" w:cs="Arial" w:eastAsia="Arial" w:hAnsi="Arial"/>
                  <w:sz w:val="18"/>
                  <w:szCs w:val="18"/>
                  <w:color w:val="0000EE"/>
                </w:rPr>
                <w:t>BlackRock Fund Advisors</w:t>
              </w:r>
            </w:hyperlink>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87"/>
              </w:rPr>
              <w:t>10.153</w:t>
            </w:r>
          </w:p>
        </w:tc>
        <w:tc>
          <w:tcPr>
            <w:tcW w:w="5000" w:type="dxa"/>
            <w:vAlign w:val="bottom"/>
            <w:gridSpan w:val="18"/>
          </w:tcPr>
          <w:p>
            <w:pPr>
              <w:spacing w:after="0" w:line="190" w:lineRule="exact"/>
              <w:rPr>
                <w:rFonts w:ascii="Arial" w:cs="Arial" w:eastAsia="Arial" w:hAnsi="Arial"/>
                <w:sz w:val="18"/>
                <w:szCs w:val="18"/>
                <w:color w:val="0000EE"/>
                <w:w w:val="95"/>
              </w:rPr>
            </w:pPr>
            <w:hyperlink r:id="rId338">
              <w:r>
                <w:rPr>
                  <w:rFonts w:ascii="Arial" w:cs="Arial" w:eastAsia="Arial" w:hAnsi="Arial"/>
                  <w:sz w:val="18"/>
                  <w:szCs w:val="18"/>
                  <w:color w:val="0000EE"/>
                  <w:w w:val="95"/>
                </w:rPr>
                <w:t>Amendment to the Schedules to the Index License Agreement for</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0" w:type="dxa"/>
            <w:vAlign w:val="bottom"/>
            <w:tcBorders>
              <w:top w:val="single" w:sz="8" w:color="0000EE"/>
            </w:tcBorders>
            <w:gridSpan w:val="8"/>
          </w:tcPr>
          <w:p>
            <w:pPr>
              <w:spacing w:after="0" w:line="190" w:lineRule="exact"/>
              <w:rPr>
                <w:rFonts w:ascii="Arial" w:cs="Arial" w:eastAsia="Arial" w:hAnsi="Arial"/>
                <w:sz w:val="18"/>
                <w:szCs w:val="18"/>
                <w:color w:val="0000EE"/>
                <w:w w:val="87"/>
              </w:rPr>
            </w:pPr>
            <w:hyperlink r:id="rId338">
              <w:r>
                <w:rPr>
                  <w:rFonts w:ascii="Arial" w:cs="Arial" w:eastAsia="Arial" w:hAnsi="Arial"/>
                  <w:sz w:val="18"/>
                  <w:szCs w:val="18"/>
                  <w:color w:val="0000EE"/>
                  <w:w w:val="87"/>
                </w:rPr>
                <w:t>Funds, dated as of February 3, 2020, by and between MSCI ESG</w:t>
              </w:r>
            </w:hyperlink>
          </w:p>
        </w:tc>
        <w:tc>
          <w:tcPr>
            <w:tcW w:w="400" w:type="dxa"/>
            <w:vAlign w:val="bottom"/>
            <w:gridSpan w:val="10"/>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0" w:type="dxa"/>
            <w:vAlign w:val="bottom"/>
            <w:tcBorders>
              <w:top w:val="single" w:sz="8" w:color="0000EE"/>
            </w:tcBorders>
            <w:gridSpan w:val="8"/>
          </w:tcPr>
          <w:p>
            <w:pPr>
              <w:spacing w:after="0" w:line="190" w:lineRule="exact"/>
              <w:rPr>
                <w:rFonts w:ascii="Arial" w:cs="Arial" w:eastAsia="Arial" w:hAnsi="Arial"/>
                <w:sz w:val="18"/>
                <w:szCs w:val="18"/>
                <w:color w:val="0000EE"/>
              </w:rPr>
            </w:pPr>
            <w:hyperlink r:id="rId338">
              <w:r>
                <w:rPr>
                  <w:rFonts w:ascii="Arial" w:cs="Arial" w:eastAsia="Arial" w:hAnsi="Arial"/>
                  <w:sz w:val="18"/>
                  <w:szCs w:val="18"/>
                  <w:color w:val="0000EE"/>
                </w:rPr>
                <w:t>Research LLC and BlackRock Fund Advisors</w:t>
              </w:r>
            </w:hyperlink>
          </w:p>
        </w:tc>
        <w:tc>
          <w:tcPr>
            <w:tcW w:w="400" w:type="dxa"/>
            <w:vAlign w:val="bottom"/>
            <w:gridSpan w:val="10"/>
          </w:tcPr>
          <w:p>
            <w:pPr>
              <w:spacing w:after="0"/>
              <w:rPr>
                <w:sz w:val="16"/>
                <w:szCs w:val="16"/>
                <w:color w:val="auto"/>
              </w:rPr>
            </w:pPr>
          </w:p>
        </w:tc>
      </w:tr>
      <w:tr>
        <w:trPr>
          <w:trHeight w:val="20"/>
        </w:trPr>
        <w:tc>
          <w:tcPr>
            <w:tcW w:w="1000" w:type="dxa"/>
            <w:vAlign w:val="bottom"/>
            <w:gridSpan w:val="3"/>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87"/>
              </w:rPr>
              <w:t>10.154</w:t>
            </w:r>
          </w:p>
        </w:tc>
        <w:tc>
          <w:tcPr>
            <w:tcW w:w="5000" w:type="dxa"/>
            <w:vAlign w:val="bottom"/>
            <w:gridSpan w:val="18"/>
          </w:tcPr>
          <w:p>
            <w:pPr>
              <w:spacing w:after="0" w:line="190" w:lineRule="exact"/>
              <w:rPr>
                <w:rFonts w:ascii="Arial" w:cs="Arial" w:eastAsia="Arial" w:hAnsi="Arial"/>
                <w:sz w:val="18"/>
                <w:szCs w:val="18"/>
                <w:color w:val="0000EE"/>
                <w:w w:val="95"/>
              </w:rPr>
            </w:pPr>
            <w:hyperlink r:id="rId339">
              <w:r>
                <w:rPr>
                  <w:rFonts w:ascii="Arial" w:cs="Arial" w:eastAsia="Arial" w:hAnsi="Arial"/>
                  <w:sz w:val="18"/>
                  <w:szCs w:val="18"/>
                  <w:color w:val="0000EE"/>
                  <w:w w:val="95"/>
                </w:rPr>
                <w:t>Amendment to the Schedules to the Index License Agreement for</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bottom w:val="single" w:sz="8" w:color="0000EE"/>
            </w:tcBorders>
            <w:gridSpan w:val="9"/>
          </w:tcPr>
          <w:p>
            <w:pPr>
              <w:spacing w:after="0" w:line="190" w:lineRule="exact"/>
              <w:rPr>
                <w:rFonts w:ascii="Arial" w:cs="Arial" w:eastAsia="Arial" w:hAnsi="Arial"/>
                <w:sz w:val="18"/>
                <w:szCs w:val="18"/>
                <w:color w:val="0000EE"/>
                <w:w w:val="87"/>
              </w:rPr>
            </w:pPr>
            <w:hyperlink r:id="rId339">
              <w:r>
                <w:rPr>
                  <w:rFonts w:ascii="Arial" w:cs="Arial" w:eastAsia="Arial" w:hAnsi="Arial"/>
                  <w:sz w:val="18"/>
                  <w:szCs w:val="18"/>
                  <w:color w:val="0000EE"/>
                  <w:w w:val="87"/>
                </w:rPr>
                <w:t>Funds, dated as of March 9, 2020, by and between MSCI Inc. and</w:t>
              </w:r>
            </w:hyperlink>
          </w:p>
        </w:tc>
        <w:tc>
          <w:tcPr>
            <w:tcW w:w="380" w:type="dxa"/>
            <w:vAlign w:val="bottom"/>
            <w:gridSpan w:val="9"/>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39">
              <w:r>
                <w:rPr>
                  <w:rFonts w:ascii="Arial" w:cs="Arial" w:eastAsia="Arial" w:hAnsi="Arial"/>
                  <w:sz w:val="18"/>
                  <w:szCs w:val="18"/>
                  <w:color w:val="0000EE"/>
                </w:rPr>
                <w:t>BlackRock Fund Advisors</w:t>
              </w:r>
            </w:hyperlink>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10.155††#</w:t>
            </w:r>
          </w:p>
        </w:tc>
        <w:tc>
          <w:tcPr>
            <w:tcW w:w="5000" w:type="dxa"/>
            <w:vAlign w:val="bottom"/>
            <w:gridSpan w:val="18"/>
          </w:tcPr>
          <w:p>
            <w:pPr>
              <w:spacing w:after="0" w:line="190" w:lineRule="exact"/>
              <w:rPr>
                <w:rFonts w:ascii="Arial" w:cs="Arial" w:eastAsia="Arial" w:hAnsi="Arial"/>
                <w:sz w:val="18"/>
                <w:szCs w:val="18"/>
                <w:color w:val="0000EE"/>
                <w:w w:val="95"/>
              </w:rPr>
            </w:pPr>
            <w:hyperlink r:id="rId340">
              <w:r>
                <w:rPr>
                  <w:rFonts w:ascii="Arial" w:cs="Arial" w:eastAsia="Arial" w:hAnsi="Arial"/>
                  <w:sz w:val="18"/>
                  <w:szCs w:val="18"/>
                  <w:color w:val="0000EE"/>
                  <w:w w:val="95"/>
                </w:rPr>
                <w:t>Amendment to the Schedules to the Index License Agreement for</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bottom w:val="single" w:sz="8" w:color="0000EE"/>
            </w:tcBorders>
            <w:gridSpan w:val="9"/>
          </w:tcPr>
          <w:p>
            <w:pPr>
              <w:spacing w:after="0" w:line="190" w:lineRule="exact"/>
              <w:rPr>
                <w:rFonts w:ascii="Arial" w:cs="Arial" w:eastAsia="Arial" w:hAnsi="Arial"/>
                <w:sz w:val="18"/>
                <w:szCs w:val="18"/>
                <w:color w:val="0000EE"/>
                <w:w w:val="87"/>
              </w:rPr>
            </w:pPr>
            <w:hyperlink r:id="rId340">
              <w:r>
                <w:rPr>
                  <w:rFonts w:ascii="Arial" w:cs="Arial" w:eastAsia="Arial" w:hAnsi="Arial"/>
                  <w:sz w:val="18"/>
                  <w:szCs w:val="18"/>
                  <w:color w:val="0000EE"/>
                  <w:w w:val="87"/>
                </w:rPr>
                <w:t>Funds, dated as of March 9, 2020, by and between MSCI Inc. and</w:t>
              </w:r>
            </w:hyperlink>
          </w:p>
        </w:tc>
        <w:tc>
          <w:tcPr>
            <w:tcW w:w="380" w:type="dxa"/>
            <w:vAlign w:val="bottom"/>
            <w:gridSpan w:val="9"/>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40">
              <w:r>
                <w:rPr>
                  <w:rFonts w:ascii="Arial" w:cs="Arial" w:eastAsia="Arial" w:hAnsi="Arial"/>
                  <w:sz w:val="18"/>
                  <w:szCs w:val="18"/>
                  <w:color w:val="0000EE"/>
                </w:rPr>
                <w:t>BlackRock Fund Advisors</w:t>
              </w:r>
            </w:hyperlink>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10.156††#</w:t>
            </w:r>
          </w:p>
        </w:tc>
        <w:tc>
          <w:tcPr>
            <w:tcW w:w="436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41">
              <w:r>
                <w:rPr>
                  <w:rFonts w:ascii="Arial" w:cs="Arial" w:eastAsia="Arial" w:hAnsi="Arial"/>
                  <w:sz w:val="18"/>
                  <w:szCs w:val="18"/>
                  <w:color w:val="0000EE"/>
                  <w:w w:val="88"/>
                </w:rPr>
                <w:t>Amendment to the Previous Amendment to the Index License</w:t>
              </w:r>
            </w:hyperlink>
          </w:p>
        </w:tc>
        <w:tc>
          <w:tcPr>
            <w:tcW w:w="64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r:id="rId341">
              <w:r>
                <w:rPr>
                  <w:rFonts w:ascii="Arial" w:cs="Arial" w:eastAsia="Arial" w:hAnsi="Arial"/>
                  <w:sz w:val="18"/>
                  <w:szCs w:val="18"/>
                  <w:color w:val="0000EE"/>
                  <w:w w:val="88"/>
                </w:rPr>
                <w:t>Agreement for Funds, dated as of April 1, 2020, by and between MSCI</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41">
              <w:r>
                <w:rPr>
                  <w:rFonts w:ascii="Arial" w:cs="Arial" w:eastAsia="Arial" w:hAnsi="Arial"/>
                  <w:sz w:val="18"/>
                  <w:szCs w:val="18"/>
                  <w:color w:val="0000EE"/>
                </w:rPr>
                <w:t>Inc. (formerly, Morgan Stanley Capital International Inc.) and</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40" w:type="dxa"/>
            <w:vAlign w:val="bottom"/>
            <w:tcBorders>
              <w:top w:val="single" w:sz="8" w:color="0000EE"/>
            </w:tcBorders>
            <w:gridSpan w:val="6"/>
          </w:tcPr>
          <w:p>
            <w:pPr>
              <w:spacing w:after="0" w:line="190" w:lineRule="exact"/>
              <w:rPr>
                <w:rFonts w:ascii="Arial" w:cs="Arial" w:eastAsia="Arial" w:hAnsi="Arial"/>
                <w:sz w:val="18"/>
                <w:szCs w:val="18"/>
                <w:color w:val="0000EE"/>
              </w:rPr>
            </w:pPr>
            <w:hyperlink r:id="rId341">
              <w:r>
                <w:rPr>
                  <w:rFonts w:ascii="Arial" w:cs="Arial" w:eastAsia="Arial" w:hAnsi="Arial"/>
                  <w:sz w:val="18"/>
                  <w:szCs w:val="18"/>
                  <w:color w:val="0000EE"/>
                </w:rPr>
                <w:t>BlackRock Fund Advisors</w:t>
              </w:r>
            </w:hyperlink>
          </w:p>
        </w:tc>
        <w:tc>
          <w:tcPr>
            <w:tcW w:w="660" w:type="dxa"/>
            <w:vAlign w:val="bottom"/>
            <w:gridSpan w:val="12"/>
          </w:tcPr>
          <w:p>
            <w:pPr>
              <w:spacing w:after="0"/>
              <w:rPr>
                <w:sz w:val="16"/>
                <w:szCs w:val="16"/>
                <w:color w:val="auto"/>
              </w:rPr>
            </w:pPr>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10.157††#</w:t>
            </w:r>
          </w:p>
        </w:tc>
        <w:tc>
          <w:tcPr>
            <w:tcW w:w="436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42">
              <w:r>
                <w:rPr>
                  <w:rFonts w:ascii="Arial" w:cs="Arial" w:eastAsia="Arial" w:hAnsi="Arial"/>
                  <w:sz w:val="18"/>
                  <w:szCs w:val="18"/>
                  <w:color w:val="0000EE"/>
                  <w:w w:val="88"/>
                </w:rPr>
                <w:t>Amendment to the Previous Amendment to the Index License</w:t>
              </w:r>
            </w:hyperlink>
          </w:p>
        </w:tc>
        <w:tc>
          <w:tcPr>
            <w:tcW w:w="64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w w:val="95"/>
              </w:rPr>
            </w:pPr>
            <w:hyperlink r:id="rId342">
              <w:r>
                <w:rPr>
                  <w:rFonts w:ascii="Arial" w:cs="Arial" w:eastAsia="Arial" w:hAnsi="Arial"/>
                  <w:sz w:val="18"/>
                  <w:szCs w:val="18"/>
                  <w:color w:val="0000EE"/>
                  <w:w w:val="95"/>
                </w:rPr>
                <w:t>Agreement for Funds, dated as of April 13, 2020, by and between</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r:id="rId342">
              <w:r>
                <w:rPr>
                  <w:rFonts w:ascii="Arial" w:cs="Arial" w:eastAsia="Arial" w:hAnsi="Arial"/>
                  <w:sz w:val="18"/>
                  <w:szCs w:val="18"/>
                  <w:color w:val="0000EE"/>
                  <w:w w:val="90"/>
                </w:rPr>
                <w:t>MSCI Inc. (formerly, Morgan Stanley Capital International Inc.) and</w:t>
              </w:r>
            </w:hyperlink>
          </w:p>
        </w:tc>
        <w:tc>
          <w:tcPr>
            <w:tcW w:w="180" w:type="dxa"/>
            <w:vAlign w:val="bottom"/>
            <w:gridSpan w:val="4"/>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42">
              <w:r>
                <w:rPr>
                  <w:rFonts w:ascii="Arial" w:cs="Arial" w:eastAsia="Arial" w:hAnsi="Arial"/>
                  <w:sz w:val="18"/>
                  <w:szCs w:val="18"/>
                  <w:color w:val="0000EE"/>
                </w:rPr>
                <w:t>BlackRock Fund Advisors</w:t>
              </w:r>
            </w:hyperlink>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10.158††#</w:t>
            </w:r>
          </w:p>
        </w:tc>
        <w:tc>
          <w:tcPr>
            <w:tcW w:w="4980" w:type="dxa"/>
            <w:vAlign w:val="bottom"/>
            <w:tcBorders>
              <w:bottom w:val="single" w:sz="8" w:color="0000EE"/>
            </w:tcBorders>
            <w:gridSpan w:val="17"/>
          </w:tcPr>
          <w:p>
            <w:pPr>
              <w:spacing w:after="0" w:line="190" w:lineRule="exact"/>
              <w:rPr>
                <w:rFonts w:ascii="Arial" w:cs="Arial" w:eastAsia="Arial" w:hAnsi="Arial"/>
                <w:sz w:val="18"/>
                <w:szCs w:val="18"/>
                <w:color w:val="0000EE"/>
                <w:w w:val="87"/>
              </w:rPr>
            </w:pPr>
            <w:hyperlink r:id="rId343">
              <w:r>
                <w:rPr>
                  <w:rFonts w:ascii="Arial" w:cs="Arial" w:eastAsia="Arial" w:hAnsi="Arial"/>
                  <w:sz w:val="18"/>
                  <w:szCs w:val="18"/>
                  <w:color w:val="0000EE"/>
                  <w:w w:val="87"/>
                </w:rPr>
                <w:t>Amendment No. 5 to the Index License Agreement for Funds, dated as</w:t>
              </w:r>
            </w:hyperlink>
          </w:p>
        </w:tc>
        <w:tc>
          <w:tcPr>
            <w:tcW w:w="2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w w:val="95"/>
              </w:rPr>
            </w:pPr>
            <w:hyperlink r:id="rId343">
              <w:r>
                <w:rPr>
                  <w:rFonts w:ascii="Arial" w:cs="Arial" w:eastAsia="Arial" w:hAnsi="Arial"/>
                  <w:sz w:val="18"/>
                  <w:szCs w:val="18"/>
                  <w:color w:val="0000EE"/>
                  <w:w w:val="95"/>
                </w:rPr>
                <w:t>of June 15, 2020, by and between MSCI ESG Research LLC and</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0" w:type="dxa"/>
            <w:vAlign w:val="bottom"/>
            <w:tcBorders>
              <w:top w:val="single" w:sz="8" w:color="0000EE"/>
            </w:tcBorders>
            <w:gridSpan w:val="8"/>
          </w:tcPr>
          <w:p>
            <w:pPr>
              <w:spacing w:after="0" w:line="190" w:lineRule="exact"/>
              <w:rPr>
                <w:rFonts w:ascii="Arial" w:cs="Arial" w:eastAsia="Arial" w:hAnsi="Arial"/>
                <w:sz w:val="18"/>
                <w:szCs w:val="18"/>
                <w:color w:val="0000EE"/>
              </w:rPr>
            </w:pPr>
            <w:hyperlink r:id="rId343">
              <w:r>
                <w:rPr>
                  <w:rFonts w:ascii="Arial" w:cs="Arial" w:eastAsia="Arial" w:hAnsi="Arial"/>
                  <w:sz w:val="18"/>
                  <w:szCs w:val="18"/>
                  <w:color w:val="0000EE"/>
                </w:rPr>
                <w:t>BlackRock Fund Advisors</w:t>
              </w:r>
            </w:hyperlink>
          </w:p>
        </w:tc>
        <w:tc>
          <w:tcPr>
            <w:tcW w:w="400" w:type="dxa"/>
            <w:vAlign w:val="bottom"/>
            <w:gridSpan w:val="10"/>
          </w:tcPr>
          <w:p>
            <w:pPr>
              <w:spacing w:after="0"/>
              <w:rPr>
                <w:sz w:val="16"/>
                <w:szCs w:val="16"/>
                <w:color w:val="auto"/>
              </w:rPr>
            </w:pPr>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10.159††#</w:t>
            </w:r>
          </w:p>
        </w:tc>
        <w:tc>
          <w:tcPr>
            <w:tcW w:w="436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44">
              <w:r>
                <w:rPr>
                  <w:rFonts w:ascii="Arial" w:cs="Arial" w:eastAsia="Arial" w:hAnsi="Arial"/>
                  <w:sz w:val="18"/>
                  <w:szCs w:val="18"/>
                  <w:color w:val="0000EE"/>
                  <w:w w:val="88"/>
                </w:rPr>
                <w:t>Amendment to the Previous Amendment to the Index License</w:t>
              </w:r>
            </w:hyperlink>
          </w:p>
        </w:tc>
        <w:tc>
          <w:tcPr>
            <w:tcW w:w="64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60" w:type="dxa"/>
            <w:vAlign w:val="bottom"/>
            <w:tcBorders>
              <w:bottom w:val="single" w:sz="8" w:color="0000EE"/>
            </w:tcBorders>
            <w:gridSpan w:val="12"/>
          </w:tcPr>
          <w:p>
            <w:pPr>
              <w:spacing w:after="0" w:line="190" w:lineRule="exact"/>
              <w:rPr>
                <w:rFonts w:ascii="Arial" w:cs="Arial" w:eastAsia="Arial" w:hAnsi="Arial"/>
                <w:sz w:val="18"/>
                <w:szCs w:val="18"/>
                <w:color w:val="0000EE"/>
                <w:w w:val="87"/>
              </w:rPr>
            </w:pPr>
            <w:hyperlink r:id="rId344">
              <w:r>
                <w:rPr>
                  <w:rFonts w:ascii="Arial" w:cs="Arial" w:eastAsia="Arial" w:hAnsi="Arial"/>
                  <w:sz w:val="18"/>
                  <w:szCs w:val="18"/>
                  <w:color w:val="0000EE"/>
                  <w:w w:val="87"/>
                </w:rPr>
                <w:t>Agreement for Funds, dated as of August 19, 2020, by and between</w:t>
              </w:r>
            </w:hyperlink>
          </w:p>
        </w:tc>
        <w:tc>
          <w:tcPr>
            <w:tcW w:w="240" w:type="dxa"/>
            <w:vAlign w:val="bottom"/>
            <w:gridSpan w:val="6"/>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r:id="rId344">
              <w:r>
                <w:rPr>
                  <w:rFonts w:ascii="Arial" w:cs="Arial" w:eastAsia="Arial" w:hAnsi="Arial"/>
                  <w:sz w:val="18"/>
                  <w:szCs w:val="18"/>
                  <w:color w:val="0000EE"/>
                  <w:w w:val="90"/>
                </w:rPr>
                <w:t>MSCI Inc. (formerly, Morgan Stanley Capital International Inc.) and</w:t>
              </w:r>
            </w:hyperlink>
          </w:p>
        </w:tc>
        <w:tc>
          <w:tcPr>
            <w:tcW w:w="180" w:type="dxa"/>
            <w:vAlign w:val="bottom"/>
            <w:gridSpan w:val="4"/>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44">
              <w:r>
                <w:rPr>
                  <w:rFonts w:ascii="Arial" w:cs="Arial" w:eastAsia="Arial" w:hAnsi="Arial"/>
                  <w:sz w:val="18"/>
                  <w:szCs w:val="18"/>
                  <w:color w:val="0000EE"/>
                </w:rPr>
                <w:t>BlackRock Fund Advisors</w:t>
              </w:r>
            </w:hyperlink>
          </w:p>
        </w:tc>
      </w:tr>
      <w:tr>
        <w:trPr>
          <w:trHeight w:val="20"/>
        </w:trPr>
        <w:tc>
          <w:tcPr>
            <w:tcW w:w="1000" w:type="dxa"/>
            <w:vAlign w:val="bottom"/>
            <w:gridSpan w:val="3"/>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020" w:type="dxa"/>
            <w:vAlign w:val="bottom"/>
            <w:gridSpan w:val="1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10.160††#</w:t>
            </w:r>
          </w:p>
        </w:tc>
        <w:tc>
          <w:tcPr>
            <w:tcW w:w="474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r:id="rId345">
              <w:r>
                <w:rPr>
                  <w:rFonts w:ascii="Arial" w:cs="Arial" w:eastAsia="Arial" w:hAnsi="Arial"/>
                  <w:sz w:val="18"/>
                  <w:szCs w:val="18"/>
                  <w:color w:val="0000EE"/>
                  <w:w w:val="88"/>
                </w:rPr>
                <w:t>Amendment to the Index License Agreement for Funds, dated as of</w:t>
              </w:r>
            </w:hyperlink>
          </w:p>
        </w:tc>
        <w:tc>
          <w:tcPr>
            <w:tcW w:w="260" w:type="dxa"/>
            <w:vAlign w:val="bottom"/>
            <w:gridSpan w:val="7"/>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Borders>
              <w:bottom w:val="single" w:sz="8" w:color="0000EE"/>
            </w:tcBorders>
            <w:gridSpan w:val="10"/>
          </w:tcPr>
          <w:p>
            <w:pPr>
              <w:spacing w:after="0" w:line="190" w:lineRule="exact"/>
              <w:rPr>
                <w:rFonts w:ascii="Arial" w:cs="Arial" w:eastAsia="Arial" w:hAnsi="Arial"/>
                <w:sz w:val="18"/>
                <w:szCs w:val="18"/>
                <w:color w:val="0000EE"/>
                <w:w w:val="89"/>
              </w:rPr>
            </w:pPr>
            <w:hyperlink r:id="rId345">
              <w:r>
                <w:rPr>
                  <w:rFonts w:ascii="Arial" w:cs="Arial" w:eastAsia="Arial" w:hAnsi="Arial"/>
                  <w:sz w:val="18"/>
                  <w:szCs w:val="18"/>
                  <w:color w:val="0000EE"/>
                  <w:w w:val="89"/>
                </w:rPr>
                <w:t>November 16, 2020, by and between MSCI Inc. (formerly, Morgan</w:t>
              </w:r>
            </w:hyperlink>
          </w:p>
        </w:tc>
        <w:tc>
          <w:tcPr>
            <w:tcW w:w="280" w:type="dxa"/>
            <w:vAlign w:val="bottom"/>
            <w:gridSpan w:val="8"/>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4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r:id="rId345">
              <w:r>
                <w:rPr>
                  <w:rFonts w:ascii="Arial" w:cs="Arial" w:eastAsia="Arial" w:hAnsi="Arial"/>
                  <w:sz w:val="18"/>
                  <w:szCs w:val="18"/>
                  <w:color w:val="0000EE"/>
                  <w:w w:val="89"/>
                </w:rPr>
                <w:t>Stanley Capital International Inc.) and BlackRock Fund Advisors (as</w:t>
              </w:r>
            </w:hyperlink>
          </w:p>
        </w:tc>
        <w:tc>
          <w:tcPr>
            <w:tcW w:w="160" w:type="dxa"/>
            <w:vAlign w:val="bottom"/>
            <w:gridSpan w:val="3"/>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45">
              <w:r>
                <w:rPr>
                  <w:rFonts w:ascii="Arial" w:cs="Arial" w:eastAsia="Arial" w:hAnsi="Arial"/>
                  <w:sz w:val="18"/>
                  <w:szCs w:val="18"/>
                  <w:color w:val="0000EE"/>
                </w:rPr>
                <w:t>successor to Barclays Global Investors, N.A.)</w:t>
              </w:r>
            </w:hyperlink>
          </w:p>
        </w:tc>
      </w:tr>
      <w:tr>
        <w:trPr>
          <w:trHeight w:val="20"/>
        </w:trPr>
        <w:tc>
          <w:tcPr>
            <w:tcW w:w="1000" w:type="dxa"/>
            <w:vAlign w:val="bottom"/>
            <w:gridSpan w:val="3"/>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10.161††#</w:t>
            </w:r>
          </w:p>
        </w:tc>
        <w:tc>
          <w:tcPr>
            <w:tcW w:w="436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r:id="rId346">
              <w:r>
                <w:rPr>
                  <w:rFonts w:ascii="Arial" w:cs="Arial" w:eastAsia="Arial" w:hAnsi="Arial"/>
                  <w:sz w:val="18"/>
                  <w:szCs w:val="18"/>
                  <w:color w:val="0000EE"/>
                  <w:w w:val="88"/>
                </w:rPr>
                <w:t>Amendment to the Previous Amendment to the Index License</w:t>
              </w:r>
            </w:hyperlink>
          </w:p>
        </w:tc>
        <w:tc>
          <w:tcPr>
            <w:tcW w:w="640" w:type="dxa"/>
            <w:vAlign w:val="bottom"/>
            <w:gridSpan w:val="11"/>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16"/>
          </w:tcPr>
          <w:p>
            <w:pPr>
              <w:spacing w:after="0" w:line="190" w:lineRule="exact"/>
              <w:rPr>
                <w:rFonts w:ascii="Arial" w:cs="Arial" w:eastAsia="Arial" w:hAnsi="Arial"/>
                <w:sz w:val="18"/>
                <w:szCs w:val="18"/>
                <w:color w:val="0000EE"/>
                <w:w w:val="87"/>
              </w:rPr>
            </w:pPr>
            <w:hyperlink r:id="rId346">
              <w:r>
                <w:rPr>
                  <w:rFonts w:ascii="Arial" w:cs="Arial" w:eastAsia="Arial" w:hAnsi="Arial"/>
                  <w:sz w:val="18"/>
                  <w:szCs w:val="18"/>
                  <w:color w:val="0000EE"/>
                  <w:w w:val="87"/>
                </w:rPr>
                <w:t>Agreement for Funds, dated as of December 1, 2020, by and between</w:t>
              </w:r>
            </w:hyperlink>
          </w:p>
        </w:tc>
        <w:tc>
          <w:tcPr>
            <w:tcW w:w="120" w:type="dxa"/>
            <w:vAlign w:val="bottom"/>
            <w:gridSpan w:val="2"/>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2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r:id="rId346">
              <w:r>
                <w:rPr>
                  <w:rFonts w:ascii="Arial" w:cs="Arial" w:eastAsia="Arial" w:hAnsi="Arial"/>
                  <w:sz w:val="18"/>
                  <w:szCs w:val="18"/>
                  <w:color w:val="0000EE"/>
                  <w:w w:val="90"/>
                </w:rPr>
                <w:t>MSCI Inc. (formerly, Morgan Stanley Capital International Inc.) and</w:t>
              </w:r>
            </w:hyperlink>
          </w:p>
        </w:tc>
        <w:tc>
          <w:tcPr>
            <w:tcW w:w="180" w:type="dxa"/>
            <w:vAlign w:val="bottom"/>
            <w:gridSpan w:val="4"/>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18"/>
          </w:tcPr>
          <w:p>
            <w:pPr>
              <w:spacing w:after="0" w:line="190" w:lineRule="exact"/>
              <w:rPr>
                <w:rFonts w:ascii="Arial" w:cs="Arial" w:eastAsia="Arial" w:hAnsi="Arial"/>
                <w:sz w:val="18"/>
                <w:szCs w:val="18"/>
                <w:color w:val="0000EE"/>
              </w:rPr>
            </w:pPr>
            <w:hyperlink r:id="rId346">
              <w:r>
                <w:rPr>
                  <w:rFonts w:ascii="Arial" w:cs="Arial" w:eastAsia="Arial" w:hAnsi="Arial"/>
                  <w:sz w:val="18"/>
                  <w:szCs w:val="18"/>
                  <w:color w:val="0000EE"/>
                </w:rPr>
                <w:t>BlackRock Fund Advisors</w:t>
              </w:r>
            </w:hyperlink>
          </w:p>
        </w:tc>
      </w:tr>
      <w:tr>
        <w:trPr>
          <w:trHeight w:val="439"/>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2740" w:type="dxa"/>
            <w:vAlign w:val="bottom"/>
            <w:gridSpan w:val="7"/>
          </w:tcPr>
          <w:p>
            <w:pPr>
              <w:jc w:val="right"/>
              <w:ind w:right="10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54610</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Form</w:t>
            </w:r>
          </w:p>
        </w:tc>
        <w:tc>
          <w:tcPr>
            <w:tcW w:w="152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93"/>
              </w:rPr>
              <w:t>File No.</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Exhibit No.</w:t>
            </w:r>
          </w:p>
        </w:tc>
        <w:tc>
          <w:tcPr>
            <w:tcW w:w="8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93"/>
              </w:rPr>
              <w:t>Filing Date</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10.214</w:t>
            </w:r>
          </w:p>
        </w:tc>
        <w:tc>
          <w:tcPr>
            <w:tcW w:w="140" w:type="dxa"/>
            <w:vAlign w:val="bottom"/>
          </w:tcPr>
          <w:p>
            <w:pPr>
              <w:spacing w:after="0"/>
              <w:rPr>
                <w:sz w:val="22"/>
                <w:szCs w:val="22"/>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10.215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2/18/2020</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10.222</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10.223</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10.224</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10.225</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10.226</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10.227</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10.228</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63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10.229</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10.230</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r>
        <w:trPr>
          <w:trHeight w:val="841"/>
        </w:trPr>
        <w:tc>
          <w:tcPr>
            <w:tcW w:w="8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10-K</w:t>
            </w:r>
          </w:p>
        </w:tc>
        <w:tc>
          <w:tcPr>
            <w:tcW w:w="1520" w:type="dxa"/>
            <w:vAlign w:val="bottom"/>
            <w:gridSpan w:val="3"/>
          </w:tcPr>
          <w:p>
            <w:pPr>
              <w:jc w:val="center"/>
              <w:ind w:left="114"/>
              <w:spacing w:after="0"/>
              <w:rPr>
                <w:sz w:val="20"/>
                <w:szCs w:val="20"/>
                <w:color w:val="auto"/>
              </w:rPr>
            </w:pPr>
            <w:r>
              <w:rPr>
                <w:rFonts w:ascii="Arial" w:cs="Arial" w:eastAsia="Arial" w:hAnsi="Arial"/>
                <w:sz w:val="18"/>
                <w:szCs w:val="18"/>
                <w:color w:val="auto"/>
                <w:w w:val="88"/>
              </w:rPr>
              <w:t>001-33812</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10.231</w:t>
            </w:r>
          </w:p>
        </w:tc>
        <w:tc>
          <w:tcPr>
            <w:tcW w:w="140" w:type="dxa"/>
            <w:vAlign w:val="bottom"/>
          </w:tcPr>
          <w:p>
            <w:pPr>
              <w:spacing w:after="0"/>
              <w:rPr>
                <w:sz w:val="24"/>
                <w:szCs w:val="24"/>
                <w:color w:val="auto"/>
              </w:rPr>
            </w:pPr>
          </w:p>
        </w:tc>
        <w:tc>
          <w:tcPr>
            <w:tcW w:w="86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2/12/2021</w:t>
            </w:r>
          </w:p>
        </w:tc>
      </w:tr>
    </w:tbl>
    <w:p>
      <w:pPr>
        <w:sectPr>
          <w:pgSz w:w="11900" w:h="16838" w:orient="portrait"/>
          <w:cols w:equalWidth="0" w:num="2">
            <w:col w:w="6100" w:space="720"/>
            <w:col w:w="3980"/>
          </w:cols>
          <w:pgMar w:left="580" w:top="332" w:right="51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Exhibit</w:t>
            </w: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14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3"/>
              </w:rPr>
              <w:t>Number</w:t>
            </w: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gridSpan w:val="21"/>
          </w:tcPr>
          <w:p>
            <w:pPr>
              <w:spacing w:after="0" w:line="144"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10.162††#</w:t>
            </w:r>
          </w:p>
        </w:tc>
        <w:tc>
          <w:tcPr>
            <w:tcW w:w="4980" w:type="dxa"/>
            <w:vAlign w:val="bottom"/>
            <w:tcBorders>
              <w:bottom w:val="single" w:sz="8" w:color="0000EE"/>
            </w:tcBorders>
            <w:gridSpan w:val="24"/>
          </w:tcPr>
          <w:p>
            <w:pPr>
              <w:spacing w:after="0"/>
              <w:rPr>
                <w:rFonts w:ascii="Arial" w:cs="Arial" w:eastAsia="Arial" w:hAnsi="Arial"/>
                <w:sz w:val="18"/>
                <w:szCs w:val="18"/>
                <w:color w:val="0000EE"/>
                <w:w w:val="87"/>
              </w:rPr>
            </w:pPr>
            <w:hyperlink w:anchor="page195">
              <w:r>
                <w:rPr>
                  <w:rFonts w:ascii="Arial" w:cs="Arial" w:eastAsia="Arial" w:hAnsi="Arial"/>
                  <w:sz w:val="18"/>
                  <w:szCs w:val="18"/>
                  <w:color w:val="0000EE"/>
                  <w:w w:val="87"/>
                </w:rPr>
                <w:t>Amendment No. 4 to the Index License Agreement for Funds, dated as</w:t>
              </w:r>
            </w:hyperlink>
          </w:p>
        </w:tc>
        <w:tc>
          <w:tcPr>
            <w:tcW w:w="8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5"/>
          </w:tcPr>
          <w:p>
            <w:pPr>
              <w:spacing w:after="0" w:line="190" w:lineRule="exact"/>
              <w:rPr>
                <w:rFonts w:ascii="Arial" w:cs="Arial" w:eastAsia="Arial" w:hAnsi="Arial"/>
                <w:sz w:val="18"/>
                <w:szCs w:val="18"/>
                <w:color w:val="0000EE"/>
                <w:w w:val="95"/>
              </w:rPr>
            </w:pPr>
            <w:hyperlink w:anchor="page195">
              <w:r>
                <w:rPr>
                  <w:rFonts w:ascii="Arial" w:cs="Arial" w:eastAsia="Arial" w:hAnsi="Arial"/>
                  <w:sz w:val="18"/>
                  <w:szCs w:val="18"/>
                  <w:color w:val="0000EE"/>
                  <w:w w:val="95"/>
                </w:rPr>
                <w:t>of March 20, 2020, by and between MSCI ESG Research LLC and</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top w:val="single" w:sz="8" w:color="0000EE"/>
            </w:tcBorders>
            <w:gridSpan w:val="19"/>
          </w:tcPr>
          <w:p>
            <w:pPr>
              <w:spacing w:after="0" w:line="190" w:lineRule="exact"/>
              <w:rPr>
                <w:rFonts w:ascii="Arial" w:cs="Arial" w:eastAsia="Arial" w:hAnsi="Arial"/>
                <w:sz w:val="18"/>
                <w:szCs w:val="18"/>
                <w:color w:val="0000EE"/>
              </w:rPr>
            </w:pPr>
            <w:hyperlink w:anchor="page195">
              <w:r>
                <w:rPr>
                  <w:rFonts w:ascii="Arial" w:cs="Arial" w:eastAsia="Arial" w:hAnsi="Arial"/>
                  <w:sz w:val="18"/>
                  <w:szCs w:val="18"/>
                  <w:color w:val="0000EE"/>
                </w:rPr>
                <w:t>BlackRock Fund Advisors</w:t>
              </w:r>
            </w:hyperlink>
          </w:p>
        </w:tc>
        <w:tc>
          <w:tcPr>
            <w:tcW w:w="360" w:type="dxa"/>
            <w:vAlign w:val="bottom"/>
            <w:gridSpan w:val="6"/>
          </w:tcPr>
          <w:p>
            <w:pPr>
              <w:spacing w:after="0"/>
              <w:rPr>
                <w:sz w:val="16"/>
                <w:szCs w:val="16"/>
                <w:color w:val="auto"/>
              </w:rPr>
            </w:pPr>
          </w:p>
        </w:tc>
      </w:tr>
      <w:tr>
        <w:trPr>
          <w:trHeight w:val="20"/>
        </w:trPr>
        <w:tc>
          <w:tcPr>
            <w:tcW w:w="1000" w:type="dxa"/>
            <w:vAlign w:val="bottom"/>
            <w:gridSpan w:val="3"/>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10.163††#</w:t>
            </w:r>
          </w:p>
        </w:tc>
        <w:tc>
          <w:tcPr>
            <w:tcW w:w="4740" w:type="dxa"/>
            <w:vAlign w:val="bottom"/>
            <w:tcBorders>
              <w:bottom w:val="single" w:sz="8" w:color="0000EE"/>
            </w:tcBorders>
            <w:gridSpan w:val="20"/>
          </w:tcPr>
          <w:p>
            <w:pPr>
              <w:spacing w:after="0" w:line="190" w:lineRule="exact"/>
              <w:rPr>
                <w:rFonts w:ascii="Arial" w:cs="Arial" w:eastAsia="Arial" w:hAnsi="Arial"/>
                <w:sz w:val="18"/>
                <w:szCs w:val="18"/>
                <w:color w:val="0000EE"/>
                <w:w w:val="88"/>
              </w:rPr>
            </w:pPr>
            <w:hyperlink w:anchor="page202">
              <w:r>
                <w:rPr>
                  <w:rFonts w:ascii="Arial" w:cs="Arial" w:eastAsia="Arial" w:hAnsi="Arial"/>
                  <w:sz w:val="18"/>
                  <w:szCs w:val="18"/>
                  <w:color w:val="0000EE"/>
                  <w:w w:val="88"/>
                </w:rPr>
                <w:t>Amendment to the Index License Agreement for Funds, dated as of</w:t>
              </w:r>
            </w:hyperlink>
          </w:p>
        </w:tc>
        <w:tc>
          <w:tcPr>
            <w:tcW w:w="320" w:type="dxa"/>
            <w:vAlign w:val="bottom"/>
            <w:gridSpan w:val="5"/>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20" w:type="dxa"/>
            <w:vAlign w:val="bottom"/>
            <w:tcBorders>
              <w:bottom w:val="single" w:sz="8" w:color="0000EE"/>
            </w:tcBorders>
            <w:gridSpan w:val="23"/>
          </w:tcPr>
          <w:p>
            <w:pPr>
              <w:spacing w:after="0" w:line="190"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April 26, 2021, by and between MSCI Inc. (formerly, Morgan Stanley</w:t>
              </w:r>
            </w:hyperlink>
          </w:p>
        </w:tc>
        <w:tc>
          <w:tcPr>
            <w:tcW w:w="140" w:type="dxa"/>
            <w:vAlign w:val="bottom"/>
            <w:gridSpan w:val="2"/>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5"/>
          </w:tcPr>
          <w:p>
            <w:pPr>
              <w:spacing w:after="0" w:line="190"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Capital International Inc.) and BlackRock Fund Advisors (as successor</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6"/>
          </w:tcPr>
          <w:p>
            <w:pPr>
              <w:spacing w:after="0" w:line="190"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8"/>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10.164††#</w:t>
            </w:r>
          </w:p>
        </w:tc>
        <w:tc>
          <w:tcPr>
            <w:tcW w:w="4740" w:type="dxa"/>
            <w:vAlign w:val="bottom"/>
            <w:tcBorders>
              <w:bottom w:val="single" w:sz="8" w:color="0000EE"/>
            </w:tcBorders>
            <w:gridSpan w:val="20"/>
          </w:tcPr>
          <w:p>
            <w:pPr>
              <w:spacing w:after="0" w:line="190"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Amendment to the Index License Agreement for Funds, dated as of</w:t>
              </w:r>
            </w:hyperlink>
          </w:p>
        </w:tc>
        <w:tc>
          <w:tcPr>
            <w:tcW w:w="320" w:type="dxa"/>
            <w:vAlign w:val="bottom"/>
            <w:gridSpan w:val="5"/>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5"/>
          </w:tcPr>
          <w:p>
            <w:pPr>
              <w:spacing w:after="0" w:line="190" w:lineRule="exact"/>
              <w:rPr>
                <w:rFonts w:ascii="Arial" w:cs="Arial" w:eastAsia="Arial" w:hAnsi="Arial"/>
                <w:sz w:val="18"/>
                <w:szCs w:val="18"/>
                <w:color w:val="0000EE"/>
                <w:w w:val="92"/>
              </w:rPr>
            </w:pPr>
            <w:hyperlink w:anchor="page204">
              <w:r>
                <w:rPr>
                  <w:rFonts w:ascii="Arial" w:cs="Arial" w:eastAsia="Arial" w:hAnsi="Arial"/>
                  <w:sz w:val="18"/>
                  <w:szCs w:val="18"/>
                  <w:color w:val="0000EE"/>
                  <w:w w:val="92"/>
                </w:rPr>
                <w:t>June 30, 2021, by and between MSCI Inc. (formerly, Morgan Stanley</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5"/>
          </w:tcPr>
          <w:p>
            <w:pPr>
              <w:spacing w:after="0" w:line="190"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Capital International Inc.) and BlackRock Fund Advisors (as successor</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6"/>
          </w:tcPr>
          <w:p>
            <w:pPr>
              <w:spacing w:after="0" w:line="190"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8"/>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10.165††#</w:t>
            </w:r>
          </w:p>
        </w:tc>
        <w:tc>
          <w:tcPr>
            <w:tcW w:w="5060" w:type="dxa"/>
            <w:vAlign w:val="bottom"/>
            <w:tcBorders>
              <w:bottom w:val="single" w:sz="8" w:color="0000EE"/>
            </w:tcBorders>
            <w:gridSpan w:val="25"/>
          </w:tcPr>
          <w:p>
            <w:pPr>
              <w:spacing w:after="0" w:line="190" w:lineRule="exact"/>
              <w:rPr>
                <w:rFonts w:ascii="Arial" w:cs="Arial" w:eastAsia="Arial" w:hAnsi="Arial"/>
                <w:sz w:val="18"/>
                <w:szCs w:val="18"/>
                <w:color w:val="0000EE"/>
                <w:w w:val="87"/>
              </w:rPr>
            </w:pPr>
            <w:hyperlink w:anchor="page207">
              <w:r>
                <w:rPr>
                  <w:rFonts w:ascii="Arial" w:cs="Arial" w:eastAsia="Arial" w:hAnsi="Arial"/>
                  <w:sz w:val="18"/>
                  <w:szCs w:val="18"/>
                  <w:color w:val="0000EE"/>
                  <w:w w:val="87"/>
                </w:rPr>
                <w:t>Amendment to the Index License Agreement for Funds, dated as of July</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25"/>
          </w:tcPr>
          <w:p>
            <w:pPr>
              <w:spacing w:after="0" w:line="190" w:lineRule="exact"/>
              <w:rPr>
                <w:rFonts w:ascii="Arial" w:cs="Arial" w:eastAsia="Arial" w:hAnsi="Arial"/>
                <w:sz w:val="18"/>
                <w:szCs w:val="18"/>
                <w:color w:val="0000EE"/>
                <w:w w:val="89"/>
              </w:rPr>
            </w:pPr>
            <w:hyperlink w:anchor="page207">
              <w:r>
                <w:rPr>
                  <w:rFonts w:ascii="Arial" w:cs="Arial" w:eastAsia="Arial" w:hAnsi="Arial"/>
                  <w:sz w:val="18"/>
                  <w:szCs w:val="18"/>
                  <w:color w:val="0000EE"/>
                  <w:w w:val="89"/>
                </w:rPr>
                <w:t>26, 2021, by and between MSCI Inc. (formerly, Morgan Stanley Capital</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w:anchor="page207">
              <w:r>
                <w:rPr>
                  <w:rFonts w:ascii="Arial" w:cs="Arial" w:eastAsia="Arial" w:hAnsi="Arial"/>
                  <w:sz w:val="18"/>
                  <w:szCs w:val="18"/>
                  <w:color w:val="0000EE"/>
                  <w:w w:val="88"/>
                </w:rPr>
                <w:t>International Inc.) and BlackRock Fund Advisors (as successor to</w:t>
              </w:r>
            </w:hyperlink>
          </w:p>
        </w:tc>
        <w:tc>
          <w:tcPr>
            <w:tcW w:w="440" w:type="dxa"/>
            <w:vAlign w:val="bottom"/>
            <w:gridSpan w:val="7"/>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Borders>
              <w:bottom w:val="single" w:sz="8" w:color="0000EE"/>
            </w:tcBorders>
            <w:gridSpan w:val="5"/>
          </w:tcPr>
          <w:p>
            <w:pPr>
              <w:spacing w:after="0" w:line="190" w:lineRule="exact"/>
              <w:rPr>
                <w:rFonts w:ascii="Arial" w:cs="Arial" w:eastAsia="Arial" w:hAnsi="Arial"/>
                <w:sz w:val="18"/>
                <w:szCs w:val="18"/>
                <w:color w:val="0000EE"/>
                <w:w w:val="90"/>
              </w:rPr>
            </w:pPr>
            <w:hyperlink w:anchor="page207">
              <w:r>
                <w:rPr>
                  <w:rFonts w:ascii="Arial" w:cs="Arial" w:eastAsia="Arial" w:hAnsi="Arial"/>
                  <w:sz w:val="18"/>
                  <w:szCs w:val="18"/>
                  <w:color w:val="0000EE"/>
                  <w:w w:val="90"/>
                </w:rPr>
                <w:t>Barclays Global Investors, N.A.)</w:t>
              </w:r>
            </w:hyperlink>
          </w:p>
        </w:tc>
        <w:tc>
          <w:tcPr>
            <w:tcW w:w="2740" w:type="dxa"/>
            <w:vAlign w:val="bottom"/>
            <w:gridSpan w:val="20"/>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10.166††#</w:t>
            </w:r>
          </w:p>
        </w:tc>
        <w:tc>
          <w:tcPr>
            <w:tcW w:w="4740" w:type="dxa"/>
            <w:vAlign w:val="bottom"/>
            <w:tcBorders>
              <w:bottom w:val="single" w:sz="8" w:color="0000EE"/>
            </w:tcBorders>
            <w:gridSpan w:val="20"/>
          </w:tcPr>
          <w:p>
            <w:pPr>
              <w:spacing w:after="0" w:line="190" w:lineRule="exact"/>
              <w:rPr>
                <w:rFonts w:ascii="Arial" w:cs="Arial" w:eastAsia="Arial" w:hAnsi="Arial"/>
                <w:sz w:val="18"/>
                <w:szCs w:val="18"/>
                <w:color w:val="0000EE"/>
                <w:w w:val="88"/>
              </w:rPr>
            </w:pPr>
            <w:hyperlink w:anchor="page209">
              <w:r>
                <w:rPr>
                  <w:rFonts w:ascii="Arial" w:cs="Arial" w:eastAsia="Arial" w:hAnsi="Arial"/>
                  <w:sz w:val="18"/>
                  <w:szCs w:val="18"/>
                  <w:color w:val="0000EE"/>
                  <w:w w:val="88"/>
                </w:rPr>
                <w:t>Amendment to the Index License Agreement for Funds, dated as of</w:t>
              </w:r>
            </w:hyperlink>
          </w:p>
        </w:tc>
        <w:tc>
          <w:tcPr>
            <w:tcW w:w="320" w:type="dxa"/>
            <w:vAlign w:val="bottom"/>
            <w:gridSpan w:val="5"/>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25"/>
          </w:tcPr>
          <w:p>
            <w:pPr>
              <w:spacing w:after="0" w:line="190"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August 23, 2021, by and between MSCI Inc. (formerly, Morgan Stanley</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5"/>
          </w:tcPr>
          <w:p>
            <w:pPr>
              <w:spacing w:after="0" w:line="190"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Capital International Inc.) and BlackRock Fund Advisors (as successor</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6"/>
          </w:tcPr>
          <w:p>
            <w:pPr>
              <w:spacing w:after="0" w:line="190" w:lineRule="exact"/>
              <w:rPr>
                <w:rFonts w:ascii="Arial" w:cs="Arial" w:eastAsia="Arial" w:hAnsi="Arial"/>
                <w:sz w:val="18"/>
                <w:szCs w:val="18"/>
                <w:color w:val="0000EE"/>
                <w:w w:val="90"/>
              </w:rPr>
            </w:pPr>
            <w:hyperlink w:anchor="page209">
              <w:r>
                <w:rPr>
                  <w:rFonts w:ascii="Arial" w:cs="Arial" w:eastAsia="Arial" w:hAnsi="Arial"/>
                  <w:sz w:val="18"/>
                  <w:szCs w:val="18"/>
                  <w:color w:val="0000EE"/>
                  <w:w w:val="90"/>
                </w:rPr>
                <w:t>to Barclays Global Investors, N.A.)</w:t>
              </w:r>
            </w:hyperlink>
          </w:p>
        </w:tc>
        <w:tc>
          <w:tcPr>
            <w:tcW w:w="2480" w:type="dxa"/>
            <w:vAlign w:val="bottom"/>
            <w:tcBorders>
              <w:top w:val="single" w:sz="8" w:color="0000EE"/>
            </w:tcBorders>
            <w:gridSpan w:val="18"/>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10.167††#</w:t>
            </w:r>
          </w:p>
        </w:tc>
        <w:tc>
          <w:tcPr>
            <w:tcW w:w="5060" w:type="dxa"/>
            <w:vAlign w:val="bottom"/>
            <w:gridSpan w:val="25"/>
          </w:tcPr>
          <w:p>
            <w:pPr>
              <w:spacing w:after="0" w:line="190" w:lineRule="exact"/>
              <w:rPr>
                <w:rFonts w:ascii="Arial" w:cs="Arial" w:eastAsia="Arial" w:hAnsi="Arial"/>
                <w:sz w:val="18"/>
                <w:szCs w:val="18"/>
                <w:color w:val="0000EE"/>
                <w:w w:val="96"/>
              </w:rPr>
            </w:pPr>
            <w:hyperlink w:anchor="page211">
              <w:r>
                <w:rPr>
                  <w:rFonts w:ascii="Arial" w:cs="Arial" w:eastAsia="Arial" w:hAnsi="Arial"/>
                  <w:sz w:val="18"/>
                  <w:szCs w:val="18"/>
                  <w:color w:val="0000EE"/>
                  <w:w w:val="96"/>
                </w:rPr>
                <w:t>Amendment to the Schedules to the Index License Agreement for</w:t>
              </w:r>
            </w:hyperlink>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0" w:type="dxa"/>
            <w:vAlign w:val="bottom"/>
            <w:tcBorders>
              <w:top w:val="single" w:sz="8" w:color="0000EE"/>
            </w:tcBorders>
            <w:gridSpan w:val="17"/>
          </w:tcPr>
          <w:p>
            <w:pPr>
              <w:spacing w:after="0" w:line="190" w:lineRule="exact"/>
              <w:rPr>
                <w:rFonts w:ascii="Arial" w:cs="Arial" w:eastAsia="Arial" w:hAnsi="Arial"/>
                <w:sz w:val="18"/>
                <w:szCs w:val="18"/>
                <w:color w:val="0000EE"/>
                <w:w w:val="88"/>
              </w:rPr>
            </w:pPr>
            <w:hyperlink w:anchor="page211">
              <w:r>
                <w:rPr>
                  <w:rFonts w:ascii="Arial" w:cs="Arial" w:eastAsia="Arial" w:hAnsi="Arial"/>
                  <w:sz w:val="18"/>
                  <w:szCs w:val="18"/>
                  <w:color w:val="0000EE"/>
                  <w:w w:val="88"/>
                </w:rPr>
                <w:t>Funds, dated as of August 30, 2021, by and between MSCI ESG</w:t>
              </w:r>
            </w:hyperlink>
          </w:p>
        </w:tc>
        <w:tc>
          <w:tcPr>
            <w:tcW w:w="460" w:type="dxa"/>
            <w:vAlign w:val="bottom"/>
            <w:gridSpan w:val="8"/>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20" w:type="dxa"/>
            <w:vAlign w:val="bottom"/>
            <w:tcBorders>
              <w:top w:val="single" w:sz="8" w:color="0000EE"/>
            </w:tcBorders>
            <w:gridSpan w:val="16"/>
          </w:tcPr>
          <w:p>
            <w:pPr>
              <w:spacing w:after="0" w:line="190" w:lineRule="exact"/>
              <w:rPr>
                <w:rFonts w:ascii="Arial" w:cs="Arial" w:eastAsia="Arial" w:hAnsi="Arial"/>
                <w:sz w:val="18"/>
                <w:szCs w:val="18"/>
                <w:color w:val="0000EE"/>
              </w:rPr>
            </w:pPr>
            <w:hyperlink w:anchor="page211">
              <w:r>
                <w:rPr>
                  <w:rFonts w:ascii="Arial" w:cs="Arial" w:eastAsia="Arial" w:hAnsi="Arial"/>
                  <w:sz w:val="18"/>
                  <w:szCs w:val="18"/>
                  <w:color w:val="0000EE"/>
                </w:rPr>
                <w:t>Research LLC and BlackRock Fund Advisors</w:t>
              </w:r>
            </w:hyperlink>
          </w:p>
        </w:tc>
        <w:tc>
          <w:tcPr>
            <w:tcW w:w="540" w:type="dxa"/>
            <w:vAlign w:val="bottom"/>
            <w:gridSpan w:val="9"/>
          </w:tcPr>
          <w:p>
            <w:pPr>
              <w:spacing w:after="0"/>
              <w:rPr>
                <w:sz w:val="16"/>
                <w:szCs w:val="16"/>
                <w:color w:val="auto"/>
              </w:rPr>
            </w:pPr>
          </w:p>
        </w:tc>
      </w:tr>
      <w:tr>
        <w:trPr>
          <w:trHeight w:val="20"/>
        </w:trPr>
        <w:tc>
          <w:tcPr>
            <w:tcW w:w="1000" w:type="dxa"/>
            <w:vAlign w:val="bottom"/>
            <w:gridSpan w:val="3"/>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0"/>
        </w:trPr>
        <w:tc>
          <w:tcPr>
            <w:tcW w:w="1000" w:type="dxa"/>
            <w:vAlign w:val="bottom"/>
            <w:gridSpan w:val="3"/>
          </w:tcPr>
          <w:p>
            <w:pPr>
              <w:jc w:val="center"/>
              <w:ind w:right="260"/>
              <w:spacing w:after="0" w:line="190" w:lineRule="exact"/>
              <w:rPr>
                <w:sz w:val="20"/>
                <w:szCs w:val="20"/>
                <w:color w:val="auto"/>
              </w:rPr>
            </w:pPr>
            <w:r>
              <w:rPr>
                <w:rFonts w:ascii="Arial" w:cs="Arial" w:eastAsia="Arial" w:hAnsi="Arial"/>
                <w:sz w:val="18"/>
                <w:szCs w:val="18"/>
                <w:color w:val="auto"/>
                <w:w w:val="86"/>
              </w:rPr>
              <w:t>10.168††#</w:t>
            </w:r>
          </w:p>
        </w:tc>
        <w:tc>
          <w:tcPr>
            <w:tcW w:w="5060" w:type="dxa"/>
            <w:vAlign w:val="bottom"/>
            <w:gridSpan w:val="25"/>
          </w:tcPr>
          <w:p>
            <w:pPr>
              <w:spacing w:after="0" w:line="190" w:lineRule="exact"/>
              <w:rPr>
                <w:rFonts w:ascii="Arial" w:cs="Arial" w:eastAsia="Arial" w:hAnsi="Arial"/>
                <w:sz w:val="18"/>
                <w:szCs w:val="18"/>
                <w:color w:val="0000EE"/>
              </w:rPr>
            </w:pPr>
            <w:hyperlink w:anchor="page214">
              <w:r>
                <w:rPr>
                  <w:rFonts w:ascii="Arial" w:cs="Arial" w:eastAsia="Arial" w:hAnsi="Arial"/>
                  <w:sz w:val="18"/>
                  <w:szCs w:val="18"/>
                  <w:color w:val="0000EE"/>
                </w:rPr>
                <w:t>Amendment to the Previous Amendment to the Index License</w:t>
              </w:r>
            </w:hyperlink>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Borders>
              <w:bottom w:val="single" w:sz="8" w:color="0000EE"/>
            </w:tcBorders>
            <w:gridSpan w:val="22"/>
          </w:tcPr>
          <w:p>
            <w:pPr>
              <w:spacing w:after="0" w:line="190" w:lineRule="exact"/>
              <w:rPr>
                <w:rFonts w:ascii="Arial" w:cs="Arial" w:eastAsia="Arial" w:hAnsi="Arial"/>
                <w:sz w:val="18"/>
                <w:szCs w:val="18"/>
                <w:color w:val="0000EE"/>
                <w:w w:val="87"/>
              </w:rPr>
            </w:pPr>
            <w:hyperlink w:anchor="page214">
              <w:r>
                <w:rPr>
                  <w:rFonts w:ascii="Arial" w:cs="Arial" w:eastAsia="Arial" w:hAnsi="Arial"/>
                  <w:sz w:val="18"/>
                  <w:szCs w:val="18"/>
                  <w:color w:val="0000EE"/>
                  <w:w w:val="87"/>
                </w:rPr>
                <w:t>Agreement for Funds, dated as of December 9, 2021, by and between</w:t>
              </w:r>
            </w:hyperlink>
          </w:p>
        </w:tc>
        <w:tc>
          <w:tcPr>
            <w:tcW w:w="180" w:type="dxa"/>
            <w:vAlign w:val="bottom"/>
            <w:gridSpan w:val="3"/>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5"/>
          </w:tcPr>
          <w:p>
            <w:pPr>
              <w:spacing w:after="0" w:line="190" w:lineRule="exact"/>
              <w:rPr>
                <w:rFonts w:ascii="Arial" w:cs="Arial" w:eastAsia="Arial" w:hAnsi="Arial"/>
                <w:sz w:val="18"/>
                <w:szCs w:val="18"/>
                <w:color w:val="0000EE"/>
              </w:rPr>
            </w:pPr>
            <w:hyperlink w:anchor="page214">
              <w:r>
                <w:rPr>
                  <w:rFonts w:ascii="Arial" w:cs="Arial" w:eastAsia="Arial" w:hAnsi="Arial"/>
                  <w:sz w:val="18"/>
                  <w:szCs w:val="18"/>
                  <w:color w:val="0000EE"/>
                </w:rPr>
                <w:t>MSCI ESG Research LLC and BlackRock Fund Advisors</w:t>
              </w:r>
            </w:hyperlink>
          </w:p>
        </w:tc>
      </w:tr>
      <w:tr>
        <w:trPr>
          <w:trHeight w:val="190"/>
        </w:trPr>
        <w:tc>
          <w:tcPr>
            <w:tcW w:w="600" w:type="dxa"/>
            <w:vAlign w:val="bottom"/>
            <w:gridSpan w:val="2"/>
          </w:tcPr>
          <w:p>
            <w:pPr>
              <w:jc w:val="center"/>
              <w:ind w:left="52"/>
              <w:spacing w:after="0" w:line="190" w:lineRule="exact"/>
              <w:rPr>
                <w:sz w:val="20"/>
                <w:szCs w:val="20"/>
                <w:color w:val="auto"/>
              </w:rPr>
            </w:pPr>
            <w:r>
              <w:rPr>
                <w:rFonts w:ascii="Arial" w:cs="Arial" w:eastAsia="Arial" w:hAnsi="Arial"/>
                <w:sz w:val="18"/>
                <w:szCs w:val="18"/>
                <w:color w:val="auto"/>
                <w:w w:val="85"/>
              </w:rPr>
              <w:t>21.1</w:t>
            </w:r>
          </w:p>
        </w:tc>
        <w:tc>
          <w:tcPr>
            <w:tcW w:w="400" w:type="dxa"/>
            <w:vAlign w:val="bottom"/>
          </w:tcPr>
          <w:p>
            <w:pPr>
              <w:spacing w:after="0"/>
              <w:rPr>
                <w:sz w:val="16"/>
                <w:szCs w:val="16"/>
                <w:color w:val="auto"/>
              </w:rPr>
            </w:pPr>
          </w:p>
        </w:tc>
        <w:tc>
          <w:tcPr>
            <w:tcW w:w="2080" w:type="dxa"/>
            <w:vAlign w:val="bottom"/>
            <w:tcBorders>
              <w:top w:val="single" w:sz="8" w:color="0000EE"/>
              <w:bottom w:val="single" w:sz="8" w:color="0000EE"/>
            </w:tcBorders>
            <w:gridSpan w:val="3"/>
          </w:tcPr>
          <w:p>
            <w:pPr>
              <w:spacing w:after="0" w:line="190" w:lineRule="exact"/>
              <w:rPr>
                <w:rFonts w:ascii="Arial" w:cs="Arial" w:eastAsia="Arial" w:hAnsi="Arial"/>
                <w:sz w:val="18"/>
                <w:szCs w:val="18"/>
                <w:color w:val="0000EE"/>
                <w:w w:val="87"/>
              </w:rPr>
            </w:pPr>
            <w:hyperlink w:anchor="page216">
              <w:r>
                <w:rPr>
                  <w:rFonts w:ascii="Arial" w:cs="Arial" w:eastAsia="Arial" w:hAnsi="Arial"/>
                  <w:sz w:val="18"/>
                  <w:szCs w:val="18"/>
                  <w:color w:val="0000EE"/>
                  <w:w w:val="87"/>
                </w:rPr>
                <w:t>Subsidiaries of the Registrant</w:t>
              </w:r>
            </w:hyperlink>
          </w:p>
        </w:tc>
        <w:tc>
          <w:tcPr>
            <w:tcW w:w="1980" w:type="dxa"/>
            <w:vAlign w:val="bottom"/>
            <w:tcBorders>
              <w:top w:val="single" w:sz="8" w:color="0000EE"/>
            </w:tcBorders>
            <w:gridSpan w:val="10"/>
          </w:tcPr>
          <w:p>
            <w:pPr>
              <w:spacing w:after="0"/>
              <w:rPr>
                <w:sz w:val="16"/>
                <w:szCs w:val="16"/>
                <w:color w:val="auto"/>
              </w:rPr>
            </w:pPr>
          </w:p>
        </w:tc>
        <w:tc>
          <w:tcPr>
            <w:tcW w:w="1000" w:type="dxa"/>
            <w:vAlign w:val="bottom"/>
            <w:gridSpan w:val="12"/>
          </w:tcPr>
          <w:p>
            <w:pPr>
              <w:spacing w:after="0"/>
              <w:rPr>
                <w:sz w:val="16"/>
                <w:szCs w:val="16"/>
                <w:color w:val="auto"/>
              </w:rPr>
            </w:pPr>
          </w:p>
        </w:tc>
      </w:tr>
      <w:tr>
        <w:trPr>
          <w:trHeight w:val="190"/>
        </w:trPr>
        <w:tc>
          <w:tcPr>
            <w:tcW w:w="600" w:type="dxa"/>
            <w:vAlign w:val="bottom"/>
            <w:gridSpan w:val="2"/>
          </w:tcPr>
          <w:p>
            <w:pPr>
              <w:jc w:val="center"/>
              <w:ind w:left="52"/>
              <w:spacing w:after="0" w:line="190" w:lineRule="exact"/>
              <w:rPr>
                <w:sz w:val="20"/>
                <w:szCs w:val="20"/>
                <w:color w:val="auto"/>
              </w:rPr>
            </w:pPr>
            <w:r>
              <w:rPr>
                <w:rFonts w:ascii="Arial" w:cs="Arial" w:eastAsia="Arial" w:hAnsi="Arial"/>
                <w:sz w:val="18"/>
                <w:szCs w:val="18"/>
                <w:color w:val="auto"/>
                <w:w w:val="85"/>
              </w:rPr>
              <w:t>23.1</w:t>
            </w:r>
          </w:p>
        </w:tc>
        <w:tc>
          <w:tcPr>
            <w:tcW w:w="400" w:type="dxa"/>
            <w:vAlign w:val="bottom"/>
          </w:tcPr>
          <w:p>
            <w:pPr>
              <w:spacing w:after="0"/>
              <w:rPr>
                <w:sz w:val="16"/>
                <w:szCs w:val="16"/>
                <w:color w:val="auto"/>
              </w:rPr>
            </w:pPr>
          </w:p>
        </w:tc>
        <w:tc>
          <w:tcPr>
            <w:tcW w:w="2920" w:type="dxa"/>
            <w:vAlign w:val="bottom"/>
            <w:tcBorders>
              <w:bottom w:val="single" w:sz="8" w:color="0000EE"/>
            </w:tcBorders>
            <w:gridSpan w:val="8"/>
          </w:tcPr>
          <w:p>
            <w:pPr>
              <w:spacing w:after="0" w:line="190" w:lineRule="exact"/>
              <w:rPr>
                <w:rFonts w:ascii="Arial" w:cs="Arial" w:eastAsia="Arial" w:hAnsi="Arial"/>
                <w:sz w:val="18"/>
                <w:szCs w:val="18"/>
                <w:color w:val="0000EE"/>
                <w:w w:val="87"/>
              </w:rPr>
            </w:pPr>
            <w:hyperlink w:anchor="page217">
              <w:r>
                <w:rPr>
                  <w:rFonts w:ascii="Arial" w:cs="Arial" w:eastAsia="Arial" w:hAnsi="Arial"/>
                  <w:sz w:val="18"/>
                  <w:szCs w:val="18"/>
                  <w:color w:val="0000EE"/>
                  <w:w w:val="87"/>
                </w:rPr>
                <w:t>Consent of PricewaterhouseCoopers LLP</w:t>
              </w:r>
            </w:hyperlink>
          </w:p>
        </w:tc>
        <w:tc>
          <w:tcPr>
            <w:tcW w:w="2140" w:type="dxa"/>
            <w:vAlign w:val="bottom"/>
            <w:gridSpan w:val="17"/>
          </w:tcPr>
          <w:p>
            <w:pPr>
              <w:spacing w:after="0"/>
              <w:rPr>
                <w:sz w:val="16"/>
                <w:szCs w:val="16"/>
                <w:color w:val="auto"/>
              </w:rPr>
            </w:pPr>
          </w:p>
        </w:tc>
      </w:tr>
      <w:tr>
        <w:trPr>
          <w:trHeight w:val="190"/>
        </w:trPr>
        <w:tc>
          <w:tcPr>
            <w:tcW w:w="600" w:type="dxa"/>
            <w:vAlign w:val="bottom"/>
            <w:gridSpan w:val="2"/>
          </w:tcPr>
          <w:p>
            <w:pPr>
              <w:jc w:val="center"/>
              <w:ind w:left="52"/>
              <w:spacing w:after="0" w:line="190" w:lineRule="exact"/>
              <w:rPr>
                <w:sz w:val="20"/>
                <w:szCs w:val="20"/>
                <w:color w:val="auto"/>
              </w:rPr>
            </w:pPr>
            <w:r>
              <w:rPr>
                <w:rFonts w:ascii="Arial" w:cs="Arial" w:eastAsia="Arial" w:hAnsi="Arial"/>
                <w:sz w:val="18"/>
                <w:szCs w:val="18"/>
                <w:color w:val="auto"/>
                <w:w w:val="85"/>
              </w:rPr>
              <w:t>24.1</w:t>
            </w:r>
          </w:p>
        </w:tc>
        <w:tc>
          <w:tcPr>
            <w:tcW w:w="400" w:type="dxa"/>
            <w:vAlign w:val="bottom"/>
          </w:tcPr>
          <w:p>
            <w:pPr>
              <w:spacing w:after="0"/>
              <w:rPr>
                <w:sz w:val="16"/>
                <w:szCs w:val="16"/>
                <w:color w:val="auto"/>
              </w:rPr>
            </w:pPr>
          </w:p>
        </w:tc>
        <w:tc>
          <w:tcPr>
            <w:tcW w:w="394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w:anchor="page121">
              <w:r>
                <w:rPr>
                  <w:rFonts w:ascii="Arial" w:cs="Arial" w:eastAsia="Arial" w:hAnsi="Arial"/>
                  <w:sz w:val="18"/>
                  <w:szCs w:val="18"/>
                  <w:color w:val="0000EE"/>
                  <w:w w:val="88"/>
                </w:rPr>
                <w:t>Powers of Attorney (included as part of Signature Page)</w:t>
              </w:r>
            </w:hyperlink>
          </w:p>
        </w:tc>
        <w:tc>
          <w:tcPr>
            <w:tcW w:w="1120" w:type="dxa"/>
            <w:vAlign w:val="bottom"/>
            <w:gridSpan w:val="13"/>
          </w:tcPr>
          <w:p>
            <w:pPr>
              <w:spacing w:after="0"/>
              <w:rPr>
                <w:sz w:val="16"/>
                <w:szCs w:val="16"/>
                <w:color w:val="auto"/>
              </w:rPr>
            </w:pPr>
          </w:p>
        </w:tc>
      </w:tr>
      <w:tr>
        <w:trPr>
          <w:trHeight w:val="190"/>
        </w:trPr>
        <w:tc>
          <w:tcPr>
            <w:tcW w:w="600" w:type="dxa"/>
            <w:vAlign w:val="bottom"/>
            <w:gridSpan w:val="2"/>
          </w:tcPr>
          <w:p>
            <w:pPr>
              <w:jc w:val="center"/>
              <w:ind w:left="52"/>
              <w:spacing w:after="0" w:line="190" w:lineRule="exact"/>
              <w:rPr>
                <w:sz w:val="20"/>
                <w:szCs w:val="20"/>
                <w:color w:val="auto"/>
              </w:rPr>
            </w:pPr>
            <w:r>
              <w:rPr>
                <w:rFonts w:ascii="Arial" w:cs="Arial" w:eastAsia="Arial" w:hAnsi="Arial"/>
                <w:sz w:val="18"/>
                <w:szCs w:val="18"/>
                <w:color w:val="auto"/>
                <w:w w:val="85"/>
              </w:rPr>
              <w:t>31.1</w:t>
            </w:r>
          </w:p>
        </w:tc>
        <w:tc>
          <w:tcPr>
            <w:tcW w:w="400" w:type="dxa"/>
            <w:vAlign w:val="bottom"/>
          </w:tcPr>
          <w:p>
            <w:pPr>
              <w:spacing w:after="0"/>
              <w:rPr>
                <w:sz w:val="16"/>
                <w:szCs w:val="16"/>
                <w:color w:val="auto"/>
              </w:rPr>
            </w:pPr>
          </w:p>
        </w:tc>
        <w:tc>
          <w:tcPr>
            <w:tcW w:w="5060" w:type="dxa"/>
            <w:vAlign w:val="bottom"/>
            <w:gridSpan w:val="25"/>
          </w:tcPr>
          <w:p>
            <w:pPr>
              <w:spacing w:after="0" w:line="190" w:lineRule="exact"/>
              <w:rPr>
                <w:rFonts w:ascii="Arial" w:cs="Arial" w:eastAsia="Arial" w:hAnsi="Arial"/>
                <w:sz w:val="18"/>
                <w:szCs w:val="18"/>
                <w:color w:val="0000EE"/>
              </w:rPr>
            </w:pPr>
            <w:hyperlink w:anchor="page218">
              <w:r>
                <w:rPr>
                  <w:rFonts w:ascii="Arial" w:cs="Arial" w:eastAsia="Arial" w:hAnsi="Arial"/>
                  <w:sz w:val="18"/>
                  <w:szCs w:val="18"/>
                  <w:color w:val="0000EE"/>
                </w:rPr>
                <w:t>Rule 13a-14(a) Certification of Chief Executive Officer</w:t>
              </w:r>
            </w:hyperlink>
          </w:p>
        </w:tc>
      </w:tr>
      <w:tr>
        <w:trPr>
          <w:trHeight w:val="190"/>
        </w:trPr>
        <w:tc>
          <w:tcPr>
            <w:tcW w:w="600" w:type="dxa"/>
            <w:vAlign w:val="bottom"/>
            <w:gridSpan w:val="2"/>
          </w:tcPr>
          <w:p>
            <w:pPr>
              <w:jc w:val="center"/>
              <w:ind w:left="52"/>
              <w:spacing w:after="0" w:line="190" w:lineRule="exact"/>
              <w:rPr>
                <w:sz w:val="20"/>
                <w:szCs w:val="20"/>
                <w:color w:val="auto"/>
              </w:rPr>
            </w:pPr>
            <w:r>
              <w:rPr>
                <w:rFonts w:ascii="Arial" w:cs="Arial" w:eastAsia="Arial" w:hAnsi="Arial"/>
                <w:sz w:val="18"/>
                <w:szCs w:val="18"/>
                <w:color w:val="auto"/>
                <w:w w:val="85"/>
              </w:rPr>
              <w:t>31.2</w:t>
            </w:r>
          </w:p>
        </w:tc>
        <w:tc>
          <w:tcPr>
            <w:tcW w:w="400" w:type="dxa"/>
            <w:vAlign w:val="bottom"/>
          </w:tcPr>
          <w:p>
            <w:pPr>
              <w:spacing w:after="0"/>
              <w:rPr>
                <w:sz w:val="16"/>
                <w:szCs w:val="16"/>
                <w:color w:val="auto"/>
              </w:rPr>
            </w:pPr>
          </w:p>
        </w:tc>
        <w:tc>
          <w:tcPr>
            <w:tcW w:w="3860" w:type="dxa"/>
            <w:vAlign w:val="bottom"/>
            <w:tcBorders>
              <w:top w:val="single" w:sz="8" w:color="0000EE"/>
              <w:bottom w:val="single" w:sz="8" w:color="0000EE"/>
            </w:tcBorders>
            <w:gridSpan w:val="10"/>
          </w:tcPr>
          <w:p>
            <w:pPr>
              <w:spacing w:after="0" w:line="190" w:lineRule="exact"/>
              <w:rPr>
                <w:rFonts w:ascii="Arial" w:cs="Arial" w:eastAsia="Arial" w:hAnsi="Arial"/>
                <w:sz w:val="18"/>
                <w:szCs w:val="18"/>
                <w:color w:val="0000EE"/>
                <w:w w:val="90"/>
              </w:rPr>
            </w:pPr>
            <w:hyperlink w:anchor="page219">
              <w:r>
                <w:rPr>
                  <w:rFonts w:ascii="Arial" w:cs="Arial" w:eastAsia="Arial" w:hAnsi="Arial"/>
                  <w:sz w:val="18"/>
                  <w:szCs w:val="18"/>
                  <w:color w:val="0000EE"/>
                  <w:w w:val="90"/>
                </w:rPr>
                <w:t>Rule 13a-14(a) Certification of Chief Financial Officer</w:t>
              </w:r>
            </w:hyperlink>
          </w:p>
        </w:tc>
        <w:tc>
          <w:tcPr>
            <w:tcW w:w="40" w:type="dxa"/>
            <w:vAlign w:val="bottom"/>
            <w:tcBorders>
              <w:top w:val="single" w:sz="8" w:color="0000EE"/>
            </w:tcBorders>
          </w:tcPr>
          <w:p>
            <w:pPr>
              <w:spacing w:after="0"/>
              <w:rPr>
                <w:sz w:val="16"/>
                <w:szCs w:val="16"/>
                <w:color w:val="auto"/>
              </w:rPr>
            </w:pPr>
          </w:p>
        </w:tc>
        <w:tc>
          <w:tcPr>
            <w:tcW w:w="1160" w:type="dxa"/>
            <w:vAlign w:val="bottom"/>
            <w:gridSpan w:val="14"/>
          </w:tcPr>
          <w:p>
            <w:pPr>
              <w:spacing w:after="0"/>
              <w:rPr>
                <w:sz w:val="16"/>
                <w:szCs w:val="16"/>
                <w:color w:val="auto"/>
              </w:rPr>
            </w:pPr>
          </w:p>
        </w:tc>
      </w:tr>
      <w:tr>
        <w:trPr>
          <w:trHeight w:val="190"/>
        </w:trPr>
        <w:tc>
          <w:tcPr>
            <w:tcW w:w="600" w:type="dxa"/>
            <w:vAlign w:val="bottom"/>
            <w:gridSpan w:val="2"/>
          </w:tcPr>
          <w:p>
            <w:pPr>
              <w:jc w:val="center"/>
              <w:ind w:left="52"/>
              <w:spacing w:after="0" w:line="190" w:lineRule="exact"/>
              <w:rPr>
                <w:sz w:val="20"/>
                <w:szCs w:val="20"/>
                <w:color w:val="auto"/>
              </w:rPr>
            </w:pPr>
            <w:r>
              <w:rPr>
                <w:rFonts w:ascii="Arial" w:cs="Arial" w:eastAsia="Arial" w:hAnsi="Arial"/>
                <w:sz w:val="18"/>
                <w:szCs w:val="18"/>
                <w:color w:val="auto"/>
                <w:w w:val="85"/>
              </w:rPr>
              <w:t>32.1</w:t>
            </w:r>
          </w:p>
        </w:tc>
        <w:tc>
          <w:tcPr>
            <w:tcW w:w="400" w:type="dxa"/>
            <w:vAlign w:val="bottom"/>
          </w:tcPr>
          <w:p>
            <w:pPr>
              <w:spacing w:after="0"/>
              <w:rPr>
                <w:sz w:val="16"/>
                <w:szCs w:val="16"/>
                <w:color w:val="auto"/>
              </w:rPr>
            </w:pPr>
          </w:p>
        </w:tc>
        <w:tc>
          <w:tcPr>
            <w:tcW w:w="4500" w:type="dxa"/>
            <w:vAlign w:val="bottom"/>
            <w:tcBorders>
              <w:bottom w:val="single" w:sz="8" w:color="0000EE"/>
            </w:tcBorders>
            <w:gridSpan w:val="15"/>
          </w:tcPr>
          <w:p>
            <w:pPr>
              <w:spacing w:after="0" w:line="190" w:lineRule="exact"/>
              <w:rPr>
                <w:rFonts w:ascii="Arial" w:cs="Arial" w:eastAsia="Arial" w:hAnsi="Arial"/>
                <w:sz w:val="18"/>
                <w:szCs w:val="18"/>
                <w:color w:val="0000EE"/>
                <w:w w:val="90"/>
              </w:rPr>
            </w:pPr>
            <w:hyperlink w:anchor="page220">
              <w:r>
                <w:rPr>
                  <w:rFonts w:ascii="Arial" w:cs="Arial" w:eastAsia="Arial" w:hAnsi="Arial"/>
                  <w:sz w:val="18"/>
                  <w:szCs w:val="18"/>
                  <w:color w:val="0000EE"/>
                  <w:w w:val="90"/>
                </w:rPr>
                <w:t>Section 1350 Certification of Chief Executive Officer and Chief</w:t>
              </w:r>
            </w:hyperlink>
          </w:p>
        </w:tc>
        <w:tc>
          <w:tcPr>
            <w:tcW w:w="560" w:type="dxa"/>
            <w:vAlign w:val="bottom"/>
            <w:gridSpan w:val="10"/>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gridSpan w:val="25"/>
          </w:tcPr>
          <w:p>
            <w:pPr>
              <w:spacing w:after="0" w:line="190" w:lineRule="exact"/>
              <w:rPr>
                <w:rFonts w:ascii="Arial" w:cs="Arial" w:eastAsia="Arial" w:hAnsi="Arial"/>
                <w:sz w:val="18"/>
                <w:szCs w:val="18"/>
                <w:color w:val="0000EE"/>
              </w:rPr>
            </w:pPr>
            <w:hyperlink w:anchor="page220">
              <w:r>
                <w:rPr>
                  <w:rFonts w:ascii="Arial" w:cs="Arial" w:eastAsia="Arial" w:hAnsi="Arial"/>
                  <w:sz w:val="18"/>
                  <w:szCs w:val="18"/>
                  <w:color w:val="0000EE"/>
                </w:rPr>
                <w:t>Financial Officer</w:t>
              </w:r>
            </w:hyperlink>
          </w:p>
        </w:tc>
      </w:tr>
      <w:tr>
        <w:trPr>
          <w:trHeight w:val="20"/>
        </w:trPr>
        <w:tc>
          <w:tcPr>
            <w:tcW w:w="1000" w:type="dxa"/>
            <w:vAlign w:val="bottom"/>
            <w:gridSpan w:val="3"/>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60" w:type="dxa"/>
            <w:vAlign w:val="bottom"/>
            <w:gridSpan w:val="24"/>
          </w:tcPr>
          <w:p>
            <w:pPr>
              <w:spacing w:after="0" w:line="20" w:lineRule="exact"/>
              <w:rPr>
                <w:sz w:val="1"/>
                <w:szCs w:val="1"/>
                <w:color w:val="auto"/>
              </w:rPr>
            </w:pPr>
          </w:p>
        </w:tc>
      </w:tr>
      <w:tr>
        <w:trPr>
          <w:trHeight w:val="217"/>
        </w:trPr>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101.INS</w:t>
            </w:r>
          </w:p>
        </w:tc>
        <w:tc>
          <w:tcPr>
            <w:tcW w:w="5060" w:type="dxa"/>
            <w:vAlign w:val="bottom"/>
            <w:gridSpan w:val="25"/>
          </w:tcPr>
          <w:p>
            <w:pPr>
              <w:spacing w:after="0"/>
              <w:rPr>
                <w:sz w:val="20"/>
                <w:szCs w:val="20"/>
                <w:color w:val="auto"/>
              </w:rPr>
            </w:pPr>
            <w:r>
              <w:rPr>
                <w:rFonts w:ascii="Arial" w:cs="Arial" w:eastAsia="Arial" w:hAnsi="Arial"/>
                <w:sz w:val="18"/>
                <w:szCs w:val="18"/>
                <w:color w:val="auto"/>
                <w:w w:val="90"/>
              </w:rPr>
              <w:t>XBRL Instance Document - the instance document does not appear in</w:t>
            </w: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60" w:type="dxa"/>
            <w:vAlign w:val="bottom"/>
            <w:gridSpan w:val="25"/>
          </w:tcPr>
          <w:p>
            <w:pPr>
              <w:spacing w:after="0"/>
              <w:rPr>
                <w:sz w:val="20"/>
                <w:szCs w:val="20"/>
                <w:color w:val="auto"/>
              </w:rPr>
            </w:pPr>
            <w:r>
              <w:rPr>
                <w:rFonts w:ascii="Arial" w:cs="Arial" w:eastAsia="Arial" w:hAnsi="Arial"/>
                <w:sz w:val="18"/>
                <w:szCs w:val="18"/>
                <w:color w:val="auto"/>
                <w:w w:val="91"/>
              </w:rPr>
              <w:t>the Interactive Data File because its XBRL tags are embedded within</w:t>
            </w: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60" w:type="dxa"/>
            <w:vAlign w:val="bottom"/>
            <w:gridSpan w:val="25"/>
          </w:tcPr>
          <w:p>
            <w:pPr>
              <w:spacing w:after="0"/>
              <w:rPr>
                <w:sz w:val="20"/>
                <w:szCs w:val="20"/>
                <w:color w:val="auto"/>
              </w:rPr>
            </w:pPr>
            <w:r>
              <w:rPr>
                <w:rFonts w:ascii="Arial" w:cs="Arial" w:eastAsia="Arial" w:hAnsi="Arial"/>
                <w:sz w:val="18"/>
                <w:szCs w:val="18"/>
                <w:color w:val="auto"/>
              </w:rPr>
              <w:t>the Inline XBRL document.</w:t>
            </w:r>
          </w:p>
        </w:tc>
      </w:tr>
      <w:tr>
        <w:trPr>
          <w:trHeight w:val="210"/>
        </w:trPr>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101.SCH</w:t>
            </w:r>
          </w:p>
        </w:tc>
        <w:tc>
          <w:tcPr>
            <w:tcW w:w="506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0"/>
        </w:trPr>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101.CAL</w:t>
            </w:r>
          </w:p>
        </w:tc>
        <w:tc>
          <w:tcPr>
            <w:tcW w:w="506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0"/>
        </w:trPr>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101.LAB</w:t>
            </w:r>
          </w:p>
        </w:tc>
        <w:tc>
          <w:tcPr>
            <w:tcW w:w="506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0"/>
        </w:trPr>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101.PRE</w:t>
            </w:r>
          </w:p>
        </w:tc>
        <w:tc>
          <w:tcPr>
            <w:tcW w:w="506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10"/>
        </w:trPr>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101.DEF</w:t>
            </w:r>
          </w:p>
        </w:tc>
        <w:tc>
          <w:tcPr>
            <w:tcW w:w="506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0"/>
        </w:trPr>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104.DEF</w:t>
            </w:r>
          </w:p>
        </w:tc>
        <w:tc>
          <w:tcPr>
            <w:tcW w:w="5060" w:type="dxa"/>
            <w:vAlign w:val="bottom"/>
            <w:gridSpan w:val="25"/>
          </w:tcPr>
          <w:p>
            <w:pPr>
              <w:spacing w:after="0"/>
              <w:rPr>
                <w:sz w:val="20"/>
                <w:szCs w:val="20"/>
                <w:color w:val="auto"/>
              </w:rPr>
            </w:pPr>
            <w:r>
              <w:rPr>
                <w:rFonts w:ascii="Arial" w:cs="Arial" w:eastAsia="Arial" w:hAnsi="Arial"/>
                <w:sz w:val="18"/>
                <w:szCs w:val="18"/>
                <w:color w:val="auto"/>
                <w:w w:val="99"/>
              </w:rPr>
              <w:t>Cover Page Interactive Data File (formatted as Inline XBRL and</w:t>
            </w: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60" w:type="dxa"/>
            <w:vAlign w:val="bottom"/>
            <w:gridSpan w:val="25"/>
          </w:tcPr>
          <w:p>
            <w:pPr>
              <w:spacing w:after="0"/>
              <w:rPr>
                <w:sz w:val="20"/>
                <w:szCs w:val="20"/>
                <w:color w:val="auto"/>
              </w:rPr>
            </w:pPr>
            <w:r>
              <w:rPr>
                <w:rFonts w:ascii="Arial" w:cs="Arial" w:eastAsia="Arial" w:hAnsi="Arial"/>
                <w:sz w:val="18"/>
                <w:szCs w:val="18"/>
                <w:color w:val="auto"/>
              </w:rPr>
              <w:t>contained in Exhibit 101)</w:t>
            </w:r>
          </w:p>
        </w:tc>
      </w:tr>
      <w:tr>
        <w:trPr>
          <w:trHeight w:val="421"/>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00" w:type="dxa"/>
            <w:vAlign w:val="bottom"/>
            <w:gridSpan w:val="15"/>
          </w:tcPr>
          <w:p>
            <w:pPr>
              <w:ind w:left="4240"/>
              <w:spacing w:after="0"/>
              <w:rPr>
                <w:sz w:val="20"/>
                <w:szCs w:val="20"/>
                <w:color w:val="auto"/>
              </w:rPr>
            </w:pPr>
            <w:r>
              <w:rPr>
                <w:rFonts w:ascii="Arial" w:cs="Arial" w:eastAsia="Arial" w:hAnsi="Arial"/>
                <w:sz w:val="18"/>
                <w:szCs w:val="18"/>
                <w:color w:val="auto"/>
                <w:w w:val="79"/>
              </w:rPr>
              <w:t>115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54610</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tabs>
          <w:tab w:leader="none" w:pos="1400" w:val="left"/>
          <w:tab w:leader="none" w:pos="2280" w:val="left"/>
          <w:tab w:leader="none" w:pos="3260" w:val="left"/>
        </w:tabs>
        <w:rPr>
          <w:sz w:val="20"/>
          <w:szCs w:val="20"/>
          <w:color w:val="auto"/>
        </w:rPr>
      </w:pPr>
      <w:r>
        <w:rPr>
          <w:rFonts w:ascii="Arial" w:cs="Arial" w:eastAsia="Arial" w:hAnsi="Arial"/>
          <w:sz w:val="13"/>
          <w:szCs w:val="13"/>
          <w:b w:val="1"/>
          <w:bCs w:val="1"/>
          <w:u w:val="single" w:color="auto"/>
          <w:color w:val="auto"/>
        </w:rPr>
        <w:t>Form</w:t>
      </w:r>
      <w:r>
        <w:rPr>
          <w:sz w:val="20"/>
          <w:szCs w:val="20"/>
          <w:color w:val="auto"/>
        </w:rPr>
        <w:tab/>
      </w:r>
      <w:r>
        <w:rPr>
          <w:rFonts w:ascii="Arial" w:cs="Arial" w:eastAsia="Arial" w:hAnsi="Arial"/>
          <w:sz w:val="13"/>
          <w:szCs w:val="13"/>
          <w:b w:val="1"/>
          <w:bCs w:val="1"/>
          <w:u w:val="single" w:color="auto"/>
          <w:color w:val="auto"/>
        </w:rPr>
        <w:t>File No.</w:t>
      </w:r>
      <w:r>
        <w:rPr>
          <w:sz w:val="20"/>
          <w:szCs w:val="20"/>
          <w:color w:val="auto"/>
        </w:rPr>
        <w:tab/>
      </w: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Filing Date</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Filed Herewith</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Filed Herewith</w:t>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Filed Herewith</w:t>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Filed Herewith</w:t>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Filed Herewith</w:t>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Furnished Herewith</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140" w:space="720"/>
            <w:col w:w="3900"/>
          </w:cols>
          <w:pgMar w:left="580" w:top="332" w:right="559" w:bottom="1440" w:gutter="0" w:footer="0" w:header="0"/>
        </w:sectPr>
      </w:pPr>
    </w:p>
    <w:bookmarkStart w:id="118" w:name="page119"/>
    <w:bookmarkEnd w:id="118"/>
    <w:p>
      <w:pPr>
        <w:ind w:left="580" w:hanging="575"/>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a management compensation plan, contract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granted for a portion of this exhibit.</w:t>
      </w:r>
    </w:p>
    <w:p>
      <w:pPr>
        <w:spacing w:after="0" w:line="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Certain confidential portions of this Exhibit have been omitted pursuant to Item 601(b) of Regulation S-K because the identified confidential portions</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are not material and (ii) are of the type that the Company treats as private or confidential.</w:t>
      </w:r>
    </w:p>
    <w:p>
      <w:pPr>
        <w:spacing w:after="0" w:line="3" w:lineRule="exact"/>
        <w:rPr>
          <w:sz w:val="20"/>
          <w:szCs w:val="20"/>
          <w:color w:val="auto"/>
        </w:rPr>
      </w:pPr>
    </w:p>
    <w:p>
      <w:pPr>
        <w:ind w:left="580" w:hanging="575"/>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8"/>
          <w:szCs w:val="18"/>
          <w:color w:val="auto"/>
        </w:rPr>
        <w:t>The Company agrees to furnish an unredacted copy of this exhibit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784" w:right="49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1220" w:type="dxa"/>
            <w:vAlign w:val="bottom"/>
            <w:gridSpan w:val="2"/>
          </w:tcPr>
          <w:p>
            <w:pPr>
              <w:spacing w:after="0"/>
              <w:rPr>
                <w:sz w:val="20"/>
                <w:szCs w:val="20"/>
                <w:color w:val="auto"/>
              </w:rPr>
            </w:pPr>
            <w:r>
              <w:rPr>
                <w:rFonts w:ascii="Arial" w:cs="Arial" w:eastAsia="Arial" w:hAnsi="Arial"/>
                <w:sz w:val="18"/>
                <w:szCs w:val="18"/>
                <w:color w:val="auto"/>
              </w:rPr>
              <w:t>MSCI INC.</w:t>
            </w:r>
          </w:p>
        </w:tc>
        <w:tc>
          <w:tcPr>
            <w:tcW w:w="4400" w:type="dxa"/>
            <w:vAlign w:val="bottom"/>
          </w:tcPr>
          <w:p>
            <w:pPr>
              <w:spacing w:after="0"/>
              <w:rPr>
                <w:sz w:val="19"/>
                <w:szCs w:val="19"/>
                <w:color w:val="auto"/>
              </w:rPr>
            </w:pPr>
          </w:p>
        </w:tc>
      </w:tr>
      <w:tr>
        <w:trPr>
          <w:trHeight w:val="42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HENRY A. FERNANDEZ</w:t>
            </w:r>
          </w:p>
        </w:tc>
      </w:tr>
      <w:tr>
        <w:trPr>
          <w:trHeight w:val="191"/>
        </w:trPr>
        <w:tc>
          <w:tcPr>
            <w:tcW w:w="62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1" w:lineRule="exact"/>
              <w:rPr>
                <w:sz w:val="20"/>
                <w:szCs w:val="20"/>
                <w:color w:val="auto"/>
              </w:rPr>
            </w:pPr>
            <w:r>
              <w:rPr>
                <w:rFonts w:ascii="Arial" w:cs="Arial" w:eastAsia="Arial" w:hAnsi="Arial"/>
                <w:sz w:val="18"/>
                <w:szCs w:val="18"/>
                <w:color w:val="auto"/>
              </w:rPr>
              <w:t>Henry A. Fernandez</w:t>
            </w:r>
          </w:p>
        </w:tc>
      </w:tr>
      <w:tr>
        <w:trPr>
          <w:trHeight w:val="222"/>
        </w:trPr>
        <w:tc>
          <w:tcPr>
            <w:tcW w:w="6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0"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Andrew C. Wiechmann, Robert J. Gutowski and Cecilia Aza, and each or any one of them, his or her true and lawful attorneys-in-fact and agents, with full powers of substitution and resubstitution, for him or her and in his or her name, place and stead, in the capacities indicated below, to sign any and all amendments to this Annual Report on Form 10-K and to file the same, with all exhibits thereto and other documents in connection therewith, with the Securities and Exchange Commission, hereby ratifying and confirming his or her signatures as they may be signed by his or her said attorneys-in-fact and agents, or their substitute or substitutes, to any and all amendments to this Annual Report on Form 10-K.</w:t>
      </w:r>
    </w:p>
    <w:p>
      <w:pPr>
        <w:spacing w:after="0" w:line="166" w:lineRule="exact"/>
        <w:rPr>
          <w:sz w:val="20"/>
          <w:szCs w:val="20"/>
          <w:color w:val="auto"/>
        </w:rPr>
      </w:pPr>
    </w:p>
    <w:p>
      <w:pPr>
        <w:ind w:right="40" w:firstLine="58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4"/>
                <w:szCs w:val="14"/>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HENRY A. FERNANDEZ</w:t>
            </w:r>
          </w:p>
        </w:tc>
        <w:tc>
          <w:tcPr>
            <w:tcW w:w="100" w:type="dxa"/>
            <w:vAlign w:val="bottom"/>
          </w:tcPr>
          <w:p>
            <w:pPr>
              <w:spacing w:after="0"/>
              <w:rPr>
                <w:sz w:val="24"/>
                <w:szCs w:val="24"/>
                <w:color w:val="auto"/>
              </w:rPr>
            </w:pPr>
          </w:p>
        </w:tc>
        <w:tc>
          <w:tcPr>
            <w:tcW w:w="4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Chairman and Chief Executive Officer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1"/>
              </w:rPr>
              <w:t>Henry A. Fernandez</w:t>
            </w:r>
          </w:p>
        </w:tc>
        <w:tc>
          <w:tcPr>
            <w:tcW w:w="100" w:type="dxa"/>
            <w:vAlign w:val="bottom"/>
          </w:tcPr>
          <w:p>
            <w:pPr>
              <w:spacing w:after="0"/>
              <w:rPr>
                <w:sz w:val="19"/>
                <w:szCs w:val="19"/>
                <w:color w:val="auto"/>
              </w:rPr>
            </w:pPr>
          </w:p>
        </w:tc>
        <w:tc>
          <w:tcPr>
            <w:tcW w:w="48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1"/>
              </w:rPr>
              <w:t>(principal executive officer)</w:t>
            </w: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ANDREW C. WIECHMANN</w:t>
            </w:r>
          </w:p>
        </w:tc>
        <w:tc>
          <w:tcPr>
            <w:tcW w:w="100" w:type="dxa"/>
            <w:vAlign w:val="bottom"/>
          </w:tcPr>
          <w:p>
            <w:pPr>
              <w:spacing w:after="0"/>
              <w:rPr>
                <w:sz w:val="24"/>
                <w:szCs w:val="24"/>
                <w:color w:val="auto"/>
              </w:rPr>
            </w:pPr>
          </w:p>
        </w:tc>
        <w:tc>
          <w:tcPr>
            <w:tcW w:w="4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Chief Financial Officer and Treasurer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Andrew C. Wiechmann</w:t>
            </w:r>
          </w:p>
        </w:tc>
        <w:tc>
          <w:tcPr>
            <w:tcW w:w="100" w:type="dxa"/>
            <w:vAlign w:val="bottom"/>
          </w:tcPr>
          <w:p>
            <w:pPr>
              <w:spacing w:after="0"/>
              <w:rPr>
                <w:sz w:val="19"/>
                <w:szCs w:val="19"/>
                <w:color w:val="auto"/>
              </w:rPr>
            </w:pPr>
          </w:p>
        </w:tc>
        <w:tc>
          <w:tcPr>
            <w:tcW w:w="48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3"/>
              </w:rPr>
              <w:t>(principal financial officer)</w:t>
            </w: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JENNIFER MAK</w:t>
            </w:r>
          </w:p>
        </w:tc>
        <w:tc>
          <w:tcPr>
            <w:tcW w:w="100" w:type="dxa"/>
            <w:vAlign w:val="bottom"/>
          </w:tcPr>
          <w:p>
            <w:pPr>
              <w:spacing w:after="0"/>
              <w:rPr>
                <w:sz w:val="24"/>
                <w:szCs w:val="24"/>
                <w:color w:val="auto"/>
              </w:rPr>
            </w:pPr>
          </w:p>
        </w:tc>
        <w:tc>
          <w:tcPr>
            <w:tcW w:w="4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Global Controller and Head of Finance Operations</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2"/>
              </w:rPr>
              <w:t>Jennifer Mak</w:t>
            </w:r>
          </w:p>
        </w:tc>
        <w:tc>
          <w:tcPr>
            <w:tcW w:w="100" w:type="dxa"/>
            <w:vAlign w:val="bottom"/>
          </w:tcPr>
          <w:p>
            <w:pPr>
              <w:spacing w:after="0"/>
              <w:rPr>
                <w:sz w:val="19"/>
                <w:szCs w:val="19"/>
                <w:color w:val="auto"/>
              </w:rPr>
            </w:pPr>
          </w:p>
        </w:tc>
        <w:tc>
          <w:tcPr>
            <w:tcW w:w="48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1"/>
              </w:rPr>
              <w:t>(principal accounting officer)</w:t>
            </w: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G. ASHE</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Robert G. Ashe</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WAYNE EDMUNDS</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8"/>
              </w:rPr>
              <w:t>Wayne Edmunds</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CATHERINE R. KINNEY</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Catherine R. Kinney</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JACQUES P. PEROLD</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3"/>
              </w:rPr>
              <w:t>Jacques P. Perold</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SANDY C. RATTRAY</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Sandy C. Rattray</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02"/>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LINDA H. RIEFLER</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2"/>
              </w:rPr>
              <w:t>Linda H. Riefler</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MARCUS L. SMITH</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Marcus L. Smith</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RAJAT TANEJA</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2"/>
              </w:rPr>
              <w:t>Rajat Taneja</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PAULA VOLENT</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February 11, 2022</w:t>
            </w:r>
          </w:p>
        </w:tc>
      </w:tr>
      <w:tr>
        <w:trPr>
          <w:trHeight w:val="222"/>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6"/>
              </w:rPr>
              <w:t>Paula Volent</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797"/>
        </w:trPr>
        <w:tc>
          <w:tcPr>
            <w:tcW w:w="4060" w:type="dxa"/>
            <w:vAlign w:val="bottom"/>
          </w:tcPr>
          <w:p>
            <w:pPr>
              <w:spacing w:after="0"/>
              <w:rPr>
                <w:sz w:val="24"/>
                <w:szCs w:val="24"/>
                <w:color w:val="auto"/>
              </w:rPr>
            </w:pPr>
          </w:p>
        </w:tc>
        <w:tc>
          <w:tcPr>
            <w:tcW w:w="4860" w:type="dxa"/>
            <w:vAlign w:val="bottom"/>
            <w:gridSpan w:val="2"/>
          </w:tcPr>
          <w:p>
            <w:pPr>
              <w:jc w:val="right"/>
              <w:ind w:right="307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2" w:lineRule="exact"/>
        <w:rPr>
          <w:sz w:val="20"/>
          <w:szCs w:val="20"/>
          <w:color w:val="auto"/>
        </w:rPr>
      </w:pPr>
    </w:p>
    <w:p>
      <w:pPr>
        <w:ind w:right="20" w:firstLine="972"/>
        <w:spacing w:after="0" w:line="266" w:lineRule="auto"/>
        <w:rPr>
          <w:sz w:val="20"/>
          <w:szCs w:val="20"/>
          <w:color w:val="auto"/>
        </w:rPr>
      </w:pPr>
      <w:r>
        <w:rPr>
          <w:rFonts w:ascii="Arial" w:cs="Arial" w:eastAsia="Arial" w:hAnsi="Arial"/>
          <w:sz w:val="17"/>
          <w:szCs w:val="17"/>
          <w:color w:val="auto"/>
        </w:rPr>
        <w:t xml:space="preserve">As of December 31, 2021, MSCI Inc. (“MSCI” or the “Company”) has one class of securities registered under Section 12 of the Securities Exchange Act of 1934, as amended (the “Exchange Act”): our common stock. The following summary of the terms of the capital stock of MSCI is not meant to be complete and is qualified by reference to the relevant provisions of </w:t>
      </w:r>
      <w:r>
        <w:rPr>
          <w:rFonts w:ascii="Arial" w:cs="Arial" w:eastAsia="Arial" w:hAnsi="Arial"/>
          <w:sz w:val="18"/>
          <w:szCs w:val="18"/>
          <w:color w:val="auto"/>
        </w:rPr>
        <w:t>the</w:t>
      </w:r>
      <w:r>
        <w:rPr>
          <w:rFonts w:ascii="Arial" w:cs="Arial" w:eastAsia="Arial" w:hAnsi="Arial"/>
          <w:sz w:val="17"/>
          <w:szCs w:val="17"/>
          <w:color w:val="auto"/>
        </w:rPr>
        <w:t xml:space="preserve"> General Corporation Law of the State of Delaware (the “DGCL”) and MSCI’s Third Amended and Restated Certificate of Incorporation (“Certificate of Incorporation”) and Amended and Restated By-laws (“By-laws”). Copies of the MSCI Certificate of Incorporation and By-laws are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0" w:lineRule="exact"/>
        <w:rPr>
          <w:sz w:val="20"/>
          <w:szCs w:val="20"/>
          <w:color w:val="auto"/>
        </w:rPr>
      </w:pPr>
    </w:p>
    <w:p>
      <w:pPr>
        <w:ind w:right="180" w:firstLine="432"/>
        <w:spacing w:after="0" w:line="261" w:lineRule="auto"/>
        <w:rPr>
          <w:sz w:val="20"/>
          <w:szCs w:val="20"/>
          <w:color w:val="auto"/>
        </w:rPr>
      </w:pPr>
      <w:r>
        <w:rPr>
          <w:rFonts w:ascii="Arial" w:cs="Arial" w:eastAsia="Arial" w:hAnsi="Arial"/>
          <w:sz w:val="18"/>
          <w:szCs w:val="18"/>
          <w:color w:val="auto"/>
        </w:rPr>
        <w:t>Our authorized capital stock consists of 850,000,000 shares of stock, of which: (i) 750,000,000 shares are designated as common stock, par value $0.01 per share and (ii) 100,000,000 shares are designated as preferred stock, par value $0.01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Voting Rights</w:t>
      </w:r>
    </w:p>
    <w:p>
      <w:pPr>
        <w:spacing w:after="0" w:line="214"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Except as provided by statute or resolution of our board of directors in connection with the issuance of preferred stock in accordance with our Certificate of Incorporation, holders of our common stock have the sole right and power to vote on all matters on which a vote of stockholders is to be taken. Generally, the holders of a majority of the voting power of all classes of voting stock, in person or by proxy, shall constitute a quorum at a meeting of stockholders. Except when amending or altering any provision of our Certificate of Incorporation or By-laws so as to adversely affect the rights of one class or as otherwise required by Delaware law, matters to be voted on by stockholders must be approved by a majority of all votes cast on the matter by the holders of common stock at a meeting at which a quorum is present, subject to any voting rights granted to holders of any outstanding shares of preferred stock.</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Dividends</w:t>
      </w:r>
    </w:p>
    <w:p>
      <w:pPr>
        <w:spacing w:after="0" w:line="214" w:lineRule="exact"/>
        <w:rPr>
          <w:sz w:val="20"/>
          <w:szCs w:val="20"/>
          <w:color w:val="auto"/>
        </w:rPr>
      </w:pPr>
    </w:p>
    <w:p>
      <w:pPr>
        <w:jc w:val="both"/>
        <w:ind w:right="120" w:firstLine="432"/>
        <w:spacing w:after="0" w:line="299" w:lineRule="auto"/>
        <w:rPr>
          <w:sz w:val="20"/>
          <w:szCs w:val="20"/>
          <w:color w:val="auto"/>
        </w:rPr>
      </w:pPr>
      <w:r>
        <w:rPr>
          <w:rFonts w:ascii="Arial" w:cs="Arial" w:eastAsia="Arial" w:hAnsi="Arial"/>
          <w:sz w:val="16"/>
          <w:szCs w:val="16"/>
          <w:color w:val="auto"/>
        </w:rPr>
        <w:t>On September 17, 2014, the board of directors approved a plan to initiate a quarterly cash dividend. Subject to preferences that may be applicable to any outstanding preferred stock, the holders of common stock are entitled to receive ratably any dividends declared from time to time by the board of directors out of funds legally available therefor. In addition, our Revolving Credit Agreement contains certain restrictions on the payment of dividends.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Rights</w:t>
      </w:r>
    </w:p>
    <w:p>
      <w:pPr>
        <w:spacing w:after="0" w:line="214" w:lineRule="exact"/>
        <w:rPr>
          <w:sz w:val="20"/>
          <w:szCs w:val="20"/>
          <w:color w:val="auto"/>
        </w:rPr>
      </w:pPr>
    </w:p>
    <w:p>
      <w:pPr>
        <w:jc w:val="both"/>
        <w:ind w:right="260" w:firstLine="432"/>
        <w:spacing w:after="0" w:line="299" w:lineRule="auto"/>
        <w:rPr>
          <w:sz w:val="20"/>
          <w:szCs w:val="20"/>
          <w:color w:val="auto"/>
        </w:rPr>
      </w:pPr>
      <w:r>
        <w:rPr>
          <w:rFonts w:ascii="Arial" w:cs="Arial" w:eastAsia="Arial" w:hAnsi="Arial"/>
          <w:sz w:val="16"/>
          <w:szCs w:val="16"/>
          <w:color w:val="auto"/>
        </w:rPr>
        <w:t>In the event of any reorganization of MSCI or a merger or share exchange of MSCI with another corporation in which shares of our common stock are converted into or exchangeable for shares of stock, other securities or property, including cash, all holders of our common stock, regardless of class, will be entitled to receive with respect to each share held the same kind and amount of shares of stock and other securities and property, including cash.</w:t>
      </w:r>
    </w:p>
    <w:p>
      <w:pPr>
        <w:spacing w:after="0" w:line="154" w:lineRule="exact"/>
        <w:rPr>
          <w:sz w:val="20"/>
          <w:szCs w:val="20"/>
          <w:color w:val="auto"/>
        </w:rPr>
      </w:pPr>
    </w:p>
    <w:p>
      <w:pPr>
        <w:ind w:right="60" w:firstLine="432"/>
        <w:spacing w:after="0" w:line="249" w:lineRule="auto"/>
        <w:rPr>
          <w:sz w:val="20"/>
          <w:szCs w:val="20"/>
          <w:color w:val="auto"/>
        </w:rPr>
      </w:pPr>
      <w:r>
        <w:rPr>
          <w:rFonts w:ascii="Arial" w:cs="Arial" w:eastAsia="Arial" w:hAnsi="Arial"/>
          <w:sz w:val="18"/>
          <w:szCs w:val="18"/>
          <w:color w:val="auto"/>
        </w:rPr>
        <w:t>In the event of liquidation, dissolution or winding up of MSCI, the holders of common stock are entitled to share ratably in all assets remaining after payment of liabilities, subject to prior distribution rights of preferred stock, if any, then outstanding. There are no redemption or sinking fund provisions applicable to the common stock. All outstanding shares of common stock are fully paid and non-assessable, and any shares of common stock that we may issue in the future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325755</wp:posOffset>
            </wp:positionV>
            <wp:extent cx="717804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5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220"/>
        <w:spacing w:after="0"/>
        <w:rPr>
          <w:sz w:val="20"/>
          <w:szCs w:val="20"/>
          <w:color w:val="auto"/>
        </w:rPr>
      </w:pPr>
      <w:r>
        <w:rPr>
          <w:rFonts w:ascii="Arial" w:cs="Arial" w:eastAsia="Arial" w:hAnsi="Arial"/>
          <w:sz w:val="18"/>
          <w:szCs w:val="18"/>
          <w:color w:val="auto"/>
        </w:rPr>
        <w:t>Preemption Rights</w:t>
      </w:r>
    </w:p>
    <w:p>
      <w:pPr>
        <w:spacing w:after="0" w:line="214" w:lineRule="exact"/>
        <w:rPr>
          <w:sz w:val="20"/>
          <w:szCs w:val="20"/>
          <w:color w:val="auto"/>
        </w:rPr>
      </w:pPr>
    </w:p>
    <w:p>
      <w:pPr>
        <w:ind w:right="20" w:firstLine="432"/>
        <w:spacing w:after="0" w:line="261" w:lineRule="auto"/>
        <w:rPr>
          <w:sz w:val="20"/>
          <w:szCs w:val="20"/>
          <w:color w:val="auto"/>
        </w:rPr>
      </w:pPr>
      <w:r>
        <w:rPr>
          <w:rFonts w:ascii="Arial" w:cs="Arial" w:eastAsia="Arial" w:hAnsi="Arial"/>
          <w:sz w:val="18"/>
          <w:szCs w:val="18"/>
          <w:color w:val="auto"/>
        </w:rPr>
        <w:t>Holders of common stock have no preemptive rights and have no right to convert their common stock into any other securities. There are no redemption provisions applicable to the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0" w:lineRule="exact"/>
        <w:rPr>
          <w:sz w:val="20"/>
          <w:szCs w:val="20"/>
          <w:color w:val="auto"/>
        </w:rPr>
      </w:pPr>
    </w:p>
    <w:p>
      <w:pPr>
        <w:ind w:right="80" w:firstLine="432"/>
        <w:spacing w:after="0" w:line="361" w:lineRule="auto"/>
        <w:rPr>
          <w:sz w:val="20"/>
          <w:szCs w:val="20"/>
          <w:color w:val="auto"/>
        </w:rPr>
      </w:pPr>
      <w:r>
        <w:rPr>
          <w:rFonts w:ascii="Arial" w:cs="Arial" w:eastAsia="Arial" w:hAnsi="Arial"/>
          <w:sz w:val="15"/>
          <w:szCs w:val="15"/>
          <w:color w:val="auto"/>
        </w:rPr>
        <w:t>The board of directors has the authority to issue 100,000,000 shares of preferred stock in one or more series and to fix the rights, preferences, privileges and restrictions thereof. The authority of the board of directors with respect to each series shall include, but not be limited to, determination of the following:</w:t>
      </w:r>
    </w:p>
    <w:p>
      <w:pPr>
        <w:spacing w:after="0" w:line="7" w:lineRule="exact"/>
        <w:rPr>
          <w:sz w:val="20"/>
          <w:szCs w:val="20"/>
          <w:color w:val="auto"/>
        </w:rPr>
      </w:pPr>
    </w:p>
    <w:p>
      <w:pPr>
        <w:ind w:left="840" w:hanging="41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121" w:lineRule="exact"/>
        <w:rPr>
          <w:rFonts w:ascii="Arial" w:cs="Arial" w:eastAsia="Arial" w:hAnsi="Arial"/>
          <w:sz w:val="18"/>
          <w:szCs w:val="18"/>
          <w:color w:val="auto"/>
        </w:rPr>
      </w:pPr>
    </w:p>
    <w:p>
      <w:pPr>
        <w:ind w:left="840" w:hanging="41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21" w:lineRule="exact"/>
        <w:rPr>
          <w:rFonts w:ascii="Arial" w:cs="Arial" w:eastAsia="Arial" w:hAnsi="Arial"/>
          <w:sz w:val="18"/>
          <w:szCs w:val="18"/>
          <w:color w:val="auto"/>
        </w:rPr>
      </w:pPr>
    </w:p>
    <w:p>
      <w:pPr>
        <w:ind w:left="840" w:right="340" w:hanging="414"/>
        <w:spacing w:after="0" w:line="261"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respect of dividends, and whether such dividends, if any, shall be cumulative or non-cumulative;</w:t>
      </w:r>
    </w:p>
    <w:p>
      <w:pPr>
        <w:spacing w:after="0" w:line="75" w:lineRule="exact"/>
        <w:rPr>
          <w:rFonts w:ascii="Arial" w:cs="Arial" w:eastAsia="Arial" w:hAnsi="Arial"/>
          <w:sz w:val="18"/>
          <w:szCs w:val="18"/>
          <w:color w:val="auto"/>
        </w:rPr>
      </w:pPr>
    </w:p>
    <w:p>
      <w:pPr>
        <w:ind w:left="840" w:hanging="41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dates at which dividends, if any, shall be payable;</w:t>
      </w:r>
    </w:p>
    <w:p>
      <w:pPr>
        <w:spacing w:after="0" w:line="121" w:lineRule="exact"/>
        <w:rPr>
          <w:rFonts w:ascii="Arial" w:cs="Arial" w:eastAsia="Arial" w:hAnsi="Arial"/>
          <w:sz w:val="18"/>
          <w:szCs w:val="18"/>
          <w:color w:val="auto"/>
        </w:rPr>
      </w:pPr>
    </w:p>
    <w:p>
      <w:pPr>
        <w:ind w:left="840" w:hanging="41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21" w:lineRule="exact"/>
        <w:rPr>
          <w:rFonts w:ascii="Arial" w:cs="Arial" w:eastAsia="Arial" w:hAnsi="Arial"/>
          <w:sz w:val="18"/>
          <w:szCs w:val="18"/>
          <w:color w:val="auto"/>
        </w:rPr>
      </w:pPr>
    </w:p>
    <w:p>
      <w:pPr>
        <w:ind w:left="840" w:hanging="41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shares of the series;</w:t>
      </w:r>
    </w:p>
    <w:p>
      <w:pPr>
        <w:spacing w:after="0" w:line="121" w:lineRule="exact"/>
        <w:rPr>
          <w:rFonts w:ascii="Arial" w:cs="Arial" w:eastAsia="Arial" w:hAnsi="Arial"/>
          <w:sz w:val="18"/>
          <w:szCs w:val="18"/>
          <w:color w:val="auto"/>
        </w:rPr>
      </w:pPr>
    </w:p>
    <w:p>
      <w:pPr>
        <w:ind w:left="840" w:right="160" w:hanging="414"/>
        <w:spacing w:after="0" w:line="261"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Company;</w:t>
      </w:r>
    </w:p>
    <w:p>
      <w:pPr>
        <w:spacing w:after="0" w:line="75" w:lineRule="exact"/>
        <w:rPr>
          <w:rFonts w:ascii="Arial" w:cs="Arial" w:eastAsia="Arial" w:hAnsi="Arial"/>
          <w:sz w:val="18"/>
          <w:szCs w:val="18"/>
          <w:color w:val="auto"/>
        </w:rPr>
      </w:pPr>
    </w:p>
    <w:p>
      <w:pPr>
        <w:ind w:left="840" w:hanging="414"/>
        <w:spacing w:after="0" w:line="249"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Company or any other corporation, and, if so, the specification of such other class or series of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87" w:lineRule="exact"/>
        <w:rPr>
          <w:rFonts w:ascii="Arial" w:cs="Arial" w:eastAsia="Arial" w:hAnsi="Arial"/>
          <w:sz w:val="18"/>
          <w:szCs w:val="18"/>
          <w:color w:val="auto"/>
        </w:rPr>
      </w:pPr>
    </w:p>
    <w:p>
      <w:pPr>
        <w:ind w:left="840" w:hanging="41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w:t>
      </w:r>
    </w:p>
    <w:p>
      <w:pPr>
        <w:spacing w:after="0" w:line="121" w:lineRule="exact"/>
        <w:rPr>
          <w:rFonts w:ascii="Arial" w:cs="Arial" w:eastAsia="Arial" w:hAnsi="Arial"/>
          <w:sz w:val="18"/>
          <w:szCs w:val="18"/>
          <w:color w:val="auto"/>
        </w:rPr>
      </w:pPr>
    </w:p>
    <w:p>
      <w:pPr>
        <w:ind w:left="840" w:hanging="41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 and</w:t>
      </w:r>
    </w:p>
    <w:p>
      <w:pPr>
        <w:spacing w:after="0" w:line="121" w:lineRule="exact"/>
        <w:rPr>
          <w:rFonts w:ascii="Arial" w:cs="Arial" w:eastAsia="Arial" w:hAnsi="Arial"/>
          <w:sz w:val="18"/>
          <w:szCs w:val="18"/>
          <w:color w:val="auto"/>
        </w:rPr>
      </w:pPr>
    </w:p>
    <w:p>
      <w:pPr>
        <w:ind w:left="840" w:right="420" w:hanging="414"/>
        <w:spacing w:after="0" w:line="261"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other powers, preferences and relative, participating, optional and other special rights, and the qualifications, limitations and restrictions thereof, as the board of directors determines.</w:t>
      </w:r>
    </w:p>
    <w:p>
      <w:pPr>
        <w:spacing w:after="0" w:line="18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No shares of preferred stock are currently issued or outstanding. The issuance of preferred stock may have the effect of delaying, deterring or preventing a change in control of MSCI without further action by the stockholders and may adversely affect the voting and other rights of the holders of common stock. The material terms of any preferred stock will be set forth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Written Consents</w:t>
      </w:r>
    </w:p>
    <w:p>
      <w:pPr>
        <w:spacing w:after="0" w:line="220" w:lineRule="exact"/>
        <w:rPr>
          <w:sz w:val="20"/>
          <w:szCs w:val="20"/>
          <w:color w:val="auto"/>
        </w:rPr>
      </w:pPr>
    </w:p>
    <w:p>
      <w:pPr>
        <w:jc w:val="both"/>
        <w:ind w:right="20" w:firstLine="432"/>
        <w:spacing w:after="0" w:line="252" w:lineRule="auto"/>
        <w:rPr>
          <w:sz w:val="20"/>
          <w:szCs w:val="20"/>
          <w:color w:val="auto"/>
        </w:rPr>
      </w:pPr>
      <w:r>
        <w:rPr>
          <w:rFonts w:ascii="Arial" w:cs="Arial" w:eastAsia="Arial" w:hAnsi="Arial"/>
          <w:sz w:val="18"/>
          <w:szCs w:val="18"/>
          <w:color w:val="auto"/>
        </w:rPr>
        <w:t>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These limits may have the effect of delaying, deterring or preventing a change in control of MSCI.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Special Meetings</w:t>
      </w:r>
    </w:p>
    <w:p>
      <w:pPr>
        <w:spacing w:after="0" w:line="220" w:lineRule="exact"/>
        <w:rPr>
          <w:sz w:val="20"/>
          <w:szCs w:val="20"/>
          <w:color w:val="auto"/>
        </w:rPr>
      </w:pPr>
    </w:p>
    <w:p>
      <w:pPr>
        <w:ind w:right="280" w:firstLine="432"/>
        <w:spacing w:after="0" w:line="324" w:lineRule="auto"/>
        <w:rPr>
          <w:sz w:val="20"/>
          <w:szCs w:val="20"/>
          <w:color w:val="auto"/>
        </w:rPr>
      </w:pPr>
      <w:r>
        <w:rPr>
          <w:rFonts w:ascii="Arial" w:cs="Arial" w:eastAsia="Arial" w:hAnsi="Arial"/>
          <w:sz w:val="16"/>
          <w:szCs w:val="16"/>
          <w:color w:val="auto"/>
        </w:rPr>
        <w:t>Special meetings of the stockholders may be called at any time only by the secretary at the direction of the board of directors pursuant to a resolution adopted by the board of directors. This limit may have the effect of delaying, deterring or preventing a change in control of MSCI.</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217805</wp:posOffset>
            </wp:positionV>
            <wp:extent cx="717804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5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60"/>
          </w:cols>
          <w:pgMar w:left="320" w:top="561" w:right="4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Election of Directors</w:t>
      </w:r>
    </w:p>
    <w:p>
      <w:pPr>
        <w:spacing w:after="0" w:line="220" w:lineRule="exact"/>
        <w:rPr>
          <w:sz w:val="20"/>
          <w:szCs w:val="20"/>
          <w:color w:val="auto"/>
        </w:rPr>
      </w:pPr>
    </w:p>
    <w:p>
      <w:pPr>
        <w:jc w:val="both"/>
        <w:ind w:right="280" w:firstLine="432"/>
        <w:spacing w:after="0" w:line="252" w:lineRule="auto"/>
        <w:rPr>
          <w:sz w:val="20"/>
          <w:szCs w:val="20"/>
          <w:color w:val="auto"/>
        </w:rPr>
      </w:pPr>
      <w:r>
        <w:rPr>
          <w:rFonts w:ascii="Arial" w:cs="Arial" w:eastAsia="Arial" w:hAnsi="Arial"/>
          <w:sz w:val="18"/>
          <w:szCs w:val="18"/>
          <w:color w:val="auto"/>
        </w:rPr>
        <w:t>Pursuant to the Bylaws, the number of directors is fixed exclusively by the board of directors and such number shall consist of not less than three nor more than fifteen directors. Each director stands for election at each annual meeting of stockholders and holds office until his or her successor has been duly elected and qualified or the director’s earlier resignation, death or removal.</w:t>
      </w:r>
    </w:p>
    <w:p>
      <w:pPr>
        <w:spacing w:after="0" w:line="189" w:lineRule="exact"/>
        <w:rPr>
          <w:sz w:val="20"/>
          <w:szCs w:val="20"/>
          <w:color w:val="auto"/>
        </w:rPr>
      </w:pPr>
    </w:p>
    <w:p>
      <w:pPr>
        <w:ind w:right="60" w:firstLine="432"/>
        <w:spacing w:after="0" w:line="249" w:lineRule="auto"/>
        <w:rPr>
          <w:sz w:val="20"/>
          <w:szCs w:val="20"/>
          <w:color w:val="auto"/>
        </w:rPr>
      </w:pPr>
      <w:r>
        <w:rPr>
          <w:rFonts w:ascii="Arial" w:cs="Arial" w:eastAsia="Arial" w:hAnsi="Arial"/>
          <w:sz w:val="18"/>
          <w:szCs w:val="18"/>
          <w:color w:val="auto"/>
        </w:rPr>
        <w:t>Each director shall be elected by the vote of the majority of all stockholder votes cast with respect to that director’s election at any meeting for the election of directors at which a quorum is present, provided that if, as of the tenth day preceding the date the Company first mails its notice of meeting for such meeting to the stockholders of the Company, the number of nominees exceeds the number of directors to be elected, the directors shall be elected by the vote of a plurality of the votes cast.</w:t>
      </w:r>
    </w:p>
    <w:p>
      <w:pPr>
        <w:spacing w:after="0" w:line="192" w:lineRule="exact"/>
        <w:rPr>
          <w:sz w:val="20"/>
          <w:szCs w:val="20"/>
          <w:color w:val="auto"/>
        </w:rPr>
      </w:pPr>
    </w:p>
    <w:p>
      <w:pPr>
        <w:ind w:right="40" w:firstLine="432"/>
        <w:spacing w:after="0" w:line="280" w:lineRule="auto"/>
        <w:rPr>
          <w:sz w:val="20"/>
          <w:szCs w:val="20"/>
          <w:color w:val="auto"/>
        </w:rPr>
      </w:pPr>
      <w:r>
        <w:rPr>
          <w:rFonts w:ascii="Arial" w:cs="Arial" w:eastAsia="Arial" w:hAnsi="Arial"/>
          <w:sz w:val="16"/>
          <w:szCs w:val="16"/>
          <w:color w:val="auto"/>
        </w:rPr>
        <w:t>The Bylaws also provide that, in order for any incumbent director to become a nominee of the board of directors, the director must submit an irrevocable resignation as director that becomes effective if (i) he or she does not receive a majority of the votes cast in an uncontested election and (ii) the board of directors accepts the resignation. If a director does not receive a majority of the votes cast in an uncontested election, the Nominating and Corporate Governance Committee will consider the director’s resignation and recommend to the board of directors whether to accept or reject the resignation, or whether other action should be taken. The board of directors will decide whether to accept or reject the resignation and publicly disclose its decision, including the rationale behind the decision if it rejects the resignation, within 90 days after the election results are certified. If the board of directors accepts such a director’s resignation, or if a nominee for director is not elected and the nominee is not an incumbent director, then the board of directors may fill the resulting vacancy or may decrease the size of the board of directors. This power, along with the power to increase the size of the board of directors, may have the effect of delaying, deterring or preventing a change in control of MSCI.</w:t>
      </w:r>
    </w:p>
    <w:p>
      <w:pPr>
        <w:spacing w:after="0" w:line="171" w:lineRule="exact"/>
        <w:rPr>
          <w:sz w:val="20"/>
          <w:szCs w:val="20"/>
          <w:color w:val="auto"/>
        </w:rPr>
      </w:pPr>
    </w:p>
    <w:p>
      <w:pPr>
        <w:ind w:firstLine="432"/>
        <w:spacing w:after="0" w:line="249" w:lineRule="auto"/>
        <w:rPr>
          <w:sz w:val="20"/>
          <w:szCs w:val="20"/>
          <w:color w:val="auto"/>
        </w:rPr>
      </w:pPr>
      <w:r>
        <w:rPr>
          <w:rFonts w:ascii="Arial" w:cs="Arial" w:eastAsia="Arial" w:hAnsi="Arial"/>
          <w:sz w:val="18"/>
          <w:szCs w:val="18"/>
          <w:color w:val="auto"/>
        </w:rPr>
        <w:t>Nominations of persons for election to the board of directors may be made at an annual meeting of stockholders only (i) pursuant to the Company’s notice of meeting delivered pursuant to our Bylaws, (ii) by or at the direction of the board of directors or (iii) by any stockholder of the Company who is entitled to vote at the meeting, who complied with the notice procedures set forth in the Bylaws and who was a stockholder of record on the date such notice is delivered to the corporate secretary of the Company and at the time of such annual meeting.</w:t>
      </w:r>
    </w:p>
    <w:p>
      <w:pPr>
        <w:spacing w:after="0" w:line="192" w:lineRule="exact"/>
        <w:rPr>
          <w:sz w:val="20"/>
          <w:szCs w:val="20"/>
          <w:color w:val="auto"/>
        </w:rPr>
      </w:pPr>
    </w:p>
    <w:p>
      <w:pPr>
        <w:ind w:right="100" w:firstLine="432"/>
        <w:spacing w:after="0" w:line="249" w:lineRule="auto"/>
        <w:rPr>
          <w:sz w:val="20"/>
          <w:szCs w:val="20"/>
          <w:color w:val="auto"/>
        </w:rPr>
      </w:pPr>
      <w:r>
        <w:rPr>
          <w:rFonts w:ascii="Arial" w:cs="Arial" w:eastAsia="Arial" w:hAnsi="Arial"/>
          <w:sz w:val="18"/>
          <w:szCs w:val="18"/>
          <w:color w:val="auto"/>
        </w:rPr>
        <w:t>The Bylaws also contain a “proxy access” provision that permits a stockholder, or a group of up to 20 stockholders, owning at least three percent of the Company’s outstanding common stock continuously for at least three years to nominate and include in the Company’s annual meeting proxy materials director nominees constituting the greater of two (2) directors or twenty percent (20%) of the total number of directors on the board of directors, provided that such shareholder(s) and nominee(s) satisfy the requirements specified in the Bylaws.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New York Stock Exchange under the symbol “MSCI.”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Broadridge Financial Solutions, Inc.</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555" w:right="33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740" w:type="dxa"/>
            <w:vAlign w:val="bottom"/>
          </w:tcPr>
          <w:p>
            <w:pPr>
              <w:ind w:left="1820"/>
              <w:spacing w:after="0"/>
              <w:rPr>
                <w:sz w:val="20"/>
                <w:szCs w:val="20"/>
                <w:color w:val="auto"/>
              </w:rPr>
            </w:pPr>
            <w:r>
              <w:rPr>
                <w:rFonts w:ascii="Arial" w:cs="Arial" w:eastAsia="Arial" w:hAnsi="Arial"/>
                <w:sz w:val="18"/>
                <w:szCs w:val="18"/>
                <w:b w:val="1"/>
                <w:bCs w:val="1"/>
                <w:color w:val="auto"/>
                <w:w w:val="87"/>
              </w:rPr>
              <w:t>Exhibit 10.1</w:t>
            </w:r>
          </w:p>
        </w:tc>
      </w:tr>
      <w:tr>
        <w:trPr>
          <w:trHeight w:val="536"/>
        </w:trPr>
        <w:tc>
          <w:tcPr>
            <w:tcW w:w="4120" w:type="dxa"/>
            <w:vAlign w:val="bottom"/>
          </w:tcPr>
          <w:p>
            <w:pPr>
              <w:spacing w:after="0"/>
              <w:rPr>
                <w:sz w:val="24"/>
                <w:szCs w:val="24"/>
                <w:color w:val="auto"/>
              </w:rPr>
            </w:pPr>
          </w:p>
        </w:tc>
        <w:tc>
          <w:tcPr>
            <w:tcW w:w="4400" w:type="dxa"/>
            <w:vAlign w:val="bottom"/>
            <w:gridSpan w:val="2"/>
          </w:tcPr>
          <w:p>
            <w:pPr>
              <w:jc w:val="center"/>
              <w:ind w:right="1292"/>
              <w:spacing w:after="0"/>
              <w:rPr>
                <w:sz w:val="20"/>
                <w:szCs w:val="20"/>
                <w:color w:val="auto"/>
              </w:rPr>
            </w:pPr>
            <w:r>
              <w:rPr>
                <w:rFonts w:ascii="Arial" w:cs="Arial" w:eastAsia="Arial" w:hAnsi="Arial"/>
                <w:sz w:val="18"/>
                <w:szCs w:val="18"/>
                <w:color w:val="auto"/>
                <w:w w:val="88"/>
              </w:rPr>
              <w:t>Non-Employee Director Compensation</w:t>
            </w:r>
            <w:r>
              <w:rPr>
                <w:rFonts w:ascii="Arial" w:cs="Arial" w:eastAsia="Arial" w:hAnsi="Arial"/>
                <w:sz w:val="25"/>
                <w:szCs w:val="25"/>
                <w:color w:val="auto"/>
                <w:w w:val="88"/>
                <w:vertAlign w:val="superscript"/>
              </w:rPr>
              <w:t>(1)</w:t>
            </w:r>
          </w:p>
        </w:tc>
        <w:tc>
          <w:tcPr>
            <w:tcW w:w="2740" w:type="dxa"/>
            <w:vAlign w:val="bottom"/>
          </w:tcPr>
          <w:p>
            <w:pPr>
              <w:spacing w:after="0"/>
              <w:rPr>
                <w:sz w:val="24"/>
                <w:szCs w:val="24"/>
                <w:color w:val="auto"/>
              </w:rPr>
            </w:pPr>
          </w:p>
        </w:tc>
      </w:tr>
      <w:tr>
        <w:trPr>
          <w:trHeight w:val="43"/>
        </w:trPr>
        <w:tc>
          <w:tcPr>
            <w:tcW w:w="4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r>
      <w:tr>
        <w:trPr>
          <w:trHeight w:val="203"/>
        </w:trPr>
        <w:tc>
          <w:tcPr>
            <w:tcW w:w="4120" w:type="dxa"/>
            <w:vAlign w:val="bottom"/>
            <w:tcBorders>
              <w:left w:val="single" w:sz="8" w:color="auto"/>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ind w:left="1040"/>
              <w:spacing w:after="0" w:line="203" w:lineRule="exact"/>
              <w:rPr>
                <w:sz w:val="20"/>
                <w:szCs w:val="20"/>
                <w:color w:val="auto"/>
              </w:rPr>
            </w:pPr>
            <w:r>
              <w:rPr>
                <w:rFonts w:ascii="Arial" w:cs="Arial" w:eastAsia="Arial" w:hAnsi="Arial"/>
                <w:sz w:val="18"/>
                <w:szCs w:val="18"/>
                <w:b w:val="1"/>
                <w:bCs w:val="1"/>
                <w:color w:val="auto"/>
              </w:rPr>
              <w:t>Current</w:t>
            </w:r>
          </w:p>
        </w:tc>
        <w:tc>
          <w:tcPr>
            <w:tcW w:w="2740" w:type="dxa"/>
            <w:vAlign w:val="bottom"/>
            <w:tcBorders>
              <w:bottom w:val="single" w:sz="8" w:color="auto"/>
              <w:right w:val="single" w:sz="8" w:color="auto"/>
            </w:tcBorders>
          </w:tcPr>
          <w:p>
            <w:pPr>
              <w:ind w:left="540"/>
              <w:spacing w:after="0" w:line="203" w:lineRule="exact"/>
              <w:rPr>
                <w:sz w:val="20"/>
                <w:szCs w:val="20"/>
                <w:color w:val="auto"/>
              </w:rPr>
            </w:pPr>
            <w:r>
              <w:rPr>
                <w:rFonts w:ascii="Arial" w:cs="Arial" w:eastAsia="Arial" w:hAnsi="Arial"/>
                <w:sz w:val="18"/>
                <w:szCs w:val="18"/>
                <w:b w:val="1"/>
                <w:bCs w:val="1"/>
                <w:color w:val="auto"/>
              </w:rPr>
              <w:t>Effective May 1, 2022</w:t>
            </w:r>
          </w:p>
        </w:tc>
      </w:tr>
      <w:tr>
        <w:trPr>
          <w:trHeight w:val="203"/>
        </w:trPr>
        <w:tc>
          <w:tcPr>
            <w:tcW w:w="4120" w:type="dxa"/>
            <w:vAlign w:val="bottom"/>
            <w:tcBorders>
              <w:left w:val="single" w:sz="8" w:color="auto"/>
              <w:bottom w:val="single" w:sz="8" w:color="auto"/>
            </w:tcBorders>
            <w:shd w:val="clear" w:color="auto" w:fill="D0CECE"/>
          </w:tcPr>
          <w:p>
            <w:pPr>
              <w:spacing w:after="0"/>
              <w:rPr>
                <w:sz w:val="17"/>
                <w:szCs w:val="17"/>
                <w:color w:val="auto"/>
              </w:rPr>
            </w:pPr>
          </w:p>
        </w:tc>
        <w:tc>
          <w:tcPr>
            <w:tcW w:w="4400" w:type="dxa"/>
            <w:vAlign w:val="bottom"/>
            <w:tcBorders>
              <w:bottom w:val="single" w:sz="8" w:color="auto"/>
              <w:right w:val="single" w:sz="8" w:color="D0CECE"/>
            </w:tcBorders>
            <w:gridSpan w:val="2"/>
            <w:shd w:val="clear" w:color="auto" w:fill="D0CECE"/>
          </w:tcPr>
          <w:p>
            <w:pPr>
              <w:jc w:val="center"/>
              <w:ind w:right="1292"/>
              <w:spacing w:after="0" w:line="203" w:lineRule="exact"/>
              <w:rPr>
                <w:sz w:val="20"/>
                <w:szCs w:val="20"/>
                <w:color w:val="auto"/>
              </w:rPr>
            </w:pPr>
            <w:r>
              <w:rPr>
                <w:rFonts w:ascii="Arial" w:cs="Arial" w:eastAsia="Arial" w:hAnsi="Arial"/>
                <w:sz w:val="18"/>
                <w:szCs w:val="18"/>
                <w:color w:val="auto"/>
                <w:w w:val="90"/>
              </w:rPr>
              <w:t>Committee Chair</w:t>
            </w:r>
          </w:p>
        </w:tc>
        <w:tc>
          <w:tcPr>
            <w:tcW w:w="2740" w:type="dxa"/>
            <w:vAlign w:val="bottom"/>
            <w:tcBorders>
              <w:bottom w:val="single" w:sz="8" w:color="auto"/>
              <w:right w:val="single" w:sz="8" w:color="auto"/>
            </w:tcBorders>
            <w:shd w:val="clear" w:color="auto" w:fill="D0CECE"/>
          </w:tcPr>
          <w:p>
            <w:pPr>
              <w:spacing w:after="0"/>
              <w:rPr>
                <w:sz w:val="17"/>
                <w:szCs w:val="17"/>
                <w:color w:val="auto"/>
              </w:rPr>
            </w:pPr>
          </w:p>
        </w:tc>
      </w:tr>
      <w:tr>
        <w:trPr>
          <w:trHeight w:val="225"/>
        </w:trPr>
        <w:tc>
          <w:tcPr>
            <w:tcW w:w="4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Audit and Risk Committee</w:t>
            </w:r>
          </w:p>
        </w:tc>
        <w:tc>
          <w:tcPr>
            <w:tcW w:w="1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$30,000</w:t>
            </w:r>
          </w:p>
        </w:tc>
      </w:tr>
      <w:tr>
        <w:trPr>
          <w:trHeight w:val="230"/>
        </w:trPr>
        <w:tc>
          <w:tcPr>
            <w:tcW w:w="4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 Talent and Culture Committee</w:t>
            </w:r>
          </w:p>
        </w:tc>
        <w:tc>
          <w:tcPr>
            <w:tcW w:w="1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$25,000</w:t>
            </w:r>
          </w:p>
        </w:tc>
      </w:tr>
      <w:tr>
        <w:trPr>
          <w:trHeight w:val="230"/>
        </w:trPr>
        <w:tc>
          <w:tcPr>
            <w:tcW w:w="4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Strategy and Finance Committee</w:t>
            </w:r>
          </w:p>
        </w:tc>
        <w:tc>
          <w:tcPr>
            <w:tcW w:w="1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$25,000</w:t>
            </w:r>
          </w:p>
        </w:tc>
      </w:tr>
      <w:tr>
        <w:trPr>
          <w:trHeight w:val="225"/>
        </w:trPr>
        <w:tc>
          <w:tcPr>
            <w:tcW w:w="41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w w:val="89"/>
              </w:rPr>
              <w:t>Governance and Corporate Responsibility Committee</w:t>
            </w:r>
          </w:p>
        </w:tc>
        <w:tc>
          <w:tcPr>
            <w:tcW w:w="16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$20,000</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$25,000</w:t>
            </w:r>
          </w:p>
        </w:tc>
      </w:tr>
      <w:tr>
        <w:trPr>
          <w:trHeight w:val="166"/>
        </w:trPr>
        <w:tc>
          <w:tcPr>
            <w:tcW w:w="4120" w:type="dxa"/>
            <w:vAlign w:val="bottom"/>
            <w:tcBorders>
              <w:left w:val="single" w:sz="8" w:color="auto"/>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r>
      <w:tr>
        <w:trPr>
          <w:trHeight w:val="203"/>
        </w:trPr>
        <w:tc>
          <w:tcPr>
            <w:tcW w:w="4120" w:type="dxa"/>
            <w:vAlign w:val="bottom"/>
            <w:tcBorders>
              <w:left w:val="single" w:sz="8" w:color="auto"/>
              <w:bottom w:val="single" w:sz="8" w:color="auto"/>
            </w:tcBorders>
            <w:shd w:val="clear" w:color="auto" w:fill="D0CECE"/>
          </w:tcPr>
          <w:p>
            <w:pPr>
              <w:spacing w:after="0"/>
              <w:rPr>
                <w:sz w:val="17"/>
                <w:szCs w:val="17"/>
                <w:color w:val="auto"/>
              </w:rPr>
            </w:pPr>
          </w:p>
        </w:tc>
        <w:tc>
          <w:tcPr>
            <w:tcW w:w="4400" w:type="dxa"/>
            <w:vAlign w:val="bottom"/>
            <w:tcBorders>
              <w:bottom w:val="single" w:sz="8" w:color="auto"/>
              <w:right w:val="single" w:sz="8" w:color="D0CECE"/>
            </w:tcBorders>
            <w:gridSpan w:val="2"/>
            <w:shd w:val="clear" w:color="auto" w:fill="D0CECE"/>
          </w:tcPr>
          <w:p>
            <w:pPr>
              <w:jc w:val="center"/>
              <w:ind w:right="1292"/>
              <w:spacing w:after="0" w:line="203" w:lineRule="exact"/>
              <w:rPr>
                <w:sz w:val="20"/>
                <w:szCs w:val="20"/>
                <w:color w:val="auto"/>
              </w:rPr>
            </w:pPr>
            <w:r>
              <w:rPr>
                <w:rFonts w:ascii="Arial" w:cs="Arial" w:eastAsia="Arial" w:hAnsi="Arial"/>
                <w:sz w:val="18"/>
                <w:szCs w:val="18"/>
                <w:color w:val="auto"/>
                <w:w w:val="89"/>
              </w:rPr>
              <w:t>Committee Member</w:t>
            </w:r>
          </w:p>
        </w:tc>
        <w:tc>
          <w:tcPr>
            <w:tcW w:w="2740" w:type="dxa"/>
            <w:vAlign w:val="bottom"/>
            <w:tcBorders>
              <w:bottom w:val="single" w:sz="8" w:color="auto"/>
              <w:right w:val="single" w:sz="8" w:color="auto"/>
            </w:tcBorders>
            <w:shd w:val="clear" w:color="auto" w:fill="D0CECE"/>
          </w:tcPr>
          <w:p>
            <w:pPr>
              <w:spacing w:after="0"/>
              <w:rPr>
                <w:sz w:val="17"/>
                <w:szCs w:val="17"/>
                <w:color w:val="auto"/>
              </w:rPr>
            </w:pPr>
          </w:p>
        </w:tc>
      </w:tr>
      <w:tr>
        <w:trPr>
          <w:trHeight w:val="225"/>
        </w:trPr>
        <w:tc>
          <w:tcPr>
            <w:tcW w:w="4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Audit and Risk Committee</w:t>
            </w:r>
          </w:p>
        </w:tc>
        <w:tc>
          <w:tcPr>
            <w:tcW w:w="1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$10,000</w:t>
            </w:r>
          </w:p>
        </w:tc>
      </w:tr>
      <w:tr>
        <w:trPr>
          <w:trHeight w:val="230"/>
        </w:trPr>
        <w:tc>
          <w:tcPr>
            <w:tcW w:w="4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 Talent and Culture Committee</w:t>
            </w:r>
          </w:p>
        </w:tc>
        <w:tc>
          <w:tcPr>
            <w:tcW w:w="1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$10,000</w:t>
            </w:r>
          </w:p>
        </w:tc>
      </w:tr>
      <w:tr>
        <w:trPr>
          <w:trHeight w:val="230"/>
        </w:trPr>
        <w:tc>
          <w:tcPr>
            <w:tcW w:w="4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Strategy and Finance Committee</w:t>
            </w:r>
          </w:p>
        </w:tc>
        <w:tc>
          <w:tcPr>
            <w:tcW w:w="1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$10,000</w:t>
            </w:r>
          </w:p>
        </w:tc>
      </w:tr>
      <w:tr>
        <w:trPr>
          <w:trHeight w:val="225"/>
        </w:trPr>
        <w:tc>
          <w:tcPr>
            <w:tcW w:w="41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w w:val="89"/>
              </w:rPr>
              <w:t>Governance and Corporate Responsibility Committee</w:t>
            </w:r>
          </w:p>
        </w:tc>
        <w:tc>
          <w:tcPr>
            <w:tcW w:w="16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$10,000</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$10,000</w:t>
            </w:r>
          </w:p>
        </w:tc>
      </w:tr>
      <w:tr>
        <w:trPr>
          <w:trHeight w:val="166"/>
        </w:trPr>
        <w:tc>
          <w:tcPr>
            <w:tcW w:w="4120" w:type="dxa"/>
            <w:vAlign w:val="bottom"/>
            <w:tcBorders>
              <w:left w:val="single" w:sz="8" w:color="auto"/>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r>
      <w:tr>
        <w:trPr>
          <w:trHeight w:val="203"/>
        </w:trPr>
        <w:tc>
          <w:tcPr>
            <w:tcW w:w="4120" w:type="dxa"/>
            <w:vAlign w:val="bottom"/>
            <w:tcBorders>
              <w:left w:val="single" w:sz="8" w:color="auto"/>
              <w:bottom w:val="single" w:sz="8" w:color="auto"/>
            </w:tcBorders>
            <w:shd w:val="clear" w:color="auto" w:fill="D0CECE"/>
          </w:tcPr>
          <w:p>
            <w:pPr>
              <w:spacing w:after="0"/>
              <w:rPr>
                <w:sz w:val="17"/>
                <w:szCs w:val="17"/>
                <w:color w:val="auto"/>
              </w:rPr>
            </w:pPr>
          </w:p>
        </w:tc>
        <w:tc>
          <w:tcPr>
            <w:tcW w:w="4400" w:type="dxa"/>
            <w:vAlign w:val="bottom"/>
            <w:tcBorders>
              <w:bottom w:val="single" w:sz="8" w:color="auto"/>
              <w:right w:val="single" w:sz="8" w:color="D0CECE"/>
            </w:tcBorders>
            <w:gridSpan w:val="2"/>
            <w:shd w:val="clear" w:color="auto" w:fill="D0CECE"/>
          </w:tcPr>
          <w:p>
            <w:pPr>
              <w:jc w:val="center"/>
              <w:ind w:right="1292"/>
              <w:spacing w:after="0" w:line="203" w:lineRule="exact"/>
              <w:rPr>
                <w:sz w:val="20"/>
                <w:szCs w:val="20"/>
                <w:color w:val="auto"/>
              </w:rPr>
            </w:pPr>
            <w:r>
              <w:rPr>
                <w:rFonts w:ascii="Arial" w:cs="Arial" w:eastAsia="Arial" w:hAnsi="Arial"/>
                <w:sz w:val="18"/>
                <w:szCs w:val="18"/>
                <w:color w:val="auto"/>
                <w:w w:val="89"/>
              </w:rPr>
              <w:t>Annual Compensation</w:t>
            </w:r>
          </w:p>
        </w:tc>
        <w:tc>
          <w:tcPr>
            <w:tcW w:w="2740" w:type="dxa"/>
            <w:vAlign w:val="bottom"/>
            <w:tcBorders>
              <w:bottom w:val="single" w:sz="8" w:color="auto"/>
              <w:right w:val="single" w:sz="8" w:color="auto"/>
            </w:tcBorders>
            <w:shd w:val="clear" w:color="auto" w:fill="D0CECE"/>
          </w:tcPr>
          <w:p>
            <w:pPr>
              <w:spacing w:after="0"/>
              <w:rPr>
                <w:sz w:val="17"/>
                <w:szCs w:val="17"/>
                <w:color w:val="auto"/>
              </w:rPr>
            </w:pPr>
          </w:p>
        </w:tc>
      </w:tr>
      <w:tr>
        <w:trPr>
          <w:trHeight w:val="225"/>
        </w:trPr>
        <w:tc>
          <w:tcPr>
            <w:tcW w:w="4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Annual Cash Retainer</w:t>
            </w:r>
          </w:p>
        </w:tc>
        <w:tc>
          <w:tcPr>
            <w:tcW w:w="1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$80,000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$80,000</w:t>
            </w:r>
          </w:p>
        </w:tc>
      </w:tr>
      <w:tr>
        <w:trPr>
          <w:trHeight w:val="331"/>
        </w:trPr>
        <w:tc>
          <w:tcPr>
            <w:tcW w:w="41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w w:val="90"/>
              </w:rPr>
              <w:t>Annual Restricted Stock Units (non-Lead Director)</w:t>
            </w:r>
            <w:r>
              <w:rPr>
                <w:rFonts w:ascii="Arial" w:cs="Arial" w:eastAsia="Arial" w:hAnsi="Arial"/>
                <w:sz w:val="25"/>
                <w:szCs w:val="25"/>
                <w:b w:val="1"/>
                <w:bCs w:val="1"/>
                <w:color w:val="auto"/>
                <w:w w:val="90"/>
                <w:vertAlign w:val="superscript"/>
              </w:rPr>
              <w:t>(2)</w:t>
            </w:r>
          </w:p>
        </w:tc>
        <w:tc>
          <w:tcPr>
            <w:tcW w:w="1680" w:type="dxa"/>
            <w:vAlign w:val="bottom"/>
            <w:tcBorders>
              <w:right w:val="single" w:sz="8" w:color="auto"/>
            </w:tcBorders>
          </w:tcPr>
          <w:p>
            <w:pPr>
              <w:spacing w:after="0"/>
              <w:rPr>
                <w:sz w:val="24"/>
                <w:szCs w:val="24"/>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$165,000</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$185,000</w:t>
            </w:r>
          </w:p>
        </w:tc>
      </w:tr>
      <w:tr>
        <w:trPr>
          <w:trHeight w:val="60"/>
        </w:trPr>
        <w:tc>
          <w:tcPr>
            <w:tcW w:w="4120" w:type="dxa"/>
            <w:vAlign w:val="bottom"/>
            <w:tcBorders>
              <w:left w:val="single" w:sz="8" w:color="auto"/>
              <w:bottom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r>
      <w:tr>
        <w:trPr>
          <w:trHeight w:val="230"/>
        </w:trPr>
        <w:tc>
          <w:tcPr>
            <w:tcW w:w="4120" w:type="dxa"/>
            <w:vAlign w:val="bottom"/>
            <w:tcBorders>
              <w:left w:val="single" w:sz="8" w:color="auto"/>
              <w:bottom w:val="single" w:sz="8" w:color="auto"/>
            </w:tcBorders>
          </w:tcPr>
          <w:p>
            <w:pPr>
              <w:ind w:left="20"/>
              <w:spacing w:after="0" w:line="229" w:lineRule="exact"/>
              <w:rPr>
                <w:sz w:val="20"/>
                <w:szCs w:val="20"/>
                <w:color w:val="auto"/>
              </w:rPr>
            </w:pPr>
            <w:r>
              <w:rPr>
                <w:rFonts w:ascii="Arial" w:cs="Arial" w:eastAsia="Arial" w:hAnsi="Arial"/>
                <w:sz w:val="18"/>
                <w:szCs w:val="18"/>
                <w:b w:val="1"/>
                <w:bCs w:val="1"/>
                <w:color w:val="auto"/>
                <w:w w:val="97"/>
              </w:rPr>
              <w:t xml:space="preserve">Annual Restricted Stock Units (Lead Director) </w:t>
            </w:r>
            <w:r>
              <w:rPr>
                <w:rFonts w:ascii="Arial" w:cs="Arial" w:eastAsia="Arial" w:hAnsi="Arial"/>
                <w:sz w:val="25"/>
                <w:szCs w:val="25"/>
                <w:b w:val="1"/>
                <w:bCs w:val="1"/>
                <w:color w:val="auto"/>
                <w:w w:val="97"/>
                <w:vertAlign w:val="superscript"/>
              </w:rPr>
              <w:t>(2)</w:t>
            </w:r>
          </w:p>
        </w:tc>
        <w:tc>
          <w:tcPr>
            <w:tcW w:w="16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$215,000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$235,000</w:t>
            </w:r>
          </w:p>
        </w:tc>
      </w:tr>
    </w:tbl>
    <w:p>
      <w:pPr>
        <w:spacing w:after="0" w:line="200" w:lineRule="exact"/>
        <w:rPr>
          <w:sz w:val="20"/>
          <w:szCs w:val="20"/>
          <w:color w:val="auto"/>
        </w:rPr>
      </w:pPr>
    </w:p>
    <w:p>
      <w:pPr>
        <w:spacing w:after="0" w:line="208" w:lineRule="exact"/>
        <w:rPr>
          <w:sz w:val="20"/>
          <w:szCs w:val="20"/>
          <w:color w:val="auto"/>
        </w:rPr>
      </w:pPr>
    </w:p>
    <w:p>
      <w:pPr>
        <w:jc w:val="both"/>
        <w:ind w:right="140" w:firstLine="5"/>
        <w:spacing w:after="0" w:line="197" w:lineRule="auto"/>
        <w:tabs>
          <w:tab w:leader="none" w:pos="2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Board term commences on May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then-current year and concludes on April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following year. Accordingly, retainer fees are paid and restricted stock units are granted on May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Restricted stock units vest on the first anniversary of the grant date. Awards are prorated and vesting schedules adjusted for new directors joining in advance of the Annual Shareholders’ Meeting.</w:t>
      </w:r>
    </w:p>
    <w:p>
      <w:pPr>
        <w:spacing w:after="0" w:line="199" w:lineRule="exact"/>
        <w:rPr>
          <w:rFonts w:ascii="Arial" w:cs="Arial" w:eastAsia="Arial" w:hAnsi="Arial"/>
          <w:sz w:val="18"/>
          <w:szCs w:val="18"/>
          <w:color w:val="auto"/>
        </w:rPr>
      </w:pPr>
    </w:p>
    <w:p>
      <w:pPr>
        <w:ind w:right="80" w:firstLine="5"/>
        <w:spacing w:after="0" w:line="261" w:lineRule="auto"/>
        <w:tabs>
          <w:tab w:leader="none" w:pos="2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fair market value of the restricted stock units is based on the closing price of MSCI Inc.’s common stock as reported by The New York Stock Exchange on the date prior to the date of grant.</w:t>
      </w:r>
    </w:p>
    <w:p>
      <w:pPr>
        <w:spacing w:after="0" w:line="181"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Members of the Board of Directors are subject to the Non-Employee Director Stock Ownership Guidelines, which are described in the MSCI Inc. Corporate Governance Policies available on the Investor Relations section of MSCI website’s (</w:t>
      </w:r>
      <w:r>
        <w:rPr>
          <w:rFonts w:ascii="Arial" w:cs="Arial" w:eastAsia="Arial" w:hAnsi="Arial"/>
          <w:sz w:val="16"/>
          <w:szCs w:val="16"/>
          <w:i w:val="1"/>
          <w:iCs w:val="1"/>
          <w:color w:val="auto"/>
        </w:rPr>
        <w:t>http://ir.msci.com</w:t>
      </w:r>
      <w:r>
        <w:rPr>
          <w:rFonts w:ascii="Arial" w:cs="Arial" w:eastAsia="Arial" w:hAnsi="Arial"/>
          <w:sz w:val="16"/>
          <w:szCs w:val="16"/>
          <w:color w:val="auto"/>
        </w:rPr>
        <w:t>). Information contained on our website is not deemed part of or incorporated by reference into this Annual Report on Form 10-K or any other report filed with the SEC. Additional information regarding MSCI Inc.’s non-employee director compensation program is available in its proxy statement for its annual meeting of shareholders.</w:t>
      </w:r>
    </w:p>
    <w:p>
      <w:pPr>
        <w:sectPr>
          <w:pgSz w:w="11900" w:h="16838" w:orient="portrait"/>
          <w:cols w:equalWidth="0" w:num="1">
            <w:col w:w="11260"/>
          </w:cols>
          <w:pgMar w:left="320" w:top="121"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21"/>
          <w:szCs w:val="21"/>
          <w:b w:val="1"/>
          <w:bCs w:val="1"/>
          <w:color w:val="auto"/>
        </w:rPr>
        <w:t>Exhibit 10.7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MSCI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Committee Stock Ownership Guidelines</w:t>
      </w:r>
    </w:p>
    <w:p>
      <w:pPr>
        <w:spacing w:after="0" w:line="205"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The Compensation, Talent and Culture Committee (the “</w:t>
      </w:r>
      <w:r>
        <w:rPr>
          <w:rFonts w:ascii="Arial" w:cs="Arial" w:eastAsia="Arial" w:hAnsi="Arial"/>
          <w:sz w:val="19"/>
          <w:szCs w:val="19"/>
          <w:b w:val="1"/>
          <w:bCs w:val="1"/>
          <w:color w:val="auto"/>
        </w:rPr>
        <w:t>Committee</w:t>
      </w:r>
      <w:r>
        <w:rPr>
          <w:rFonts w:ascii="Arial" w:cs="Arial" w:eastAsia="Arial" w:hAnsi="Arial"/>
          <w:sz w:val="19"/>
          <w:szCs w:val="19"/>
          <w:color w:val="auto"/>
        </w:rPr>
        <w:t>”) of the Board of Directors of MSCI Inc. (the “</w:t>
      </w:r>
      <w:r>
        <w:rPr>
          <w:rFonts w:ascii="Arial" w:cs="Arial" w:eastAsia="Arial" w:hAnsi="Arial"/>
          <w:sz w:val="19"/>
          <w:szCs w:val="19"/>
          <w:b w:val="1"/>
          <w:bCs w:val="1"/>
          <w:color w:val="auto"/>
        </w:rPr>
        <w:t>Company</w:t>
      </w:r>
      <w:r>
        <w:rPr>
          <w:rFonts w:ascii="Arial" w:cs="Arial" w:eastAsia="Arial" w:hAnsi="Arial"/>
          <w:sz w:val="19"/>
          <w:szCs w:val="19"/>
          <w:color w:val="auto"/>
        </w:rPr>
        <w:t>”) has adopted these Executive Committee Stock Ownership Guidelines (the “</w:t>
      </w:r>
      <w:r>
        <w:rPr>
          <w:rFonts w:ascii="Arial" w:cs="Arial" w:eastAsia="Arial" w:hAnsi="Arial"/>
          <w:sz w:val="19"/>
          <w:szCs w:val="19"/>
          <w:b w:val="1"/>
          <w:bCs w:val="1"/>
          <w:color w:val="auto"/>
        </w:rPr>
        <w:t>Ownership Guidelines</w:t>
      </w:r>
      <w:r>
        <w:rPr>
          <w:rFonts w:ascii="Arial" w:cs="Arial" w:eastAsia="Arial" w:hAnsi="Arial"/>
          <w:sz w:val="19"/>
          <w:szCs w:val="19"/>
          <w:color w:val="auto"/>
        </w:rPr>
        <w:t>”), effective January 1, 2019 (the “</w:t>
      </w:r>
      <w:r>
        <w:rPr>
          <w:rFonts w:ascii="Arial" w:cs="Arial" w:eastAsia="Arial" w:hAnsi="Arial"/>
          <w:sz w:val="19"/>
          <w:szCs w:val="19"/>
          <w:b w:val="1"/>
          <w:bCs w:val="1"/>
          <w:color w:val="auto"/>
        </w:rPr>
        <w:t>Effective Date</w:t>
      </w:r>
      <w:r>
        <w:rPr>
          <w:rFonts w:ascii="Arial" w:cs="Arial" w:eastAsia="Arial" w:hAnsi="Arial"/>
          <w:sz w:val="19"/>
          <w:szCs w:val="19"/>
          <w:color w:val="auto"/>
        </w:rPr>
        <w:t>”), to further align the interests of the Company’s Executive Committee members with those of the Company’s stockholders and further promote sound corporate governance. Capitalized terms used but not defined in the Ownership Guidelines will have the meanings set forth in the MSCI Inc. 2016 Omnibus Incentive Plan (together with any successor plan,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46" w:lineRule="exact"/>
        <w:rPr>
          <w:sz w:val="20"/>
          <w:szCs w:val="20"/>
          <w:color w:val="auto"/>
        </w:rPr>
      </w:pPr>
    </w:p>
    <w:p>
      <w:pPr>
        <w:ind w:left="420" w:right="220" w:hanging="415"/>
        <w:spacing w:after="0" w:line="261" w:lineRule="auto"/>
        <w:tabs>
          <w:tab w:leader="none" w:pos="42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Minimum Ownership Requirements</w:t>
      </w:r>
      <w:r>
        <w:rPr>
          <w:rFonts w:ascii="Arial" w:cs="Arial" w:eastAsia="Arial" w:hAnsi="Arial"/>
          <w:sz w:val="20"/>
          <w:szCs w:val="20"/>
          <w:color w:val="auto"/>
        </w:rPr>
        <w:t>. Each Executive Committee member (each, an “</w:t>
      </w:r>
      <w:r>
        <w:rPr>
          <w:rFonts w:ascii="Arial" w:cs="Arial" w:eastAsia="Arial" w:hAnsi="Arial"/>
          <w:sz w:val="20"/>
          <w:szCs w:val="20"/>
          <w:b w:val="1"/>
          <w:bCs w:val="1"/>
          <w:color w:val="auto"/>
        </w:rPr>
        <w:t>Executive</w:t>
      </w:r>
      <w:r>
        <w:rPr>
          <w:rFonts w:ascii="Arial" w:cs="Arial" w:eastAsia="Arial" w:hAnsi="Arial"/>
          <w:sz w:val="20"/>
          <w:szCs w:val="20"/>
          <w:color w:val="auto"/>
        </w:rPr>
        <w:t>”) is required, within five</w:t>
      </w:r>
      <w:r>
        <w:rPr>
          <w:rFonts w:ascii="Arial" w:cs="Arial" w:eastAsia="Arial" w:hAnsi="Arial"/>
          <w:sz w:val="20"/>
          <w:szCs w:val="20"/>
          <w:b w:val="1"/>
          <w:bCs w:val="1"/>
          <w:color w:val="auto"/>
        </w:rPr>
        <w:t xml:space="preserve"> </w:t>
      </w:r>
      <w:r>
        <w:rPr>
          <w:rFonts w:ascii="Arial" w:cs="Arial" w:eastAsia="Arial" w:hAnsi="Arial"/>
          <w:sz w:val="20"/>
          <w:szCs w:val="20"/>
          <w:color w:val="auto"/>
        </w:rPr>
        <w:t>years following the date of such Executive’s appointment to the Executive Committee (or, if later, five years following the Effective Date), to own a target number of Eligible Shares (as defined below), having an aggregate value equal to the multiple of his or her annual base salary indicated in the table below, based upon his or her position.</w:t>
      </w:r>
    </w:p>
    <w:p>
      <w:pPr>
        <w:spacing w:after="0" w:line="374" w:lineRule="exact"/>
        <w:rPr>
          <w:sz w:val="20"/>
          <w:szCs w:val="20"/>
          <w:color w:val="auto"/>
        </w:rPr>
      </w:pPr>
    </w:p>
    <w:tbl>
      <w:tblPr>
        <w:tblLayout w:type="fixed"/>
        <w:tblInd w:w="2130" w:type="dxa"/>
        <w:tblCellMar>
          <w:top w:w="0" w:type="dxa"/>
          <w:left w:w="0" w:type="dxa"/>
          <w:bottom w:w="0" w:type="dxa"/>
          <w:right w:w="0" w:type="dxa"/>
        </w:tblCellMar>
      </w:tblPr>
      <w:tr>
        <w:trPr>
          <w:trHeight w:val="421"/>
        </w:trPr>
        <w:tc>
          <w:tcPr>
            <w:tcW w:w="39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0"/>
              </w:rPr>
              <w:t>Position*</w:t>
            </w:r>
          </w:p>
        </w:tc>
        <w:tc>
          <w:tcPr>
            <w:tcW w:w="3120" w:type="dxa"/>
            <w:vAlign w:val="bottom"/>
            <w:tcBorders>
              <w:top w:val="single" w:sz="8" w:color="auto"/>
              <w:bottom w:val="single" w:sz="8" w:color="auto"/>
              <w:right w:val="single" w:sz="8" w:color="auto"/>
            </w:tcBorders>
            <w:shd w:val="clear" w:color="auto" w:fill="D9D9D9"/>
          </w:tcPr>
          <w:p>
            <w:pPr>
              <w:ind w:left="480"/>
              <w:spacing w:after="0"/>
              <w:rPr>
                <w:sz w:val="20"/>
                <w:szCs w:val="20"/>
                <w:color w:val="auto"/>
              </w:rPr>
            </w:pPr>
            <w:r>
              <w:rPr>
                <w:rFonts w:ascii="Arial" w:cs="Arial" w:eastAsia="Arial" w:hAnsi="Arial"/>
                <w:sz w:val="21"/>
                <w:szCs w:val="21"/>
                <w:b w:val="1"/>
                <w:bCs w:val="1"/>
                <w:color w:val="auto"/>
              </w:rPr>
              <w:t>Multiple of Base Salary</w:t>
            </w:r>
          </w:p>
        </w:tc>
      </w:tr>
      <w:tr>
        <w:trPr>
          <w:trHeight w:val="401"/>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4"/>
              </w:rPr>
              <w:t>Chief Executive Officer</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6"/>
              </w:rPr>
              <w:t>12X</w:t>
            </w:r>
          </w:p>
        </w:tc>
      </w:tr>
      <w:tr>
        <w:trPr>
          <w:trHeight w:val="401"/>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7"/>
              </w:rPr>
              <w:t>President</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6"/>
              </w:rPr>
              <w:t>12X</w:t>
            </w:r>
          </w:p>
        </w:tc>
      </w:tr>
      <w:tr>
        <w:trPr>
          <w:trHeight w:val="401"/>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Other Management Committee Members</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8X</w:t>
            </w:r>
          </w:p>
        </w:tc>
      </w:tr>
      <w:tr>
        <w:trPr>
          <w:trHeight w:val="401"/>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All Other Executive Committee Members</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4X</w:t>
            </w:r>
          </w:p>
        </w:tc>
      </w:tr>
    </w:tbl>
    <w:p>
      <w:pPr>
        <w:spacing w:after="0" w:line="150" w:lineRule="exact"/>
        <w:rPr>
          <w:sz w:val="20"/>
          <w:szCs w:val="20"/>
          <w:color w:val="auto"/>
        </w:rPr>
      </w:pPr>
    </w:p>
    <w:p>
      <w:pPr>
        <w:ind w:left="1900" w:right="1980"/>
        <w:spacing w:after="0" w:line="260" w:lineRule="auto"/>
        <w:rPr>
          <w:sz w:val="20"/>
          <w:szCs w:val="20"/>
          <w:color w:val="auto"/>
        </w:rPr>
      </w:pPr>
      <w:r>
        <w:rPr>
          <w:rFonts w:ascii="Arial" w:cs="Arial" w:eastAsia="Arial" w:hAnsi="Arial"/>
          <w:sz w:val="21"/>
          <w:szCs w:val="21"/>
          <w:i w:val="1"/>
          <w:iCs w:val="1"/>
          <w:color w:val="auto"/>
        </w:rPr>
        <w:t>*An Executive who holds more than one title indicated above will be expected to satisfy the highest applicable ownership requirement.</w:t>
      </w:r>
    </w:p>
    <w:p>
      <w:pPr>
        <w:spacing w:after="0" w:line="187" w:lineRule="exact"/>
        <w:rPr>
          <w:sz w:val="20"/>
          <w:szCs w:val="20"/>
          <w:color w:val="auto"/>
        </w:rPr>
      </w:pPr>
    </w:p>
    <w:p>
      <w:pPr>
        <w:jc w:val="both"/>
        <w:ind w:left="420" w:right="480"/>
        <w:spacing w:after="0" w:line="286" w:lineRule="auto"/>
        <w:rPr>
          <w:sz w:val="20"/>
          <w:szCs w:val="20"/>
          <w:color w:val="auto"/>
        </w:rPr>
      </w:pPr>
      <w:r>
        <w:rPr>
          <w:rFonts w:ascii="Arial" w:cs="Arial" w:eastAsia="Arial" w:hAnsi="Arial"/>
          <w:sz w:val="19"/>
          <w:szCs w:val="19"/>
          <w:color w:val="auto"/>
        </w:rPr>
        <w:t>Each Executive shall be subject to these Ownership Guidelines for as long as he or she continues to serve on the Executive Committee. If an Executive is or becomes in compliance with the Ownership Guidelines on the Effective Date or any time thereafter, he or she may not take any action that would result in noncompliance with the Ownership Guidelines.</w:t>
      </w:r>
    </w:p>
    <w:p>
      <w:pPr>
        <w:spacing w:after="0" w:line="336" w:lineRule="exact"/>
        <w:rPr>
          <w:sz w:val="20"/>
          <w:szCs w:val="20"/>
          <w:color w:val="auto"/>
        </w:rPr>
      </w:pPr>
    </w:p>
    <w:p>
      <w:pPr>
        <w:ind w:left="420" w:right="40"/>
        <w:spacing w:after="0" w:line="243" w:lineRule="auto"/>
        <w:rPr>
          <w:sz w:val="20"/>
          <w:szCs w:val="20"/>
          <w:color w:val="auto"/>
        </w:rPr>
      </w:pPr>
      <w:r>
        <w:rPr>
          <w:rFonts w:ascii="Arial" w:cs="Arial" w:eastAsia="Arial" w:hAnsi="Arial"/>
          <w:sz w:val="21"/>
          <w:szCs w:val="21"/>
          <w:color w:val="auto"/>
        </w:rPr>
        <w:t>If an Executive becomes subject to an increased ownership requirement due to a promotion, the Executive will be expected to meet the higher ownership amount within five years from the effective date of the promotion (the “</w:t>
      </w:r>
      <w:r>
        <w:rPr>
          <w:rFonts w:ascii="Arial" w:cs="Arial" w:eastAsia="Arial" w:hAnsi="Arial"/>
          <w:sz w:val="21"/>
          <w:szCs w:val="21"/>
          <w:b w:val="1"/>
          <w:bCs w:val="1"/>
          <w:color w:val="auto"/>
        </w:rPr>
        <w:t>Transition Period</w:t>
      </w:r>
      <w:r>
        <w:rPr>
          <w:rFonts w:ascii="Arial" w:cs="Arial" w:eastAsia="Arial" w:hAnsi="Arial"/>
          <w:sz w:val="21"/>
          <w:szCs w:val="21"/>
          <w:color w:val="auto"/>
        </w:rPr>
        <w:t>”). For the avoidance of doubt, the Executive will remain subject to the original minimum ownership requirement during any such Transition Period.</w:t>
      </w:r>
    </w:p>
    <w:p>
      <w:pPr>
        <w:spacing w:after="0" w:line="205" w:lineRule="exact"/>
        <w:rPr>
          <w:sz w:val="20"/>
          <w:szCs w:val="20"/>
          <w:color w:val="auto"/>
        </w:rPr>
      </w:pPr>
    </w:p>
    <w:p>
      <w:pPr>
        <w:ind w:left="420" w:right="260"/>
        <w:spacing w:after="0" w:line="260" w:lineRule="auto"/>
        <w:rPr>
          <w:sz w:val="20"/>
          <w:szCs w:val="20"/>
          <w:color w:val="auto"/>
        </w:rPr>
      </w:pPr>
      <w:r>
        <w:rPr>
          <w:rFonts w:ascii="Arial" w:cs="Arial" w:eastAsia="Arial" w:hAnsi="Arial"/>
          <w:sz w:val="21"/>
          <w:szCs w:val="21"/>
          <w:color w:val="auto"/>
        </w:rPr>
        <w:t>If an Executive becomes subject to an increased minimum ownership requirement due to an increase in his or her base salary, the Executive will still be expected to meet the increased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5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ind w:left="415" w:right="180"/>
        <w:spacing w:after="0" w:line="260" w:lineRule="auto"/>
        <w:rPr>
          <w:sz w:val="20"/>
          <w:szCs w:val="20"/>
          <w:color w:val="auto"/>
        </w:rPr>
      </w:pPr>
      <w:r>
        <w:rPr>
          <w:rFonts w:ascii="Arial" w:cs="Arial" w:eastAsia="Arial" w:hAnsi="Arial"/>
          <w:sz w:val="21"/>
          <w:szCs w:val="21"/>
          <w:color w:val="auto"/>
        </w:rPr>
        <w:t>minimum ownership requirement within five years of the Effective Date or five years following his or her first appointment to the Executive Committee, whichever is later (i.e., there is no Transition Period).</w:t>
      </w:r>
    </w:p>
    <w:p>
      <w:pPr>
        <w:spacing w:after="0" w:line="181" w:lineRule="exact"/>
        <w:rPr>
          <w:sz w:val="20"/>
          <w:szCs w:val="20"/>
          <w:color w:val="auto"/>
        </w:rPr>
      </w:pPr>
    </w:p>
    <w:p>
      <w:pPr>
        <w:ind w:left="415" w:hanging="415"/>
        <w:spacing w:after="0"/>
        <w:tabs>
          <w:tab w:leader="none" w:pos="415"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Retention Requirements</w:t>
      </w:r>
      <w:r>
        <w:rPr>
          <w:rFonts w:ascii="Arial" w:cs="Arial" w:eastAsia="Arial" w:hAnsi="Arial"/>
          <w:sz w:val="21"/>
          <w:szCs w:val="21"/>
          <w:color w:val="auto"/>
        </w:rPr>
        <w:t>.</w:t>
      </w:r>
    </w:p>
    <w:p>
      <w:pPr>
        <w:spacing w:after="0" w:line="237" w:lineRule="exact"/>
        <w:rPr>
          <w:rFonts w:ascii="Arial" w:cs="Arial" w:eastAsia="Arial" w:hAnsi="Arial"/>
          <w:sz w:val="21"/>
          <w:szCs w:val="21"/>
          <w:b w:val="1"/>
          <w:bCs w:val="1"/>
          <w:color w:val="auto"/>
        </w:rPr>
      </w:pPr>
    </w:p>
    <w:p>
      <w:pPr>
        <w:ind w:left="415" w:right="120"/>
        <w:spacing w:after="0" w:line="256" w:lineRule="auto"/>
        <w:rPr>
          <w:rFonts w:ascii="Arial" w:cs="Arial" w:eastAsia="Arial" w:hAnsi="Arial"/>
          <w:sz w:val="21"/>
          <w:szCs w:val="21"/>
          <w:b w:val="1"/>
          <w:bCs w:val="1"/>
          <w:color w:val="auto"/>
        </w:rPr>
      </w:pPr>
      <w:r>
        <w:rPr>
          <w:rFonts w:ascii="Arial" w:cs="Arial" w:eastAsia="Arial" w:hAnsi="Arial"/>
          <w:sz w:val="20"/>
          <w:szCs w:val="20"/>
          <w:color w:val="auto"/>
        </w:rPr>
        <w:t>Until the Executive ceases to serve on the Executive Committee, such Executive shall be required to retain a number of Shares equivalent to, in the aggregate, 25% of the “</w:t>
      </w:r>
      <w:r>
        <w:rPr>
          <w:rFonts w:ascii="Arial" w:cs="Arial" w:eastAsia="Arial" w:hAnsi="Arial"/>
          <w:sz w:val="20"/>
          <w:szCs w:val="20"/>
          <w:b w:val="1"/>
          <w:bCs w:val="1"/>
          <w:color w:val="auto"/>
        </w:rPr>
        <w:t>Net Shares</w:t>
      </w:r>
      <w:r>
        <w:rPr>
          <w:rFonts w:ascii="Arial" w:cs="Arial" w:eastAsia="Arial" w:hAnsi="Arial"/>
          <w:sz w:val="20"/>
          <w:szCs w:val="20"/>
          <w:color w:val="auto"/>
        </w:rPr>
        <w:t>” resulting from the vesting, settlement or exercise, as applicable, of all stock options, restricted stock units (“</w:t>
      </w:r>
      <w:r>
        <w:rPr>
          <w:rFonts w:ascii="Arial" w:cs="Arial" w:eastAsia="Arial" w:hAnsi="Arial"/>
          <w:sz w:val="20"/>
          <w:szCs w:val="20"/>
          <w:b w:val="1"/>
          <w:bCs w:val="1"/>
          <w:color w:val="auto"/>
        </w:rPr>
        <w:t>RSUs</w:t>
      </w:r>
      <w:r>
        <w:rPr>
          <w:rFonts w:ascii="Arial" w:cs="Arial" w:eastAsia="Arial" w:hAnsi="Arial"/>
          <w:sz w:val="20"/>
          <w:szCs w:val="20"/>
          <w:color w:val="auto"/>
        </w:rPr>
        <w:t>”), performance stock units (“</w:t>
      </w:r>
      <w:r>
        <w:rPr>
          <w:rFonts w:ascii="Arial" w:cs="Arial" w:eastAsia="Arial" w:hAnsi="Arial"/>
          <w:sz w:val="20"/>
          <w:szCs w:val="20"/>
          <w:b w:val="1"/>
          <w:bCs w:val="1"/>
          <w:color w:val="auto"/>
        </w:rPr>
        <w:t>PSUs</w:t>
      </w:r>
      <w:r>
        <w:rPr>
          <w:rFonts w:ascii="Arial" w:cs="Arial" w:eastAsia="Arial" w:hAnsi="Arial"/>
          <w:sz w:val="20"/>
          <w:szCs w:val="20"/>
          <w:color w:val="auto"/>
        </w:rPr>
        <w:t>”) and other equity Awards granted to such Executive under the Plan after the later of (i) the date such Executive becomes a member of the Executive Committee and (ii) January 1, 2022 (the “</w:t>
      </w:r>
      <w:r>
        <w:rPr>
          <w:rFonts w:ascii="Arial" w:cs="Arial" w:eastAsia="Arial" w:hAnsi="Arial"/>
          <w:sz w:val="20"/>
          <w:szCs w:val="20"/>
          <w:b w:val="1"/>
          <w:bCs w:val="1"/>
          <w:color w:val="auto"/>
        </w:rPr>
        <w:t>Covered Award Share Retention Requirement</w:t>
      </w:r>
      <w:r>
        <w:rPr>
          <w:rFonts w:ascii="Arial" w:cs="Arial" w:eastAsia="Arial" w:hAnsi="Arial"/>
          <w:sz w:val="20"/>
          <w:szCs w:val="20"/>
          <w:color w:val="auto"/>
        </w:rPr>
        <w:t>”).</w:t>
      </w:r>
    </w:p>
    <w:p>
      <w:pPr>
        <w:spacing w:after="0" w:line="192" w:lineRule="exact"/>
        <w:rPr>
          <w:rFonts w:ascii="Arial" w:cs="Arial" w:eastAsia="Arial" w:hAnsi="Arial"/>
          <w:sz w:val="21"/>
          <w:szCs w:val="21"/>
          <w:b w:val="1"/>
          <w:bCs w:val="1"/>
          <w:color w:val="auto"/>
        </w:rPr>
      </w:pPr>
    </w:p>
    <w:p>
      <w:pPr>
        <w:ind w:left="415"/>
        <w:spacing w:after="0" w:line="286" w:lineRule="auto"/>
        <w:rPr>
          <w:rFonts w:ascii="Arial" w:cs="Arial" w:eastAsia="Arial" w:hAnsi="Arial"/>
          <w:sz w:val="21"/>
          <w:szCs w:val="21"/>
          <w:b w:val="1"/>
          <w:bCs w:val="1"/>
          <w:color w:val="auto"/>
        </w:rPr>
      </w:pPr>
      <w:r>
        <w:rPr>
          <w:rFonts w:ascii="Arial" w:cs="Arial" w:eastAsia="Arial" w:hAnsi="Arial"/>
          <w:sz w:val="19"/>
          <w:szCs w:val="19"/>
          <w:color w:val="auto"/>
        </w:rPr>
        <w:t>In addition to the Covered Award Share Retention Requirement, until the Executive has satisfied the applicable minimum ownership requirement, such Executive is required to retain at least 50% of the Net Shares resulting from the vesting, settlement or exercise, as applicable, of all stock options, RSUs, PSUs or other equity Awards granted to such Executive under the Plan.</w:t>
      </w:r>
    </w:p>
    <w:p>
      <w:pPr>
        <w:spacing w:after="0" w:line="159" w:lineRule="exact"/>
        <w:rPr>
          <w:rFonts w:ascii="Arial" w:cs="Arial" w:eastAsia="Arial" w:hAnsi="Arial"/>
          <w:sz w:val="21"/>
          <w:szCs w:val="21"/>
          <w:b w:val="1"/>
          <w:bCs w:val="1"/>
          <w:color w:val="auto"/>
        </w:rPr>
      </w:pPr>
    </w:p>
    <w:p>
      <w:pPr>
        <w:ind w:left="415" w:right="20"/>
        <w:spacing w:after="0" w:line="245" w:lineRule="auto"/>
        <w:rPr>
          <w:rFonts w:ascii="Arial" w:cs="Arial" w:eastAsia="Arial" w:hAnsi="Arial"/>
          <w:sz w:val="21"/>
          <w:szCs w:val="21"/>
          <w:b w:val="1"/>
          <w:bCs w:val="1"/>
          <w:color w:val="auto"/>
        </w:rPr>
      </w:pPr>
      <w:r>
        <w:rPr>
          <w:rFonts w:ascii="Arial" w:cs="Arial" w:eastAsia="Arial" w:hAnsi="Arial"/>
          <w:sz w:val="21"/>
          <w:szCs w:val="21"/>
          <w:color w:val="auto"/>
        </w:rPr>
        <w:t>For these purposes, “</w:t>
      </w:r>
      <w:r>
        <w:rPr>
          <w:rFonts w:ascii="Arial" w:cs="Arial" w:eastAsia="Arial" w:hAnsi="Arial"/>
          <w:sz w:val="21"/>
          <w:szCs w:val="21"/>
          <w:b w:val="1"/>
          <w:bCs w:val="1"/>
          <w:color w:val="auto"/>
        </w:rPr>
        <w:t>Net Shares</w:t>
      </w:r>
      <w:r>
        <w:rPr>
          <w:rFonts w:ascii="Arial" w:cs="Arial" w:eastAsia="Arial" w:hAnsi="Arial"/>
          <w:sz w:val="21"/>
          <w:szCs w:val="21"/>
          <w:color w:val="auto"/>
        </w:rPr>
        <w:t>” means the number of Shares that would remain if the Shares underlying the equity awards are sold or withheld by the Company to (i) pay the exercise price of a stock option, (ii) satisfy any tax withholding obligations upon the vesting, settlement or exercise, as applicable, of the equity awards (assuming a tax rate of 50%) or (iii) satisfy any other applicable transaction costs.</w:t>
      </w:r>
    </w:p>
    <w:p>
      <w:pPr>
        <w:spacing w:after="0" w:line="202" w:lineRule="exact"/>
        <w:rPr>
          <w:rFonts w:ascii="Arial" w:cs="Arial" w:eastAsia="Arial" w:hAnsi="Arial"/>
          <w:sz w:val="21"/>
          <w:szCs w:val="21"/>
          <w:b w:val="1"/>
          <w:bCs w:val="1"/>
          <w:color w:val="auto"/>
        </w:rPr>
      </w:pPr>
    </w:p>
    <w:p>
      <w:pPr>
        <w:ind w:left="415" w:right="40"/>
        <w:spacing w:after="0" w:line="251" w:lineRule="auto"/>
        <w:rPr>
          <w:rFonts w:ascii="Arial" w:cs="Arial" w:eastAsia="Arial" w:hAnsi="Arial"/>
          <w:sz w:val="21"/>
          <w:szCs w:val="21"/>
          <w:b w:val="1"/>
          <w:bCs w:val="1"/>
          <w:color w:val="auto"/>
        </w:rPr>
      </w:pPr>
      <w:r>
        <w:rPr>
          <w:rFonts w:ascii="Arial" w:cs="Arial" w:eastAsia="Arial" w:hAnsi="Arial"/>
          <w:sz w:val="20"/>
          <w:szCs w:val="20"/>
          <w:color w:val="auto"/>
        </w:rPr>
        <w:t xml:space="preserve">Shares (and the Executive’s rights with respect to Shares) subject to the retention requirements of the Ownership Guidelines (including the Covered Award Share Retention Requirement) shall not, directly or indirectly, be sold, transferred, encumbered, alienated, exchanged, pledged, assigned, hypothecated, hedged, made subject to execution, attachment or similar process, or in any manner be subject to puts or calls or otherwise disposed of, whether voluntarily or involuntarily, and whether by operation of law or otherwise, other than by will or by the laws of descent and distribution. Notwithstanding the foregoing, subject to the prior approval of the Committee in its discretion, Shares subject to the retention requirements of the Ownership Guidelines may be transferred by the Executive for estate planning purposes to any trust or other estate planning vehicle established and controlled by such Executive,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trust or other estate planning vehicle shall remain subject to the retention requirements of the Ownership Guidelines.</w:t>
      </w:r>
    </w:p>
    <w:p>
      <w:pPr>
        <w:spacing w:after="0" w:line="195" w:lineRule="exact"/>
        <w:rPr>
          <w:rFonts w:ascii="Arial" w:cs="Arial" w:eastAsia="Arial" w:hAnsi="Arial"/>
          <w:sz w:val="21"/>
          <w:szCs w:val="21"/>
          <w:b w:val="1"/>
          <w:bCs w:val="1"/>
          <w:color w:val="auto"/>
        </w:rPr>
      </w:pPr>
    </w:p>
    <w:p>
      <w:pPr>
        <w:ind w:left="415" w:right="80" w:hanging="415"/>
        <w:spacing w:after="0" w:line="292" w:lineRule="auto"/>
        <w:tabs>
          <w:tab w:leader="none" w:pos="415"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Shares Included in Ownership Calculation</w:t>
      </w:r>
      <w:r>
        <w:rPr>
          <w:rFonts w:ascii="Arial" w:cs="Arial" w:eastAsia="Arial" w:hAnsi="Arial"/>
          <w:sz w:val="20"/>
          <w:szCs w:val="20"/>
          <w:color w:val="auto"/>
        </w:rPr>
        <w:t>. Shares eligible to be counted towards the satisfaction of the minimum ownership</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under these Ownership Guidelines consist of the following (collectively, the “</w:t>
      </w:r>
      <w:r>
        <w:rPr>
          <w:rFonts w:ascii="Arial" w:cs="Arial" w:eastAsia="Arial" w:hAnsi="Arial"/>
          <w:sz w:val="20"/>
          <w:szCs w:val="20"/>
          <w:b w:val="1"/>
          <w:bCs w:val="1"/>
          <w:color w:val="auto"/>
        </w:rPr>
        <w:t>Eligible Shares</w:t>
      </w:r>
      <w:r>
        <w:rPr>
          <w:rFonts w:ascii="Arial" w:cs="Arial" w:eastAsia="Arial" w:hAnsi="Arial"/>
          <w:sz w:val="20"/>
          <w:szCs w:val="20"/>
          <w:color w:val="auto"/>
        </w:rPr>
        <w:t>”):</w:t>
      </w:r>
    </w:p>
    <w:p>
      <w:pPr>
        <w:spacing w:after="0" w:line="156" w:lineRule="exact"/>
        <w:rPr>
          <w:rFonts w:ascii="Arial" w:cs="Arial" w:eastAsia="Arial" w:hAnsi="Arial"/>
          <w:sz w:val="20"/>
          <w:szCs w:val="20"/>
          <w:b w:val="1"/>
          <w:bCs w:val="1"/>
          <w:color w:val="auto"/>
        </w:rPr>
      </w:pPr>
    </w:p>
    <w:p>
      <w:pPr>
        <w:ind w:left="1315" w:right="640" w:hanging="553"/>
        <w:spacing w:after="0" w:line="260" w:lineRule="auto"/>
        <w:tabs>
          <w:tab w:leader="none" w:pos="1315" w:val="left"/>
        </w:tabs>
        <w:numPr>
          <w:ilvl w:val="1"/>
          <w:numId w:val="60"/>
        </w:numPr>
        <w:rPr>
          <w:rFonts w:ascii="Arial" w:cs="Arial" w:eastAsia="Arial" w:hAnsi="Arial"/>
          <w:sz w:val="21"/>
          <w:szCs w:val="21"/>
          <w:color w:val="auto"/>
        </w:rPr>
      </w:pPr>
      <w:r>
        <w:rPr>
          <w:rFonts w:ascii="Arial" w:cs="Arial" w:eastAsia="Arial" w:hAnsi="Arial"/>
          <w:sz w:val="21"/>
          <w:szCs w:val="21"/>
          <w:color w:val="auto"/>
        </w:rPr>
        <w:t>Shares beneficially owned individually, either directly or indirectly (including Shares held through a broker in individual brokerage accounts and Shares owned indirectly through a trust);</w:t>
      </w:r>
    </w:p>
    <w:p>
      <w:pPr>
        <w:spacing w:after="0" w:line="186" w:lineRule="exact"/>
        <w:rPr>
          <w:rFonts w:ascii="Arial" w:cs="Arial" w:eastAsia="Arial" w:hAnsi="Arial"/>
          <w:sz w:val="21"/>
          <w:szCs w:val="21"/>
          <w:color w:val="auto"/>
        </w:rPr>
      </w:pPr>
    </w:p>
    <w:p>
      <w:pPr>
        <w:ind w:left="1315" w:right="100" w:hanging="553"/>
        <w:spacing w:after="0" w:line="260" w:lineRule="auto"/>
        <w:tabs>
          <w:tab w:leader="none" w:pos="1315" w:val="left"/>
        </w:tabs>
        <w:numPr>
          <w:ilvl w:val="1"/>
          <w:numId w:val="60"/>
        </w:numPr>
        <w:rPr>
          <w:rFonts w:ascii="Arial" w:cs="Arial" w:eastAsia="Arial" w:hAnsi="Arial"/>
          <w:sz w:val="21"/>
          <w:szCs w:val="21"/>
          <w:color w:val="auto"/>
        </w:rPr>
      </w:pPr>
      <w:r>
        <w:rPr>
          <w:rFonts w:ascii="Arial" w:cs="Arial" w:eastAsia="Arial" w:hAnsi="Arial"/>
          <w:sz w:val="21"/>
          <w:szCs w:val="21"/>
          <w:color w:val="auto"/>
        </w:rPr>
        <w:t>Shares beneficially owned jointly with, or separately by, immediate family members residing in the same household, either directly or indirectly; and</w:t>
      </w:r>
    </w:p>
    <w:p>
      <w:pPr>
        <w:spacing w:after="0" w:line="200" w:lineRule="exact"/>
        <w:rPr>
          <w:sz w:val="20"/>
          <w:szCs w:val="20"/>
          <w:color w:val="auto"/>
        </w:rPr>
      </w:pPr>
    </w:p>
    <w:p>
      <w:pPr>
        <w:spacing w:after="0" w:line="201" w:lineRule="exact"/>
        <w:rPr>
          <w:sz w:val="20"/>
          <w:szCs w:val="20"/>
          <w:color w:val="auto"/>
        </w:rPr>
      </w:pPr>
    </w:p>
    <w:p>
      <w:pPr>
        <w:jc w:val="center"/>
        <w:ind w:right="-14"/>
        <w:spacing w:after="0"/>
        <w:rPr>
          <w:sz w:val="20"/>
          <w:szCs w:val="20"/>
          <w:color w:val="auto"/>
        </w:rPr>
      </w:pPr>
      <w:r>
        <w:rPr>
          <w:rFonts w:ascii="Arial" w:cs="Arial" w:eastAsia="Arial" w:hAnsi="Arial"/>
          <w:sz w:val="19"/>
          <w:szCs w:val="19"/>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804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5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15"/>
          </w:cols>
          <w:pgMar w:left="325" w:top="775" w:right="359" w:bottom="1440" w:gutter="0" w:footer="0" w:header="0"/>
        </w:sectPr>
      </w:pPr>
    </w:p>
    <w:bookmarkStart w:id="127" w:name="page128"/>
    <w:bookmarkEnd w:id="127"/>
    <w:p>
      <w:pPr>
        <w:ind w:left="1435" w:right="420" w:hanging="620"/>
        <w:spacing w:after="0" w:line="247" w:lineRule="auto"/>
        <w:tabs>
          <w:tab w:leader="none" w:pos="1435" w:val="left"/>
        </w:tabs>
        <w:numPr>
          <w:ilvl w:val="1"/>
          <w:numId w:val="61"/>
        </w:numPr>
        <w:rPr>
          <w:rFonts w:ascii="Arial" w:cs="Arial" w:eastAsia="Arial" w:hAnsi="Arial"/>
          <w:sz w:val="21"/>
          <w:szCs w:val="21"/>
          <w:color w:val="auto"/>
        </w:rPr>
      </w:pPr>
      <w:r>
        <w:rPr>
          <w:rFonts w:ascii="Arial" w:cs="Arial" w:eastAsia="Arial" w:hAnsi="Arial"/>
          <w:sz w:val="21"/>
          <w:szCs w:val="21"/>
          <w:color w:val="auto"/>
        </w:rPr>
        <w:t>Net Shares underlying (i) unvested RSUs, (ii) unvested PSUs (solely to the extent of any award minimum, if any), (iii) “in-the-money” vested stock options and (iv) any other vested or unvested Awards (as determined in the Committee’s discretion).</w:t>
      </w:r>
    </w:p>
    <w:p>
      <w:pPr>
        <w:spacing w:after="0" w:line="260" w:lineRule="exact"/>
        <w:rPr>
          <w:rFonts w:ascii="Arial" w:cs="Arial" w:eastAsia="Arial" w:hAnsi="Arial"/>
          <w:sz w:val="21"/>
          <w:szCs w:val="21"/>
          <w:color w:val="auto"/>
        </w:rPr>
      </w:pPr>
    </w:p>
    <w:p>
      <w:pPr>
        <w:ind w:left="415" w:right="80" w:hanging="415"/>
        <w:spacing w:after="0" w:line="241" w:lineRule="auto"/>
        <w:tabs>
          <w:tab w:leader="none" w:pos="415"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Valuation</w:t>
      </w:r>
      <w:r>
        <w:rPr>
          <w:rFonts w:ascii="Arial" w:cs="Arial" w:eastAsia="Arial" w:hAnsi="Arial"/>
          <w:sz w:val="21"/>
          <w:szCs w:val="21"/>
          <w:color w:val="auto"/>
        </w:rPr>
        <w:t>. Compliance with the Ownership Guidelines will be measured for each Executive on an annual basis on a date to be</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the Committee. Compliance with the minimum ownership requirements under these Ownership Guidelines will be calculated using the closing price of a Share as reported on the principal stock market or exchange on which the Shares are quoted or traded on the last trading day of the calendar year immediately preceding the applicable compliance measurement date. The Committee may take into consideration decreases in stock prices in determining whether an Executive is in compliance with these Ownership Guidelines</w:t>
      </w:r>
    </w:p>
    <w:p>
      <w:pPr>
        <w:spacing w:after="0" w:line="201" w:lineRule="exact"/>
        <w:rPr>
          <w:rFonts w:ascii="Arial" w:cs="Arial" w:eastAsia="Arial" w:hAnsi="Arial"/>
          <w:sz w:val="21"/>
          <w:szCs w:val="21"/>
          <w:b w:val="1"/>
          <w:bCs w:val="1"/>
          <w:color w:val="auto"/>
        </w:rPr>
      </w:pPr>
    </w:p>
    <w:p>
      <w:pPr>
        <w:ind w:left="415" w:hanging="415"/>
        <w:spacing w:after="0"/>
        <w:tabs>
          <w:tab w:leader="none" w:pos="415"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Compliance and Exceptions</w:t>
      </w:r>
      <w:r>
        <w:rPr>
          <w:rFonts w:ascii="Arial" w:cs="Arial" w:eastAsia="Arial" w:hAnsi="Arial"/>
          <w:sz w:val="21"/>
          <w:szCs w:val="21"/>
          <w:color w:val="auto"/>
        </w:rPr>
        <w:t>.</w:t>
      </w:r>
    </w:p>
    <w:p>
      <w:pPr>
        <w:spacing w:after="0" w:line="211" w:lineRule="exact"/>
        <w:rPr>
          <w:rFonts w:ascii="Arial" w:cs="Arial" w:eastAsia="Arial" w:hAnsi="Arial"/>
          <w:sz w:val="21"/>
          <w:szCs w:val="21"/>
          <w:b w:val="1"/>
          <w:bCs w:val="1"/>
          <w:color w:val="auto"/>
        </w:rPr>
      </w:pPr>
    </w:p>
    <w:p>
      <w:pPr>
        <w:ind w:left="415" w:right="160"/>
        <w:spacing w:after="0" w:line="259" w:lineRule="auto"/>
        <w:rPr>
          <w:rFonts w:ascii="Arial" w:cs="Arial" w:eastAsia="Arial" w:hAnsi="Arial"/>
          <w:sz w:val="21"/>
          <w:szCs w:val="21"/>
          <w:b w:val="1"/>
          <w:bCs w:val="1"/>
          <w:color w:val="auto"/>
        </w:rPr>
      </w:pPr>
      <w:r>
        <w:rPr>
          <w:rFonts w:ascii="Arial" w:cs="Arial" w:eastAsia="Arial" w:hAnsi="Arial"/>
          <w:sz w:val="20"/>
          <w:szCs w:val="20"/>
          <w:color w:val="auto"/>
        </w:rPr>
        <w:t>The Committee shall evaluate whether any exceptions should be made for any Executive who, due to unique financial circumstances, would incur a hardship by complying with these Ownership Guidelines. The Committee may, in its discretion, modify or waive for a reasonable time these Ownership Guidelines, or develop an alternative stock ownership plan, in each case, taking into account individual, Company and market circumstances, as appropriate.</w:t>
      </w:r>
    </w:p>
    <w:p>
      <w:pPr>
        <w:spacing w:after="0" w:line="163" w:lineRule="exact"/>
        <w:rPr>
          <w:rFonts w:ascii="Arial" w:cs="Arial" w:eastAsia="Arial" w:hAnsi="Arial"/>
          <w:sz w:val="21"/>
          <w:szCs w:val="21"/>
          <w:b w:val="1"/>
          <w:bCs w:val="1"/>
          <w:color w:val="auto"/>
        </w:rPr>
      </w:pPr>
    </w:p>
    <w:p>
      <w:pPr>
        <w:ind w:left="415"/>
        <w:spacing w:after="0" w:line="243" w:lineRule="auto"/>
        <w:rPr>
          <w:rFonts w:ascii="Arial" w:cs="Arial" w:eastAsia="Arial" w:hAnsi="Arial"/>
          <w:sz w:val="21"/>
          <w:szCs w:val="21"/>
          <w:b w:val="1"/>
          <w:bCs w:val="1"/>
          <w:color w:val="auto"/>
        </w:rPr>
      </w:pPr>
      <w:r>
        <w:rPr>
          <w:rFonts w:ascii="Arial" w:cs="Arial" w:eastAsia="Arial" w:hAnsi="Arial"/>
          <w:sz w:val="21"/>
          <w:szCs w:val="21"/>
          <w:color w:val="auto"/>
        </w:rPr>
        <w:t>The Committee may consider, in its discretion, whether any actions should be taken in the event of an Executive’s failure to meet, or in unique circumstances, to show sustained progress towards meeting, these Ownership Guidelines (including, without limitation, actions with respect to the specific terms and value of future equity incentive awards granted to the Executive and/or appropriate levels of the Executive’s compensation).</w:t>
      </w:r>
    </w:p>
    <w:p>
      <w:pPr>
        <w:spacing w:after="0" w:line="198" w:lineRule="exact"/>
        <w:rPr>
          <w:rFonts w:ascii="Arial" w:cs="Arial" w:eastAsia="Arial" w:hAnsi="Arial"/>
          <w:sz w:val="21"/>
          <w:szCs w:val="21"/>
          <w:b w:val="1"/>
          <w:bCs w:val="1"/>
          <w:color w:val="auto"/>
        </w:rPr>
      </w:pPr>
    </w:p>
    <w:p>
      <w:pPr>
        <w:ind w:left="415" w:hanging="415"/>
        <w:spacing w:after="0"/>
        <w:tabs>
          <w:tab w:leader="none" w:pos="415"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Requirements</w:t>
      </w:r>
      <w:r>
        <w:rPr>
          <w:rFonts w:ascii="Arial" w:cs="Arial" w:eastAsia="Arial" w:hAnsi="Arial"/>
          <w:sz w:val="21"/>
          <w:szCs w:val="21"/>
          <w:color w:val="auto"/>
        </w:rPr>
        <w:t>.</w:t>
      </w:r>
    </w:p>
    <w:p>
      <w:pPr>
        <w:spacing w:after="0" w:line="200" w:lineRule="exact"/>
        <w:rPr>
          <w:rFonts w:ascii="Arial" w:cs="Arial" w:eastAsia="Arial" w:hAnsi="Arial"/>
          <w:sz w:val="21"/>
          <w:szCs w:val="21"/>
          <w:b w:val="1"/>
          <w:bCs w:val="1"/>
          <w:color w:val="auto"/>
        </w:rPr>
      </w:pPr>
    </w:p>
    <w:p>
      <w:pPr>
        <w:spacing w:after="0" w:line="274" w:lineRule="exact"/>
        <w:rPr>
          <w:rFonts w:ascii="Arial" w:cs="Arial" w:eastAsia="Arial" w:hAnsi="Arial"/>
          <w:sz w:val="21"/>
          <w:szCs w:val="21"/>
          <w:b w:val="1"/>
          <w:bCs w:val="1"/>
          <w:color w:val="auto"/>
        </w:rPr>
      </w:pPr>
    </w:p>
    <w:p>
      <w:pPr>
        <w:ind w:left="415"/>
        <w:spacing w:after="0" w:line="247" w:lineRule="auto"/>
        <w:rPr>
          <w:rFonts w:ascii="Arial" w:cs="Arial" w:eastAsia="Arial" w:hAnsi="Arial"/>
          <w:sz w:val="21"/>
          <w:szCs w:val="21"/>
          <w:b w:val="1"/>
          <w:bCs w:val="1"/>
          <w:color w:val="auto"/>
        </w:rPr>
      </w:pPr>
      <w:r>
        <w:rPr>
          <w:rFonts w:ascii="Arial" w:cs="Arial" w:eastAsia="Arial" w:hAnsi="Arial"/>
          <w:sz w:val="21"/>
          <w:szCs w:val="21"/>
          <w:color w:val="auto"/>
        </w:rPr>
        <w:t>In accordance with procedures adopted by the Company from time to time, prior to entering into any transaction to dispose of Shares, each Executive shall certify in writing to the Head of Global Compensation and Benefits that he or she is in compliance with these Ownership Guidelines.</w:t>
      </w:r>
    </w:p>
    <w:p>
      <w:pPr>
        <w:spacing w:after="0" w:line="200" w:lineRule="exact"/>
        <w:rPr>
          <w:rFonts w:ascii="Arial" w:cs="Arial" w:eastAsia="Arial" w:hAnsi="Arial"/>
          <w:sz w:val="21"/>
          <w:szCs w:val="21"/>
          <w:b w:val="1"/>
          <w:bCs w:val="1"/>
          <w:color w:val="auto"/>
        </w:rPr>
      </w:pPr>
    </w:p>
    <w:p>
      <w:pPr>
        <w:ind w:left="415" w:right="160"/>
        <w:spacing w:after="0" w:line="243" w:lineRule="auto"/>
        <w:rPr>
          <w:rFonts w:ascii="Arial" w:cs="Arial" w:eastAsia="Arial" w:hAnsi="Arial"/>
          <w:sz w:val="21"/>
          <w:szCs w:val="21"/>
          <w:b w:val="1"/>
          <w:bCs w:val="1"/>
          <w:color w:val="auto"/>
        </w:rPr>
      </w:pPr>
      <w:r>
        <w:rPr>
          <w:rFonts w:ascii="Arial" w:cs="Arial" w:eastAsia="Arial" w:hAnsi="Arial"/>
          <w:sz w:val="21"/>
          <w:szCs w:val="21"/>
          <w:color w:val="auto"/>
        </w:rPr>
        <w:t>From time to time, the Committee may impose other stock ownership or retention requirements on Executives pursuant to the terms of an Award. For instance, the Company has included additional retention requirements with respect to certain PSUs. Executives should carefully review the terms of individual Awards for any applicable stock ownership or retention requirements.</w:t>
      </w:r>
    </w:p>
    <w:p>
      <w:pPr>
        <w:spacing w:after="0" w:line="198" w:lineRule="exact"/>
        <w:rPr>
          <w:rFonts w:ascii="Arial" w:cs="Arial" w:eastAsia="Arial" w:hAnsi="Arial"/>
          <w:sz w:val="21"/>
          <w:szCs w:val="21"/>
          <w:b w:val="1"/>
          <w:bCs w:val="1"/>
          <w:color w:val="auto"/>
        </w:rPr>
      </w:pPr>
    </w:p>
    <w:p>
      <w:pPr>
        <w:ind w:left="415" w:hanging="415"/>
        <w:spacing w:after="0"/>
        <w:tabs>
          <w:tab w:leader="none" w:pos="415"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Trading Prohibition</w:t>
      </w:r>
      <w:r>
        <w:rPr>
          <w:rFonts w:ascii="Arial" w:cs="Arial" w:eastAsia="Arial" w:hAnsi="Arial"/>
          <w:sz w:val="21"/>
          <w:szCs w:val="21"/>
          <w:color w:val="auto"/>
        </w:rPr>
        <w:t>.</w:t>
      </w:r>
    </w:p>
    <w:p>
      <w:pPr>
        <w:spacing w:after="0" w:line="237" w:lineRule="exact"/>
        <w:rPr>
          <w:rFonts w:ascii="Arial" w:cs="Arial" w:eastAsia="Arial" w:hAnsi="Arial"/>
          <w:sz w:val="21"/>
          <w:szCs w:val="21"/>
          <w:b w:val="1"/>
          <w:bCs w:val="1"/>
          <w:color w:val="auto"/>
        </w:rPr>
      </w:pPr>
    </w:p>
    <w:p>
      <w:pPr>
        <w:ind w:left="415" w:right="200"/>
        <w:spacing w:after="0" w:line="259" w:lineRule="auto"/>
        <w:rPr>
          <w:rFonts w:ascii="Arial" w:cs="Arial" w:eastAsia="Arial" w:hAnsi="Arial"/>
          <w:sz w:val="21"/>
          <w:szCs w:val="21"/>
          <w:b w:val="1"/>
          <w:bCs w:val="1"/>
          <w:color w:val="auto"/>
        </w:rPr>
      </w:pPr>
      <w:r>
        <w:rPr>
          <w:rFonts w:ascii="Arial" w:cs="Arial" w:eastAsia="Arial" w:hAnsi="Arial"/>
          <w:sz w:val="20"/>
          <w:szCs w:val="20"/>
          <w:color w:val="auto"/>
        </w:rPr>
        <w:t>Executives are subject to applicable federal and state laws and Company policy restricting trading on material non-public or “inside” information. These laws and rules may also limit the ability of an Executive to buy or sell Shares from time to time. Affiliates of the Company may also be subject to reporting obligations and potential “short-swing” profit liability under Section 16 of the Securities Exchange Act of 1934, as amended. Any resales of Shares by an affiliate</w:t>
      </w:r>
    </w:p>
    <w:p>
      <w:pPr>
        <w:spacing w:after="0" w:line="168" w:lineRule="exact"/>
        <w:rPr>
          <w:sz w:val="20"/>
          <w:szCs w:val="20"/>
          <w:color w:val="auto"/>
        </w:rPr>
      </w:pPr>
    </w:p>
    <w:p>
      <w:pPr>
        <w:jc w:val="center"/>
        <w:ind w:right="-74"/>
        <w:spacing w:after="0"/>
        <w:rPr>
          <w:sz w:val="20"/>
          <w:szCs w:val="20"/>
          <w:color w:val="auto"/>
        </w:rPr>
      </w:pPr>
      <w:r>
        <w:rPr>
          <w:rFonts w:ascii="Arial" w:cs="Arial" w:eastAsia="Arial" w:hAnsi="Arial"/>
          <w:sz w:val="19"/>
          <w:szCs w:val="19"/>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7804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5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155"/>
          </w:cols>
          <w:pgMar w:left="325" w:top="986" w:right="419" w:bottom="1440" w:gutter="0" w:footer="0" w:header="0"/>
        </w:sectPr>
      </w:pPr>
    </w:p>
    <w:bookmarkStart w:id="128" w:name="page129"/>
    <w:bookmarkEnd w:id="128"/>
    <w:p>
      <w:pPr>
        <w:ind w:left="415" w:right="660"/>
        <w:spacing w:after="0" w:line="260" w:lineRule="auto"/>
        <w:rPr>
          <w:sz w:val="20"/>
          <w:szCs w:val="20"/>
          <w:color w:val="auto"/>
        </w:rPr>
      </w:pPr>
      <w:r>
        <w:rPr>
          <w:rFonts w:ascii="Arial" w:cs="Arial" w:eastAsia="Arial" w:hAnsi="Arial"/>
          <w:sz w:val="21"/>
          <w:szCs w:val="21"/>
          <w:color w:val="auto"/>
        </w:rPr>
        <w:t>must typically be made in accordance with the volume, manner of sale, notice and other requirements of Rule 144 of the Securities Act of 1933, as amended.</w:t>
      </w:r>
    </w:p>
    <w:p>
      <w:pPr>
        <w:spacing w:after="0" w:line="187" w:lineRule="exact"/>
        <w:rPr>
          <w:sz w:val="20"/>
          <w:szCs w:val="20"/>
          <w:color w:val="auto"/>
        </w:rPr>
      </w:pPr>
    </w:p>
    <w:p>
      <w:pPr>
        <w:ind w:left="415" w:right="460"/>
        <w:spacing w:after="0" w:line="260" w:lineRule="auto"/>
        <w:rPr>
          <w:sz w:val="20"/>
          <w:szCs w:val="20"/>
          <w:color w:val="auto"/>
        </w:rPr>
      </w:pPr>
      <w:r>
        <w:rPr>
          <w:rFonts w:ascii="Arial" w:cs="Arial" w:eastAsia="Arial" w:hAnsi="Arial"/>
          <w:sz w:val="21"/>
          <w:szCs w:val="21"/>
          <w:color w:val="auto"/>
        </w:rPr>
        <w:t>Compliance with these Ownership Guidelines is in addition to, not in lieu of, compliance with any other applicable laws or Company policies.</w:t>
      </w:r>
    </w:p>
    <w:p>
      <w:pPr>
        <w:spacing w:after="0" w:line="181" w:lineRule="exact"/>
        <w:rPr>
          <w:sz w:val="20"/>
          <w:szCs w:val="20"/>
          <w:color w:val="auto"/>
        </w:rPr>
      </w:pPr>
    </w:p>
    <w:p>
      <w:pPr>
        <w:ind w:left="415" w:hanging="415"/>
        <w:spacing w:after="0"/>
        <w:tabs>
          <w:tab w:leader="none" w:pos="415"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 Modification and Interpretation</w:t>
      </w:r>
      <w:r>
        <w:rPr>
          <w:rFonts w:ascii="Arial" w:cs="Arial" w:eastAsia="Arial" w:hAnsi="Arial"/>
          <w:sz w:val="21"/>
          <w:szCs w:val="21"/>
          <w:color w:val="auto"/>
        </w:rPr>
        <w:t>.</w:t>
      </w:r>
    </w:p>
    <w:p>
      <w:pPr>
        <w:spacing w:after="0" w:line="237" w:lineRule="exact"/>
        <w:rPr>
          <w:rFonts w:ascii="Arial" w:cs="Arial" w:eastAsia="Arial" w:hAnsi="Arial"/>
          <w:sz w:val="21"/>
          <w:szCs w:val="21"/>
          <w:b w:val="1"/>
          <w:bCs w:val="1"/>
          <w:color w:val="auto"/>
        </w:rPr>
      </w:pPr>
    </w:p>
    <w:p>
      <w:pPr>
        <w:ind w:left="415" w:right="540"/>
        <w:spacing w:after="0" w:line="247" w:lineRule="auto"/>
        <w:rPr>
          <w:rFonts w:ascii="Arial" w:cs="Arial" w:eastAsia="Arial" w:hAnsi="Arial"/>
          <w:sz w:val="21"/>
          <w:szCs w:val="21"/>
          <w:b w:val="1"/>
          <w:bCs w:val="1"/>
          <w:color w:val="auto"/>
        </w:rPr>
      </w:pPr>
      <w:r>
        <w:rPr>
          <w:rFonts w:ascii="Arial" w:cs="Arial" w:eastAsia="Arial" w:hAnsi="Arial"/>
          <w:sz w:val="21"/>
          <w:szCs w:val="21"/>
          <w:color w:val="auto"/>
        </w:rPr>
        <w:t>The Committee shall be responsible for monitoring the application of these Ownership Guidelines. The Committee may delegate ministerial administrative duties to one or more officers or employees of the Company, as determined in its sole discretion.</w:t>
      </w:r>
    </w:p>
    <w:p>
      <w:pPr>
        <w:spacing w:after="0" w:line="200" w:lineRule="exact"/>
        <w:rPr>
          <w:rFonts w:ascii="Arial" w:cs="Arial" w:eastAsia="Arial" w:hAnsi="Arial"/>
          <w:sz w:val="21"/>
          <w:szCs w:val="21"/>
          <w:b w:val="1"/>
          <w:bCs w:val="1"/>
          <w:color w:val="auto"/>
        </w:rPr>
      </w:pPr>
    </w:p>
    <w:p>
      <w:pPr>
        <w:ind w:left="415" w:right="80"/>
        <w:spacing w:after="0" w:line="260" w:lineRule="auto"/>
        <w:rPr>
          <w:rFonts w:ascii="Arial" w:cs="Arial" w:eastAsia="Arial" w:hAnsi="Arial"/>
          <w:sz w:val="21"/>
          <w:szCs w:val="21"/>
          <w:b w:val="1"/>
          <w:bCs w:val="1"/>
          <w:color w:val="auto"/>
        </w:rPr>
      </w:pPr>
      <w:r>
        <w:rPr>
          <w:rFonts w:ascii="Arial" w:cs="Arial" w:eastAsia="Arial" w:hAnsi="Arial"/>
          <w:sz w:val="21"/>
          <w:szCs w:val="21"/>
          <w:color w:val="auto"/>
        </w:rPr>
        <w:t>At least annually, management shall provide the Committee with a report on the status of each Executive’s compliance with the Ownership Guidelines.</w:t>
      </w:r>
    </w:p>
    <w:p>
      <w:pPr>
        <w:spacing w:after="0" w:line="186" w:lineRule="exact"/>
        <w:rPr>
          <w:rFonts w:ascii="Arial" w:cs="Arial" w:eastAsia="Arial" w:hAnsi="Arial"/>
          <w:sz w:val="21"/>
          <w:szCs w:val="21"/>
          <w:b w:val="1"/>
          <w:bCs w:val="1"/>
          <w:color w:val="auto"/>
        </w:rPr>
      </w:pPr>
    </w:p>
    <w:p>
      <w:pPr>
        <w:ind w:left="415" w:right="80"/>
        <w:spacing w:after="0" w:line="260" w:lineRule="auto"/>
        <w:rPr>
          <w:rFonts w:ascii="Arial" w:cs="Arial" w:eastAsia="Arial" w:hAnsi="Arial"/>
          <w:sz w:val="21"/>
          <w:szCs w:val="21"/>
          <w:b w:val="1"/>
          <w:bCs w:val="1"/>
          <w:color w:val="auto"/>
        </w:rPr>
      </w:pPr>
      <w:r>
        <w:rPr>
          <w:rFonts w:ascii="Arial" w:cs="Arial" w:eastAsia="Arial" w:hAnsi="Arial"/>
          <w:sz w:val="21"/>
          <w:szCs w:val="21"/>
          <w:color w:val="auto"/>
        </w:rPr>
        <w:t>The Committee reserves the right to interpret, change, amend, modify or terminate these Ownership Guidelines at any time and from time to time, as determined in its sole discretion.</w:t>
      </w:r>
    </w:p>
    <w:p>
      <w:pPr>
        <w:spacing w:after="0" w:line="371" w:lineRule="exact"/>
        <w:rPr>
          <w:sz w:val="20"/>
          <w:szCs w:val="20"/>
          <w:color w:val="auto"/>
        </w:rPr>
      </w:pPr>
    </w:p>
    <w:p>
      <w:pPr>
        <w:jc w:val="center"/>
        <w:ind w:left="340"/>
        <w:spacing w:after="0" w:line="260" w:lineRule="auto"/>
        <w:rPr>
          <w:sz w:val="20"/>
          <w:szCs w:val="20"/>
          <w:color w:val="auto"/>
        </w:rPr>
      </w:pPr>
      <w:r>
        <w:rPr>
          <w:rFonts w:ascii="Arial" w:cs="Arial" w:eastAsia="Arial" w:hAnsi="Arial"/>
          <w:sz w:val="21"/>
          <w:szCs w:val="21"/>
          <w:i w:val="1"/>
          <w:iCs w:val="1"/>
          <w:color w:val="auto"/>
        </w:rPr>
        <w:t>Adopted by the Compensation, Talent and Culture Committee on December 10, 2018, as amended on April 30, 2019 and January 25, 2022</w:t>
      </w:r>
    </w:p>
    <w:p>
      <w:pPr>
        <w:spacing w:after="0" w:line="296" w:lineRule="exact"/>
        <w:rPr>
          <w:sz w:val="20"/>
          <w:szCs w:val="20"/>
          <w:color w:val="auto"/>
        </w:rPr>
      </w:pPr>
    </w:p>
    <w:p>
      <w:pPr>
        <w:jc w:val="center"/>
        <w:ind w:right="-14"/>
        <w:spacing w:after="0"/>
        <w:rPr>
          <w:sz w:val="20"/>
          <w:szCs w:val="20"/>
          <w:color w:val="auto"/>
        </w:rPr>
      </w:pPr>
      <w:r>
        <w:rPr>
          <w:rFonts w:ascii="Arial" w:cs="Arial" w:eastAsia="Arial" w:hAnsi="Arial"/>
          <w:sz w:val="19"/>
          <w:szCs w:val="19"/>
          <w:color w:val="auto"/>
        </w:rPr>
        <w:t>Page 4</w:t>
      </w:r>
    </w:p>
    <w:p>
      <w:pPr>
        <w:sectPr>
          <w:pgSz w:w="11900" w:h="16838" w:orient="portrait"/>
          <w:cols w:equalWidth="0" w:num="1">
            <w:col w:w="11215"/>
          </w:cols>
          <w:pgMar w:left="325" w:top="775" w:right="3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10.24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AWARD AGREEMENT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RESTRICTED STOCK UNITS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MSCI INC. 2016 OMNIBUS INCENTIVE PLAN</w:t>
      </w:r>
    </w:p>
    <w:p>
      <w:pPr>
        <w:spacing w:after="0" w:line="200" w:lineRule="exact"/>
        <w:rPr>
          <w:sz w:val="20"/>
          <w:szCs w:val="20"/>
          <w:color w:val="auto"/>
        </w:rPr>
      </w:pP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MSCI Inc. (“</w:t>
      </w:r>
      <w:r>
        <w:rPr>
          <w:rFonts w:ascii="Arial" w:cs="Arial" w:eastAsia="Arial" w:hAnsi="Arial"/>
          <w:sz w:val="18"/>
          <w:szCs w:val="18"/>
          <w:b w:val="1"/>
          <w:bCs w:val="1"/>
          <w:color w:val="auto"/>
        </w:rPr>
        <w:t>MSCI</w:t>
      </w:r>
      <w:r>
        <w:rPr>
          <w:rFonts w:ascii="Arial" w:cs="Arial" w:eastAsia="Arial" w:hAnsi="Arial"/>
          <w:sz w:val="18"/>
          <w:szCs w:val="18"/>
          <w:color w:val="auto"/>
        </w:rPr>
        <w:t>,” together with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 hereby grants to you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as described below. The awards are being granted under the MSCI Inc. 2016 Omnibus Incentive Plan (as may be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ectPr>
          <w:pgSz w:w="11900" w:h="16838" w:orient="portrait"/>
          <w:cols w:equalWidth="0" w:num="1">
            <w:col w:w="11240"/>
          </w:cols>
          <w:pgMar w:left="320" w:top="331" w:right="3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ectPr>
          <w:pgSz w:w="11900" w:h="16838" w:orient="portrait"/>
          <w:cols w:equalWidth="0" w:num="2">
            <w:col w:w="2220" w:space="720"/>
            <w:col w:w="8300"/>
          </w:cols>
          <w:pgMar w:left="320" w:top="331"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RSUs Granted: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RSUs</w:t>
      </w:r>
    </w:p>
    <w:p>
      <w:pPr>
        <w:spacing w:after="0" w:line="200" w:lineRule="exact"/>
        <w:rPr>
          <w:sz w:val="20"/>
          <w:szCs w:val="20"/>
          <w:color w:val="auto"/>
        </w:rPr>
      </w:pPr>
    </w:p>
    <w:p>
      <w:pPr>
        <w:sectPr>
          <w:pgSz w:w="11900" w:h="16838" w:orient="portrait"/>
          <w:cols w:equalWidth="0" w:num="2">
            <w:col w:w="2220" w:space="720"/>
            <w:col w:w="8300"/>
          </w:cols>
          <w:pgMar w:left="320" w:top="331"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20" w:space="720"/>
            <w:col w:w="8300"/>
          </w:cols>
          <w:pgMar w:left="320" w:top="331"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20" w:space="720"/>
            <w:col w:w="8300"/>
          </w:cols>
          <w:pgMar w:left="320" w:top="331" w:right="339" w:bottom="1440" w:gutter="0" w:footer="0" w:header="0"/>
          <w:type w:val="continuous"/>
        </w:sectPr>
      </w:pPr>
    </w:p>
    <w:p>
      <w:pPr>
        <w:spacing w:after="0" w:line="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Your RSUs may be subject to forfeiture or recoupment if you terminate employment with the Company, or fail to affirmatively accept the terms of this Award Agreement by [•] or do not comply with the notice requirements, as set forth in the Plan and this Restricted Stock Unit Award Agreement (including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as applicable, this “</w:t>
      </w:r>
      <w:r>
        <w:rPr>
          <w:rFonts w:ascii="Arial" w:cs="Arial" w:eastAsia="Arial" w:hAnsi="Arial"/>
          <w:sz w:val="18"/>
          <w:szCs w:val="18"/>
          <w:b w:val="1"/>
          <w:bCs w:val="1"/>
          <w:color w:val="auto"/>
        </w:rPr>
        <w:t>Award Agreement</w:t>
      </w:r>
      <w:r>
        <w:rPr>
          <w:rFonts w:ascii="Arial" w:cs="Arial" w:eastAsia="Arial" w:hAnsi="Arial"/>
          <w:sz w:val="18"/>
          <w:szCs w:val="18"/>
          <w:color w:val="auto"/>
        </w:rPr>
        <w:t>”).</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You agree that this Award Agreement is granted under the Plan and governed by the terms and conditions of the Plan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as applicable. RSUs granted to you pursuant to this Award Agreement and any Shares issued in settlement or satisfaction thereof may be subject to the MSCI Inc. Clawback Policy and any stock ownership guidelines of MSCI (including applicable retention requirements thereunder), as may be in effect from time to time, if on or after the Grant Date you are or become covered by such policies, as determined in accordance with the terms of such policies. You will be able 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 WITNESS WHEREOF, MSCI has duly executed and delivered this Award Agreement as of the Grant Date.</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455930</wp:posOffset>
            </wp:positionV>
            <wp:extent cx="24536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56">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1108075</wp:posOffset>
            </wp:positionV>
            <wp:extent cx="717804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5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2022 RESTRICTED STOCK UNIT AWARD AGREEMENT</w:t>
      </w:r>
    </w:p>
    <w:p>
      <w:pPr>
        <w:spacing w:after="0" w:line="200" w:lineRule="exact"/>
        <w:rPr>
          <w:sz w:val="20"/>
          <w:szCs w:val="20"/>
          <w:color w:val="auto"/>
        </w:rPr>
      </w:pPr>
    </w:p>
    <w:p>
      <w:pPr>
        <w:spacing w:after="0" w:line="230" w:lineRule="exact"/>
        <w:rPr>
          <w:sz w:val="20"/>
          <w:szCs w:val="20"/>
          <w:color w:val="auto"/>
        </w:rPr>
      </w:pPr>
    </w:p>
    <w:p>
      <w:pPr>
        <w:jc w:val="both"/>
        <w:ind w:firstLine="936"/>
        <w:spacing w:after="0" w:line="290" w:lineRule="auto"/>
        <w:rPr>
          <w:sz w:val="20"/>
          <w:szCs w:val="20"/>
          <w:color w:val="auto"/>
        </w:rPr>
      </w:pPr>
      <w:r>
        <w:rPr>
          <w:rFonts w:ascii="Arial" w:cs="Arial" w:eastAsia="Arial" w:hAnsi="Arial"/>
          <w:sz w:val="16"/>
          <w:szCs w:val="16"/>
          <w:color w:val="auto"/>
        </w:rPr>
        <w:t>Section 1. RSUs Generally. MSCI has awarded you RSUs as an incentive for you to continue to provide services to the Company and to align your interests with those of the Company. As such, you will earn your RSUs only if you remain in continuous employment with the Company through the Vesting Date, or as otherwise set forth below. Each RSU corresponds to one share of MSCI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Each RSU constitutes a contingent and unsecured promise by MSCI to deliver one Share on the conversion date for such RSU.</w:t>
      </w:r>
    </w:p>
    <w:p>
      <w:pPr>
        <w:spacing w:after="0" w:line="162"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color w:val="auto"/>
        </w:rPr>
        <w:t>Vesting, Conversion and HSR Act.</w:t>
      </w:r>
    </w:p>
    <w:p>
      <w:pPr>
        <w:spacing w:after="0" w:line="214" w:lineRule="exact"/>
        <w:rPr>
          <w:sz w:val="20"/>
          <w:szCs w:val="20"/>
          <w:color w:val="auto"/>
        </w:rPr>
      </w:pPr>
    </w:p>
    <w:p>
      <w:pPr>
        <w:jc w:val="both"/>
        <w:ind w:firstLine="941"/>
        <w:spacing w:after="0" w:line="299" w:lineRule="auto"/>
        <w:tabs>
          <w:tab w:leader="none" w:pos="1761"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Vesting. </w:t>
      </w:r>
      <w:r>
        <w:rPr>
          <w:rFonts w:ascii="Arial" w:cs="Arial" w:eastAsia="Arial" w:hAnsi="Arial"/>
          <w:sz w:val="16"/>
          <w:szCs w:val="16"/>
          <w:color w:val="auto"/>
        </w:rPr>
        <w:t>Your RSUs shall vest [•]; provided that, subject to Section 4 and Section 5, you continue to be employed by the Company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Vesting Date; provided, further, that you have complied with all applicable provisions of the HSR Act. For purposes of this Award Agreement, the [•] vesting period between the Grant Date and the Vesting Date shall be referred to herein as the “</w:t>
      </w:r>
      <w:r>
        <w:rPr>
          <w:rFonts w:ascii="Arial" w:cs="Arial" w:eastAsia="Arial" w:hAnsi="Arial"/>
          <w:sz w:val="16"/>
          <w:szCs w:val="16"/>
          <w:b w:val="1"/>
          <w:bCs w:val="1"/>
          <w:color w:val="auto"/>
        </w:rPr>
        <w:t>Vesting Period</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780" w:hanging="839"/>
        <w:spacing w:after="0"/>
        <w:tabs>
          <w:tab w:leader="none" w:pos="1780"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Conversion. </w:t>
      </w:r>
      <w:r>
        <w:rPr>
          <w:rFonts w:ascii="Arial" w:cs="Arial" w:eastAsia="Arial" w:hAnsi="Arial"/>
          <w:sz w:val="15"/>
          <w:szCs w:val="15"/>
          <w:color w:val="auto"/>
        </w:rPr>
        <w:t>Vested RSUs shall convert into Shares on the Vesting Date or as soon as reasonably practicable, but in no event later than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30 days thereafter</w:t>
      </w:r>
      <w:r>
        <w:rPr>
          <w:rFonts w:ascii="Arial" w:cs="Arial" w:eastAsia="Arial" w:hAnsi="Arial"/>
          <w:sz w:val="18"/>
          <w:szCs w:val="18"/>
          <w:i w:val="1"/>
          <w:iCs w:val="1"/>
          <w:color w:val="auto"/>
        </w:rPr>
        <w:t>.</w:t>
      </w:r>
    </w:p>
    <w:p>
      <w:pPr>
        <w:spacing w:after="0" w:line="201" w:lineRule="exact"/>
        <w:rPr>
          <w:rFonts w:ascii="Arial" w:cs="Arial" w:eastAsia="Arial" w:hAnsi="Arial"/>
          <w:sz w:val="15"/>
          <w:szCs w:val="15"/>
          <w:color w:val="auto"/>
        </w:rPr>
      </w:pPr>
    </w:p>
    <w:p>
      <w:pPr>
        <w:jc w:val="both"/>
        <w:ind w:firstLine="941"/>
        <w:spacing w:after="0" w:line="252" w:lineRule="auto"/>
        <w:tabs>
          <w:tab w:leader="none" w:pos="176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HSR Act. </w:t>
      </w:r>
      <w:r>
        <w:rPr>
          <w:rFonts w:ascii="Arial" w:cs="Arial" w:eastAsia="Arial" w:hAnsi="Arial"/>
          <w:sz w:val="18"/>
          <w:szCs w:val="18"/>
          <w:color w:val="auto"/>
        </w:rPr>
        <w:t>If unvested RSUs would have vested pursuant to this Section 2, Section 4 or Section 5(b), but did not vest solely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you were not in compliance with all applicable provisions of the HSR Act, subject to Section 409A, the vesting date for such RSUs shall occur on the first date following the date on which you have complied with all applicable provisions of the HSR Act.</w:t>
      </w:r>
    </w:p>
    <w:p>
      <w:pPr>
        <w:spacing w:after="0" w:line="189" w:lineRule="exact"/>
        <w:rPr>
          <w:rFonts w:ascii="Arial" w:cs="Arial" w:eastAsia="Arial" w:hAnsi="Arial"/>
          <w:sz w:val="18"/>
          <w:szCs w:val="18"/>
          <w:color w:val="auto"/>
        </w:rPr>
      </w:pPr>
    </w:p>
    <w:p>
      <w:pPr>
        <w:jc w:val="both"/>
        <w:ind w:firstLine="941"/>
        <w:spacing w:after="0" w:line="281" w:lineRule="auto"/>
        <w:tabs>
          <w:tab w:leader="none" w:pos="1771"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Stock Ownership Guidelines and Retention Requirements. </w:t>
      </w:r>
      <w:r>
        <w:rPr>
          <w:rFonts w:ascii="Arial" w:cs="Arial" w:eastAsia="Arial" w:hAnsi="Arial"/>
          <w:sz w:val="16"/>
          <w:szCs w:val="16"/>
          <w:color w:val="auto"/>
        </w:rPr>
        <w:t>To the extent that you are subject to MSCI’s Stock Ownership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Ownership Guidelines</w:t>
      </w:r>
      <w:r>
        <w:rPr>
          <w:rFonts w:ascii="Arial" w:cs="Arial" w:eastAsia="Arial" w:hAnsi="Arial"/>
          <w:sz w:val="16"/>
          <w:szCs w:val="16"/>
          <w:color w:val="auto"/>
        </w:rPr>
        <w:t>”) as of the Grant Date, the Shares (or any applicable portion thereof) issuable to you upon the settlement of the RSUs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 foregoing, to the extent you are as of the Grant Date, or become following the Grant Date, subject to the Ownership Guidelines, you agree and acknowledge that the Shares issuable to you upon the settlement of the RSUs shall be subject to the other terms and conditions (including other applicable retention requirements) under the Ownership Guidelines, as may be in effect from time to time. You agree and acknowledge that that a copy of the Ownership Guidelines has been previously made available to you and that you understand and acknowledge the terms of such Ownership Guidelines and the terms of this Section 2(d).</w:t>
      </w:r>
    </w:p>
    <w:p>
      <w:pPr>
        <w:spacing w:after="0" w:line="169" w:lineRule="exact"/>
        <w:rPr>
          <w:sz w:val="20"/>
          <w:szCs w:val="20"/>
          <w:color w:val="auto"/>
        </w:rPr>
      </w:pPr>
    </w:p>
    <w:p>
      <w:pPr>
        <w:jc w:val="both"/>
        <w:ind w:firstLine="936"/>
        <w:spacing w:after="0" w:line="279" w:lineRule="auto"/>
        <w:rPr>
          <w:sz w:val="20"/>
          <w:szCs w:val="20"/>
          <w:color w:val="auto"/>
        </w:rPr>
      </w:pPr>
      <w:r>
        <w:rPr>
          <w:rFonts w:ascii="Arial" w:cs="Arial" w:eastAsia="Arial" w:hAnsi="Arial"/>
          <w:sz w:val="16"/>
          <w:szCs w:val="16"/>
          <w:color w:val="auto"/>
        </w:rPr>
        <w:t>Section 3. Dividend Equivalent Payments. Until your RSUs convert to Shares, if MSCI pays a dividend on Shares, you will be entitled to a dividend equivalent payment in the same amount as the dividend you would have received if you held Shares for your vested and unvested RSUs immediately prior to the record date. No dividend equivalents will be paid to you with respect to any canceled or forfeited RSUs. MSCI will decide on the form of payment and may pay dividend equivalents in Shares, in cash or in a combination thereof, unless otherwise provided in Exhibit C. MSCI will pay the dividend equivalent when it pays the corresponding dividend on its common stock or on the next regularly scheduled payroll date. The gross amount of any dividend equivalents paid to you with respect to RSUs that do not vest and convert to Shares shall be subject to potential recoupment or payback (such recoupment or payback of dividend equivalents, the “</w:t>
      </w:r>
      <w:r>
        <w:rPr>
          <w:rFonts w:ascii="Arial" w:cs="Arial" w:eastAsia="Arial" w:hAnsi="Arial"/>
          <w:sz w:val="16"/>
          <w:szCs w:val="16"/>
          <w:b w:val="1"/>
          <w:bCs w:val="1"/>
          <w:color w:val="auto"/>
        </w:rPr>
        <w:t>Clawback</w:t>
      </w:r>
      <w:r>
        <w:rPr>
          <w:rFonts w:ascii="Arial" w:cs="Arial" w:eastAsia="Arial" w:hAnsi="Arial"/>
          <w:sz w:val="16"/>
          <w:szCs w:val="16"/>
          <w:color w:val="auto"/>
        </w:rPr>
        <w:t>”) following the cancellation or forfeiture of the underlying RSUs. You consent to the Company’s implementation and enforcement of the Clawback and expressly agree that MSCI may take such actions as are necessary to effectuate the Clawback consistent with applicable law. If, within a reasonable period, you do not tender repayment of the dividend equivalents in response to demand for repayment, MSCI may seek a court order against you or take any other actions as are necessary to effectuate the Clawback.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231140</wp:posOffset>
            </wp:positionV>
            <wp:extent cx="717804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5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ind w:left="940"/>
        <w:spacing w:after="0"/>
        <w:tabs>
          <w:tab w:leader="none" w:pos="22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Termination of Employment.  Upon termination of employment with the Company prior to the Vesting Date pursuant to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Section 4, the following special vesting and payment terms will apply to your unvested RSUs:</w:t>
      </w:r>
    </w:p>
    <w:p>
      <w:pPr>
        <w:spacing w:after="0" w:line="202" w:lineRule="exact"/>
        <w:rPr>
          <w:sz w:val="20"/>
          <w:szCs w:val="20"/>
          <w:color w:val="auto"/>
        </w:rPr>
      </w:pPr>
    </w:p>
    <w:p>
      <w:pPr>
        <w:jc w:val="both"/>
        <w:ind w:firstLine="941"/>
        <w:spacing w:after="0" w:line="299" w:lineRule="auto"/>
        <w:tabs>
          <w:tab w:leader="none" w:pos="1761"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Termination of Employment Due to Death or Disability. If your employment with the Company terminates due to death or Disability, your RSUs will immediately vest and convert into Shares on the date of termination of your employment or within 30 days thereafter. Such Shares shall be delivered to the beneficiary(ies) you have designated pursuant to Section 10 or the legal representative of your estate, as applicable.</w:t>
      </w:r>
    </w:p>
    <w:p>
      <w:pPr>
        <w:spacing w:after="0" w:line="153" w:lineRule="exact"/>
        <w:rPr>
          <w:rFonts w:ascii="Arial" w:cs="Arial" w:eastAsia="Arial" w:hAnsi="Arial"/>
          <w:sz w:val="16"/>
          <w:szCs w:val="16"/>
          <w:color w:val="auto"/>
        </w:rPr>
      </w:pPr>
    </w:p>
    <w:p>
      <w:pPr>
        <w:jc w:val="both"/>
        <w:ind w:firstLine="941"/>
        <w:spacing w:after="0" w:line="279" w:lineRule="auto"/>
        <w:tabs>
          <w:tab w:leader="none" w:pos="1771"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Involuntary Termination of Employment by the Company Prior to 62/10 Retirement Eligibility. In the event of an involuntary termination of your employment by the Company without Cause prior to 62/10 Retirement Eligibility, provided that you execute and do not revoke an agreement and release of claims satisfactory to the Company, which will contain, inter alia, confidentiality, non-compete (if applicable), non-solicitation and non-disparagement covenants substantially in the form set forth in Sections 1, 2, as applicable, 3 and 4 of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(provided that in accordance with Section 6, the non-compete shall apply only to those Participants who are (x) Retirement Eligible Participants or (y) Managing Directors), within 60 days following termination of your employment, you will be entitled to receive a pro-rated portion of your unvested RSUs equal to the product of (i) the total number of RSUs granted to you pursuant to this Award Agreement multiplied by (ii) the quotient of (A) the total number of months you were employed with the Company during the Vesting Period (rounding up partial months) divided by (B) 36. Such pro-rated RSUs will vest and convert into Shares on the Vesting Date in accordance with Section 2. Any unvested RSUs that do not vest and convert into Shares in accordance with this Section 4(b) shall be forfeited in their entirety. Notwithstanding anything to the contrary herein, in the event of a termination of your employment as described in this Section 4(b), pursuant to Section 6, you may still be bound by, and must comply with, the restrictive covenants set forth in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as applicable.</w:t>
      </w:r>
    </w:p>
    <w:p>
      <w:pPr>
        <w:spacing w:after="0" w:line="170" w:lineRule="exact"/>
        <w:rPr>
          <w:rFonts w:ascii="Arial" w:cs="Arial" w:eastAsia="Arial" w:hAnsi="Arial"/>
          <w:sz w:val="16"/>
          <w:szCs w:val="16"/>
          <w:color w:val="auto"/>
        </w:rPr>
      </w:pPr>
    </w:p>
    <w:p>
      <w:pPr>
        <w:jc w:val="both"/>
        <w:ind w:firstLine="941"/>
        <w:spacing w:after="0" w:line="281" w:lineRule="auto"/>
        <w:tabs>
          <w:tab w:leader="none" w:pos="1761"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Involuntary Termination of Employment by the Company Following 62/10 Retirement Eligibility. In the event of an involuntary termination of your employment by the Company without Cause following 62/10 Retirement Eligibility, provided that you execute and do not revoke an agreement and release of claims satisfactory to the Company, which will contain, inter alia, confidentiality, non-compete (if applicable), non-solicitation and non-disparagement covenants substantially in the form set forth in Sections 1, 2 (as applicable), 3 and 4 of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(provided that in accordance with Section 6, the non-compete shall apply only to those Participants who are (x) Retirement Eligible Participants or (y) Managing Directors), within 60 days following termination of your employment, your unvested RSUs will fully vest and convert into Shares on the Vesting Date in accordance with Section 2. Notwithstanding anything to the contrary herein, in the event of a termination of your employment as described in this Section 4(c), pursuant to Section 6, you may still be bound by, and must comply with, the restrictive covenants set forth in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as applicable.</w:t>
      </w:r>
    </w:p>
    <w:p>
      <w:pPr>
        <w:spacing w:after="0" w:line="169" w:lineRule="exact"/>
        <w:rPr>
          <w:rFonts w:ascii="Arial" w:cs="Arial" w:eastAsia="Arial" w:hAnsi="Arial"/>
          <w:sz w:val="16"/>
          <w:szCs w:val="16"/>
          <w:color w:val="auto"/>
        </w:rPr>
      </w:pPr>
    </w:p>
    <w:p>
      <w:pPr>
        <w:jc w:val="both"/>
        <w:ind w:firstLine="941"/>
        <w:spacing w:after="0" w:line="290" w:lineRule="auto"/>
        <w:tabs>
          <w:tab w:leader="none" w:pos="1771"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Retirement Terminations. In the event of your applicable Retirement Termination, your unvested RSUs shall be eligible for the treatment specified below; provided that (x) you are in compliance with the Notice Requirements and all of the restrictive covenants set forth in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in each case, as of the Vesting Date and (y) you execute and do not revoke an agreement and release of claims satisfactory to the Company, which will contain restrictive covenants substantially in the form as those set forth in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within 60 days following termination of your employment.</w:t>
      </w:r>
    </w:p>
    <w:p>
      <w:pPr>
        <w:spacing w:after="0" w:line="162" w:lineRule="exact"/>
        <w:rPr>
          <w:rFonts w:ascii="Arial" w:cs="Arial" w:eastAsia="Arial" w:hAnsi="Arial"/>
          <w:sz w:val="16"/>
          <w:szCs w:val="16"/>
          <w:color w:val="auto"/>
        </w:rPr>
      </w:pPr>
    </w:p>
    <w:p>
      <w:pPr>
        <w:jc w:val="both"/>
        <w:ind w:left="940" w:firstLine="859"/>
        <w:spacing w:after="0" w:line="248" w:lineRule="auto"/>
        <w:tabs>
          <w:tab w:leader="none" w:pos="25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In the event of your Legacy Retirement Termination or 55/10 Retirement Termination, you will be entitled to receive a pro-rated portion of your unvested RSUs equal to the product of (x) the total number of RSUs granted to you pursuant to this Award Agreement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(y) the quotient of (A) the total number of months you were employed with the Company during the Vesting Period (rounding 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partial months)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36. Such pro-rated RSUs will vest and convert into Shares on the Vesting Date in accordance with Section 2. Any unvested RSUs that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5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do not vest and convert into Shares in accordance with this Section 4(d)(i) shall be forfeited in their entirety</w:t>
      </w:r>
    </w:p>
    <w:p>
      <w:pPr>
        <w:spacing w:after="0" w:line="214" w:lineRule="exact"/>
        <w:rPr>
          <w:sz w:val="20"/>
          <w:szCs w:val="20"/>
          <w:color w:val="auto"/>
        </w:rPr>
      </w:pPr>
    </w:p>
    <w:p>
      <w:pPr>
        <w:ind w:firstLine="859"/>
        <w:spacing w:after="0" w:line="261" w:lineRule="auto"/>
        <w:tabs>
          <w:tab w:leader="none" w:pos="170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of your 62/10 Retirement Termination, your unvested RSUs will fully vest and convert into Shares on the Vesting Date in accordance with Section 2.</w:t>
      </w:r>
    </w:p>
    <w:p>
      <w:pPr>
        <w:spacing w:after="0" w:line="180" w:lineRule="exact"/>
        <w:rPr>
          <w:rFonts w:ascii="Arial" w:cs="Arial" w:eastAsia="Arial" w:hAnsi="Arial"/>
          <w:sz w:val="18"/>
          <w:szCs w:val="18"/>
          <w:color w:val="auto"/>
        </w:rPr>
      </w:pPr>
    </w:p>
    <w:p>
      <w:pPr>
        <w:ind w:firstLine="859"/>
        <w:spacing w:after="0" w:line="324" w:lineRule="auto"/>
        <w:tabs>
          <w:tab w:leader="none" w:pos="17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In consideration of the treatment of your unvested RSUs upon your Retirement Termination as set forth in this Section 4(d), you agree to be bound by, and to comply with, all of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Award Agreement.</w:t>
      </w:r>
    </w:p>
    <w:p>
      <w:pPr>
        <w:spacing w:after="0" w:line="134" w:lineRule="exact"/>
        <w:rPr>
          <w:rFonts w:ascii="Arial" w:cs="Arial" w:eastAsia="Arial" w:hAnsi="Arial"/>
          <w:sz w:val="16"/>
          <w:szCs w:val="16"/>
          <w:color w:val="auto"/>
        </w:rPr>
      </w:pPr>
    </w:p>
    <w:p>
      <w:pPr>
        <w:jc w:val="both"/>
        <w:ind w:firstLine="859"/>
        <w:spacing w:after="0" w:line="299" w:lineRule="auto"/>
        <w:tabs>
          <w:tab w:leader="none" w:pos="174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following chart provides a summary overview of the treatment of your awards upon a Retirement Termination, as set forth in Sections 4(d)(i) and (ii). This summary chart is qualified in its entirety by the terms of Sections 4(d)(i) and (ii). In the event of any inconsistency between the terms of the below chart and Sections 4(d)(i) and (ii), the terms of Sections 4(d)(i) and (ii) shall prevail.</w:t>
      </w:r>
    </w:p>
    <w:p>
      <w:pPr>
        <w:spacing w:after="0" w:line="146" w:lineRule="exact"/>
        <w:rPr>
          <w:sz w:val="20"/>
          <w:szCs w:val="20"/>
          <w:color w:val="auto"/>
        </w:rPr>
      </w:pPr>
    </w:p>
    <w:tbl>
      <w:tblPr>
        <w:tblLayout w:type="fixed"/>
        <w:tblInd w:w="910" w:type="dxa"/>
        <w:tblCellMar>
          <w:top w:w="0" w:type="dxa"/>
          <w:left w:w="0" w:type="dxa"/>
          <w:bottom w:w="0" w:type="dxa"/>
          <w:right w:w="0" w:type="dxa"/>
        </w:tblCellMar>
      </w:tblPr>
      <w:tr>
        <w:trPr>
          <w:trHeight w:val="205"/>
        </w:trPr>
        <w:tc>
          <w:tcPr>
            <w:tcW w:w="1080" w:type="dxa"/>
            <w:vAlign w:val="bottom"/>
            <w:tcBorders>
              <w:top w:val="single" w:sz="8" w:color="auto"/>
              <w:left w:val="single" w:sz="8" w:color="auto"/>
              <w:right w:val="single" w:sz="8" w:color="auto"/>
            </w:tcBorders>
            <w:shd w:val="clear" w:color="auto" w:fill="D9D9D9"/>
          </w:tcPr>
          <w:p>
            <w:pPr>
              <w:spacing w:after="0"/>
              <w:rPr>
                <w:sz w:val="17"/>
                <w:szCs w:val="17"/>
                <w:color w:val="auto"/>
              </w:rPr>
            </w:pPr>
          </w:p>
        </w:tc>
        <w:tc>
          <w:tcPr>
            <w:tcW w:w="108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18"/>
                <w:szCs w:val="18"/>
                <w:b w:val="1"/>
                <w:bCs w:val="1"/>
                <w:color w:val="auto"/>
                <w:w w:val="87"/>
              </w:rPr>
              <w:t>Date on</w:t>
            </w:r>
          </w:p>
        </w:tc>
        <w:tc>
          <w:tcPr>
            <w:tcW w:w="542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shd w:val="clear" w:color="auto" w:fill="D9D9D9"/>
          </w:tcPr>
          <w:p>
            <w:pPr>
              <w:spacing w:after="0"/>
              <w:rPr>
                <w:sz w:val="18"/>
                <w:szCs w:val="18"/>
                <w:color w:val="auto"/>
              </w:rPr>
            </w:pPr>
          </w:p>
        </w:tc>
        <w:tc>
          <w:tcPr>
            <w:tcW w:w="10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Which Age</w:t>
            </w:r>
          </w:p>
        </w:tc>
        <w:tc>
          <w:tcPr>
            <w:tcW w:w="542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shd w:val="clear" w:color="auto" w:fill="D9D9D9"/>
          </w:tcPr>
          <w:p>
            <w:pPr>
              <w:spacing w:after="0"/>
              <w:rPr>
                <w:sz w:val="18"/>
                <w:szCs w:val="18"/>
                <w:color w:val="auto"/>
              </w:rPr>
            </w:pPr>
          </w:p>
        </w:tc>
        <w:tc>
          <w:tcPr>
            <w:tcW w:w="10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and Service</w:t>
            </w:r>
          </w:p>
        </w:tc>
        <w:tc>
          <w:tcPr>
            <w:tcW w:w="542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Age and</w:t>
            </w:r>
          </w:p>
        </w:tc>
        <w:tc>
          <w:tcPr>
            <w:tcW w:w="10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Requirements</w:t>
            </w:r>
          </w:p>
        </w:tc>
        <w:tc>
          <w:tcPr>
            <w:tcW w:w="542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4"/>
              </w:rPr>
              <w:t>Service</w:t>
            </w:r>
          </w:p>
        </w:tc>
        <w:tc>
          <w:tcPr>
            <w:tcW w:w="10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Must be</w:t>
            </w:r>
          </w:p>
        </w:tc>
        <w:tc>
          <w:tcPr>
            <w:tcW w:w="542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Requirements</w:t>
            </w:r>
          </w:p>
        </w:tc>
        <w:tc>
          <w:tcPr>
            <w:tcW w:w="1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Satisfied</w:t>
            </w:r>
          </w:p>
        </w:tc>
        <w:tc>
          <w:tcPr>
            <w:tcW w:w="5420" w:type="dxa"/>
            <w:vAlign w:val="bottom"/>
            <w:tcBorders>
              <w:bottom w:val="single" w:sz="8" w:color="auto"/>
              <w:right w:val="single" w:sz="8" w:color="auto"/>
            </w:tcBorders>
            <w:shd w:val="clear" w:color="auto" w:fill="D9D9D9"/>
          </w:tcPr>
          <w:p>
            <w:pPr>
              <w:ind w:left="2300"/>
              <w:spacing w:after="0"/>
              <w:rPr>
                <w:sz w:val="20"/>
                <w:szCs w:val="20"/>
                <w:color w:val="auto"/>
              </w:rPr>
            </w:pPr>
            <w:r>
              <w:rPr>
                <w:rFonts w:ascii="Arial" w:cs="Arial" w:eastAsia="Arial" w:hAnsi="Arial"/>
                <w:sz w:val="18"/>
                <w:szCs w:val="18"/>
                <w:b w:val="1"/>
                <w:bCs w:val="1"/>
                <w:color w:val="auto"/>
              </w:rPr>
              <w:t>Treatment</w:t>
            </w:r>
          </w:p>
        </w:tc>
        <w:tc>
          <w:tcPr>
            <w:tcW w:w="0" w:type="dxa"/>
            <w:vAlign w:val="bottom"/>
          </w:tcPr>
          <w:p>
            <w:pPr>
              <w:spacing w:after="0"/>
              <w:rPr>
                <w:sz w:val="1"/>
                <w:szCs w:val="1"/>
                <w:color w:val="auto"/>
              </w:rPr>
            </w:pPr>
          </w:p>
        </w:tc>
      </w:tr>
      <w:tr>
        <w:trPr>
          <w:trHeight w:val="191"/>
        </w:trPr>
        <w:tc>
          <w:tcPr>
            <w:tcW w:w="108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Legacy</w:t>
            </w:r>
          </w:p>
        </w:tc>
        <w:tc>
          <w:tcPr>
            <w:tcW w:w="1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December 31,</w:t>
            </w:r>
          </w:p>
        </w:tc>
        <w:tc>
          <w:tcPr>
            <w:tcW w:w="5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Retirement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2014</w:t>
            </w:r>
          </w:p>
        </w:tc>
        <w:tc>
          <w:tcPr>
            <w:tcW w:w="5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Eligibility</w:t>
            </w:r>
          </w:p>
        </w:tc>
        <w:tc>
          <w:tcPr>
            <w:tcW w:w="108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(see definition</w:t>
            </w:r>
          </w:p>
        </w:tc>
        <w:tc>
          <w:tcPr>
            <w:tcW w:w="108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 prorated portion of your unvested RSUs will vest as follows: (i) the total</w:t>
            </w: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4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number of RSUs granted to you pursuant to this Award Agreement</w:t>
            </w: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of “Legacy</w:t>
            </w:r>
          </w:p>
        </w:tc>
        <w:tc>
          <w:tcPr>
            <w:tcW w:w="1080" w:type="dxa"/>
            <w:vAlign w:val="bottom"/>
            <w:tcBorders>
              <w:right w:val="single" w:sz="8" w:color="auto"/>
            </w:tcBorders>
          </w:tcPr>
          <w:p>
            <w:pPr>
              <w:spacing w:after="0"/>
              <w:rPr>
                <w:sz w:val="9"/>
                <w:szCs w:val="9"/>
                <w:color w:val="auto"/>
              </w:rPr>
            </w:pPr>
          </w:p>
        </w:tc>
        <w:tc>
          <w:tcPr>
            <w:tcW w:w="5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4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i w:val="1"/>
                <w:iCs w:val="1"/>
                <w:color w:val="auto"/>
                <w:w w:val="94"/>
              </w:rPr>
              <w:t xml:space="preserve">multiplied by </w:t>
            </w:r>
            <w:r>
              <w:rPr>
                <w:rFonts w:ascii="Arial" w:cs="Arial" w:eastAsia="Arial" w:hAnsi="Arial"/>
                <w:sz w:val="18"/>
                <w:szCs w:val="18"/>
                <w:color w:val="auto"/>
                <w:w w:val="94"/>
              </w:rPr>
              <w:t>(ii) the quotient of (a) the total number of months you were</w:t>
            </w: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Retirement</w:t>
            </w:r>
          </w:p>
        </w:tc>
        <w:tc>
          <w:tcPr>
            <w:tcW w:w="1080" w:type="dxa"/>
            <w:vAlign w:val="bottom"/>
            <w:tcBorders>
              <w:right w:val="single" w:sz="8" w:color="auto"/>
            </w:tcBorders>
          </w:tcPr>
          <w:p>
            <w:pPr>
              <w:spacing w:after="0"/>
              <w:rPr>
                <w:sz w:val="9"/>
                <w:szCs w:val="9"/>
                <w:color w:val="auto"/>
              </w:rPr>
            </w:pPr>
          </w:p>
        </w:tc>
        <w:tc>
          <w:tcPr>
            <w:tcW w:w="5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4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0"/>
              </w:rPr>
              <w:t>employed with the Company during the Vesting Period (rounding up partial</w:t>
            </w: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Eligibility”)</w:t>
            </w:r>
          </w:p>
        </w:tc>
        <w:tc>
          <w:tcPr>
            <w:tcW w:w="1080" w:type="dxa"/>
            <w:vAlign w:val="bottom"/>
            <w:tcBorders>
              <w:right w:val="single" w:sz="8" w:color="auto"/>
            </w:tcBorders>
          </w:tcPr>
          <w:p>
            <w:pPr>
              <w:spacing w:after="0"/>
              <w:rPr>
                <w:sz w:val="9"/>
                <w:szCs w:val="9"/>
                <w:color w:val="auto"/>
              </w:rPr>
            </w:pPr>
          </w:p>
        </w:tc>
        <w:tc>
          <w:tcPr>
            <w:tcW w:w="5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0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54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3"/>
              </w:rPr>
              <w:t xml:space="preserve">months) </w:t>
            </w:r>
            <w:r>
              <w:rPr>
                <w:rFonts w:ascii="Arial" w:cs="Arial" w:eastAsia="Arial" w:hAnsi="Arial"/>
                <w:sz w:val="18"/>
                <w:szCs w:val="18"/>
                <w:i w:val="1"/>
                <w:iCs w:val="1"/>
                <w:color w:val="auto"/>
                <w:w w:val="93"/>
              </w:rPr>
              <w:t>divided by</w:t>
            </w:r>
            <w:r>
              <w:rPr>
                <w:rFonts w:ascii="Arial" w:cs="Arial" w:eastAsia="Arial" w:hAnsi="Arial"/>
                <w:sz w:val="18"/>
                <w:szCs w:val="18"/>
                <w:color w:val="auto"/>
                <w:w w:val="93"/>
              </w:rPr>
              <w:t xml:space="preserve"> (b) 36. The pro-rated RSUs will vest and convert into</w:t>
            </w:r>
          </w:p>
        </w:tc>
        <w:tc>
          <w:tcPr>
            <w:tcW w:w="0" w:type="dxa"/>
            <w:vAlign w:val="bottom"/>
          </w:tcPr>
          <w:p>
            <w:pPr>
              <w:spacing w:after="0"/>
              <w:rPr>
                <w:sz w:val="1"/>
                <w:szCs w:val="1"/>
                <w:color w:val="auto"/>
              </w:rPr>
            </w:pPr>
          </w:p>
        </w:tc>
      </w:tr>
      <w:tr>
        <w:trPr>
          <w:trHeight w:val="73"/>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Age 55 and 10</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December 31,</w:t>
            </w:r>
          </w:p>
        </w:tc>
        <w:tc>
          <w:tcPr>
            <w:tcW w:w="54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080" w:type="dxa"/>
            <w:vAlign w:val="bottom"/>
            <w:tcBorders>
              <w:left w:val="single" w:sz="8" w:color="auto"/>
              <w:right w:val="single" w:sz="8" w:color="auto"/>
            </w:tcBorders>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54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Shares on the Vesting Date in accordance with Section 2.</w:t>
            </w:r>
          </w:p>
        </w:tc>
        <w:tc>
          <w:tcPr>
            <w:tcW w:w="0" w:type="dxa"/>
            <w:vAlign w:val="bottom"/>
          </w:tcPr>
          <w:p>
            <w:pPr>
              <w:spacing w:after="0"/>
              <w:rPr>
                <w:sz w:val="1"/>
                <w:szCs w:val="1"/>
                <w:color w:val="auto"/>
              </w:rPr>
            </w:pPr>
          </w:p>
        </w:tc>
      </w:tr>
      <w:tr>
        <w:trPr>
          <w:trHeight w:val="158"/>
        </w:trPr>
        <w:tc>
          <w:tcPr>
            <w:tcW w:w="108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8"/>
                <w:szCs w:val="18"/>
                <w:color w:val="auto"/>
                <w:w w:val="87"/>
              </w:rPr>
              <w:t>years of</w:t>
            </w:r>
          </w:p>
        </w:tc>
        <w:tc>
          <w:tcPr>
            <w:tcW w:w="10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8"/>
                <w:szCs w:val="18"/>
                <w:color w:val="auto"/>
                <w:w w:val="84"/>
              </w:rPr>
              <w:t>2019</w:t>
            </w:r>
          </w:p>
        </w:tc>
        <w:tc>
          <w:tcPr>
            <w:tcW w:w="5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service</w:t>
            </w:r>
          </w:p>
        </w:tc>
        <w:tc>
          <w:tcPr>
            <w:tcW w:w="108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Any remaining unvested RSUs shall be forfeited.</w:t>
            </w:r>
          </w:p>
        </w:tc>
        <w:tc>
          <w:tcPr>
            <w:tcW w:w="0" w:type="dxa"/>
            <w:vAlign w:val="bottom"/>
          </w:tcPr>
          <w:p>
            <w:pPr>
              <w:spacing w:after="0"/>
              <w:rPr>
                <w:sz w:val="1"/>
                <w:szCs w:val="1"/>
                <w:color w:val="auto"/>
              </w:rPr>
            </w:pPr>
          </w:p>
        </w:tc>
      </w:tr>
      <w:tr>
        <w:trPr>
          <w:trHeight w:val="92"/>
        </w:trPr>
        <w:tc>
          <w:tcPr>
            <w:tcW w:w="1080" w:type="dxa"/>
            <w:vAlign w:val="bottom"/>
            <w:tcBorders>
              <w:left w:val="single" w:sz="8" w:color="auto"/>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5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(see definition</w:t>
            </w:r>
          </w:p>
        </w:tc>
        <w:tc>
          <w:tcPr>
            <w:tcW w:w="108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of “55/10</w:t>
            </w:r>
          </w:p>
        </w:tc>
        <w:tc>
          <w:tcPr>
            <w:tcW w:w="1080" w:type="dxa"/>
            <w:vAlign w:val="bottom"/>
            <w:tcBorders>
              <w:right w:val="single" w:sz="8" w:color="auto"/>
            </w:tcBorders>
          </w:tcPr>
          <w:p>
            <w:pPr>
              <w:spacing w:after="0"/>
              <w:rPr>
                <w:sz w:val="18"/>
                <w:szCs w:val="18"/>
                <w:color w:val="auto"/>
              </w:rPr>
            </w:pPr>
          </w:p>
        </w:tc>
        <w:tc>
          <w:tcPr>
            <w:tcW w:w="5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Retirement</w:t>
            </w:r>
          </w:p>
        </w:tc>
        <w:tc>
          <w:tcPr>
            <w:tcW w:w="1080" w:type="dxa"/>
            <w:vAlign w:val="bottom"/>
            <w:tcBorders>
              <w:right w:val="single" w:sz="8" w:color="auto"/>
            </w:tcBorders>
          </w:tcPr>
          <w:p>
            <w:pPr>
              <w:spacing w:after="0"/>
              <w:rPr>
                <w:sz w:val="18"/>
                <w:szCs w:val="18"/>
                <w:color w:val="auto"/>
              </w:rPr>
            </w:pPr>
          </w:p>
        </w:tc>
        <w:tc>
          <w:tcPr>
            <w:tcW w:w="5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Eligibility”)</w:t>
            </w:r>
          </w:p>
        </w:tc>
        <w:tc>
          <w:tcPr>
            <w:tcW w:w="10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8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87"/>
              </w:rPr>
              <w:t>Age 62 and 10</w:t>
            </w:r>
          </w:p>
        </w:tc>
        <w:tc>
          <w:tcPr>
            <w:tcW w:w="1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87"/>
              </w:rPr>
              <w:t>Vesting Date</w:t>
            </w:r>
          </w:p>
        </w:tc>
        <w:tc>
          <w:tcPr>
            <w:tcW w:w="542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w w:val="90"/>
              </w:rPr>
              <w:t>All of your unvested RSUs will vest and convert into Shares on the Vesting</w:t>
            </w: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years of</w:t>
            </w:r>
          </w:p>
        </w:tc>
        <w:tc>
          <w:tcPr>
            <w:tcW w:w="1080" w:type="dxa"/>
            <w:vAlign w:val="bottom"/>
            <w:tcBorders>
              <w:right w:val="single" w:sz="8" w:color="auto"/>
            </w:tcBorders>
          </w:tcPr>
          <w:p>
            <w:pPr>
              <w:spacing w:after="0"/>
              <w:rPr>
                <w:sz w:val="18"/>
                <w:szCs w:val="18"/>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Date in accordance with Section 2.</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service</w:t>
            </w:r>
          </w:p>
        </w:tc>
        <w:tc>
          <w:tcPr>
            <w:tcW w:w="108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(see definition</w:t>
            </w:r>
          </w:p>
        </w:tc>
        <w:tc>
          <w:tcPr>
            <w:tcW w:w="108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 “62/10</w:t>
            </w:r>
          </w:p>
        </w:tc>
        <w:tc>
          <w:tcPr>
            <w:tcW w:w="1080" w:type="dxa"/>
            <w:vAlign w:val="bottom"/>
            <w:tcBorders>
              <w:right w:val="single" w:sz="8" w:color="auto"/>
            </w:tcBorders>
          </w:tcPr>
          <w:p>
            <w:pPr>
              <w:spacing w:after="0"/>
              <w:rPr>
                <w:sz w:val="18"/>
                <w:szCs w:val="18"/>
                <w:color w:val="auto"/>
              </w:rPr>
            </w:pPr>
          </w:p>
        </w:tc>
        <w:tc>
          <w:tcPr>
            <w:tcW w:w="5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Retirement</w:t>
            </w:r>
          </w:p>
        </w:tc>
        <w:tc>
          <w:tcPr>
            <w:tcW w:w="1080" w:type="dxa"/>
            <w:vAlign w:val="bottom"/>
            <w:tcBorders>
              <w:right w:val="single" w:sz="8" w:color="auto"/>
            </w:tcBorders>
          </w:tcPr>
          <w:p>
            <w:pPr>
              <w:spacing w:after="0"/>
              <w:rPr>
                <w:sz w:val="18"/>
                <w:szCs w:val="18"/>
                <w:color w:val="auto"/>
              </w:rPr>
            </w:pPr>
          </w:p>
        </w:tc>
        <w:tc>
          <w:tcPr>
            <w:tcW w:w="5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Eligibility”)</w:t>
            </w:r>
          </w:p>
        </w:tc>
        <w:tc>
          <w:tcPr>
            <w:tcW w:w="108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20" w:hanging="819"/>
        <w:spacing w:after="0"/>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Other Resignations from Employment. All other resignations from employment must comply with the Notice Requirements.</w:t>
      </w:r>
    </w:p>
    <w:p>
      <w:pPr>
        <w:spacing w:after="0" w:line="236" w:lineRule="exact"/>
        <w:rPr>
          <w:rFonts w:ascii="Arial" w:cs="Arial" w:eastAsia="Arial" w:hAnsi="Arial"/>
          <w:sz w:val="16"/>
          <w:szCs w:val="16"/>
          <w:color w:val="auto"/>
        </w:rPr>
      </w:pPr>
    </w:p>
    <w:p>
      <w:pPr>
        <w:ind w:firstLine="859"/>
        <w:spacing w:after="0" w:line="324" w:lineRule="auto"/>
        <w:tabs>
          <w:tab w:leader="none" w:pos="1654"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you resign from your employment with the Company under circumstances which are not in accordance with the provisions above in this Section 4, you will forfeit any RSUs that have not vested as of your last day of employment with the Company; and</w:t>
      </w:r>
    </w:p>
    <w:p>
      <w:pPr>
        <w:spacing w:after="0" w:line="134" w:lineRule="exact"/>
        <w:rPr>
          <w:rFonts w:ascii="Arial" w:cs="Arial" w:eastAsia="Arial" w:hAnsi="Arial"/>
          <w:sz w:val="16"/>
          <w:szCs w:val="16"/>
          <w:color w:val="auto"/>
        </w:rPr>
      </w:pPr>
    </w:p>
    <w:p>
      <w:pPr>
        <w:jc w:val="both"/>
        <w:ind w:firstLine="859"/>
        <w:spacing w:after="0" w:line="249" w:lineRule="auto"/>
        <w:tabs>
          <w:tab w:leader="none" w:pos="1703"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If, prior to a Vesting Date, you give MSCI notice of your intention to resign from your employment with the Company as of a date following such Vesting Date, your RSUs will vest and settle in accordance with Section 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you do not subsequently comply with the Notice Requirements, the Committee may, in its discretion, require that the gross cash value of the RSUs delivered to you in accordance with this Section 4(e)(ii) be subject to recoupment or payback.</w:t>
      </w:r>
    </w:p>
    <w:p>
      <w:pPr>
        <w:spacing w:after="0" w:line="394"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498475</wp:posOffset>
            </wp:positionV>
            <wp:extent cx="717804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6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300"/>
          </w:cols>
          <w:pgMar w:left="1260" w:top="337" w:right="339" w:bottom="1440" w:gutter="0" w:footer="0" w:header="0"/>
        </w:sectPr>
      </w:pPr>
    </w:p>
    <w:bookmarkStart w:id="133" w:name="page134"/>
    <w:bookmarkEnd w:id="133"/>
    <w:p>
      <w:pPr>
        <w:jc w:val="both"/>
        <w:spacing w:after="0" w:line="248" w:lineRule="auto"/>
        <w:rPr>
          <w:sz w:val="20"/>
          <w:szCs w:val="20"/>
          <w:color w:val="auto"/>
        </w:rPr>
      </w:pPr>
      <w:r>
        <w:rPr>
          <w:rFonts w:ascii="Arial" w:cs="Arial" w:eastAsia="Arial" w:hAnsi="Arial"/>
          <w:sz w:val="18"/>
          <w:szCs w:val="18"/>
          <w:color w:val="auto"/>
        </w:rPr>
        <w:t>For the avoidance of doubt, (A) revocation of a notice of intention to resign may, in the Company’s sole discretion or if required to comply with Section 409A, be deemed to be noncompliant with the Notice Requirements and, in connection with such revocation, your RSUs may be forfeited and (iii) if, after you have given notice of your intention to resign or retire, as applicable, from your employment with the Company, the Company involuntarily terminates your employment without Cause prior to the expiration of your notice period, your outstanding RSUs will be treated in accordance with Section 4(b) or 4(c), as applicable.</w:t>
      </w:r>
    </w:p>
    <w:p>
      <w:pPr>
        <w:spacing w:after="0" w:line="19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Notwithstanding anything to the contrary contained herein, the unvested RSUs shall only vest pursuant to this Section 4 provided that you have complied with all applicable provisions of the HSR Act.</w:t>
      </w:r>
    </w:p>
    <w:p>
      <w:pPr>
        <w:spacing w:after="0" w:line="181" w:lineRule="exact"/>
        <w:rPr>
          <w:sz w:val="20"/>
          <w:szCs w:val="20"/>
          <w:color w:val="auto"/>
        </w:rPr>
      </w:pPr>
    </w:p>
    <w:p>
      <w:pPr>
        <w:jc w:val="both"/>
        <w:ind w:firstLine="941"/>
        <w:spacing w:after="0" w:line="279" w:lineRule="auto"/>
        <w:tabs>
          <w:tab w:leader="none" w:pos="1742"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Unless otherwise provided in Section 4 or Section 5(b), your employment relationship will be considered</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as of the date you are no longer actively providing services to the Company, for any reason, regardless of whether your services were terminated by you or by the Company or your applicable employer and voluntarily or involuntarily (whether or not later found to be invalid or in breach of employment laws in the jurisdiction where you are employed or the terms of your employment agreement, if any), and such date will not be extended by any notice period (i.e., your period of employment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RSUs (including whether you may still be considered to be providing services while (i)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your employment for purposes of your RSUs).</w:t>
      </w:r>
    </w:p>
    <w:p>
      <w:pPr>
        <w:spacing w:after="0" w:line="171"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Change in Control.</w:t>
      </w:r>
    </w:p>
    <w:p>
      <w:pPr>
        <w:spacing w:after="0" w:line="214" w:lineRule="exact"/>
        <w:rPr>
          <w:sz w:val="20"/>
          <w:szCs w:val="20"/>
          <w:color w:val="auto"/>
        </w:rPr>
      </w:pPr>
    </w:p>
    <w:p>
      <w:pPr>
        <w:jc w:val="both"/>
        <w:ind w:firstLine="941"/>
        <w:spacing w:after="0" w:line="286" w:lineRule="auto"/>
        <w:tabs>
          <w:tab w:leader="none" w:pos="1761"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General. In the event of a Change in Control, the Committee, in its sole discretion, may provide for (i) the continuation or assumption of your outstanding RSUs under the Plan by the Company (if it is the surviving corporation) or by the surviving corporation or its parent, in which case your RSUs will continue to be subject to the terms of this Award Agreement, or (i) the lapse of restrictions relating to and the settlement of your outstanding RSUs immediately prior to such Change in Control in the event a buyer will not continue or assume the RSUs. Following a Change in Control in which your outstanding RSUs are continued or assumed pursuant to clause (i) above, such RSUs may be settled in cash, Shares or a combination thereof.</w:t>
      </w:r>
    </w:p>
    <w:p>
      <w:pPr>
        <w:spacing w:after="0" w:line="165" w:lineRule="exact"/>
        <w:rPr>
          <w:rFonts w:ascii="Arial" w:cs="Arial" w:eastAsia="Arial" w:hAnsi="Arial"/>
          <w:sz w:val="16"/>
          <w:szCs w:val="16"/>
          <w:color w:val="auto"/>
        </w:rPr>
      </w:pPr>
    </w:p>
    <w:p>
      <w:pPr>
        <w:jc w:val="both"/>
        <w:ind w:firstLine="941"/>
        <w:spacing w:after="0" w:line="284" w:lineRule="auto"/>
        <w:tabs>
          <w:tab w:leader="none" w:pos="1771"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Qualifying Termination. In the event of a Qualifying Termination (as defined below), your RSUs will vest and convert into Shares within 60 days following such Qualifying Termination. If such 60-day period begins in one taxable year and ends in a subsequent taxable year, such vesting and conversion shall occur in the second taxable year. “</w:t>
      </w:r>
      <w:r>
        <w:rPr>
          <w:rFonts w:ascii="Arial" w:cs="Arial" w:eastAsia="Arial" w:hAnsi="Arial"/>
          <w:sz w:val="16"/>
          <w:szCs w:val="16"/>
          <w:b w:val="1"/>
          <w:bCs w:val="1"/>
          <w:i w:val="1"/>
          <w:iCs w:val="1"/>
          <w:color w:val="auto"/>
        </w:rPr>
        <w:t>Qualifying Termination</w:t>
      </w:r>
      <w:r>
        <w:rPr>
          <w:rFonts w:ascii="Arial" w:cs="Arial" w:eastAsia="Arial" w:hAnsi="Arial"/>
          <w:sz w:val="16"/>
          <w:szCs w:val="16"/>
          <w:i w:val="1"/>
          <w:iCs w:val="1"/>
          <w:color w:val="auto"/>
        </w:rPr>
        <w:t>” means a termination of employment by the Company without Cause or by you for Good Reason (which shall be deemed an involuntary termination of employment by the Company without Cause), in each case within 24 months following the effective date of the Change in Control in which the RSUs are continued or assumed. Notwithstanding anything to the contrary contained herein, the unvested RSUs shall only vest pursuant to this Section 5(b) provided that you have complied with all applicable provisions of the HSR Act.</w:t>
      </w:r>
    </w:p>
    <w:p>
      <w:pPr>
        <w:spacing w:after="0" w:line="166"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color w:val="auto"/>
        </w:rPr>
        <w:t>Restrictive Covenants.</w:t>
      </w:r>
    </w:p>
    <w:p>
      <w:pPr>
        <w:spacing w:after="0" w:line="214" w:lineRule="exact"/>
        <w:rPr>
          <w:sz w:val="20"/>
          <w:szCs w:val="20"/>
          <w:color w:val="auto"/>
        </w:rPr>
      </w:pPr>
    </w:p>
    <w:p>
      <w:pPr>
        <w:ind w:firstLine="941"/>
        <w:spacing w:after="0" w:line="261" w:lineRule="auto"/>
        <w:tabs>
          <w:tab w:leader="none" w:pos="1761"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Managing Directors and Retirement Eligible Participants. This Section 6(a) is only applicable to Participants who are (x) Retirement Eligible Participants (as defined below) whose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6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4" w:name="page135"/>
    <w:bookmarkEnd w:id="134"/>
    <w:p>
      <w:pPr>
        <w:jc w:val="both"/>
        <w:spacing w:after="0" w:line="280" w:lineRule="auto"/>
        <w:rPr>
          <w:sz w:val="20"/>
          <w:szCs w:val="20"/>
          <w:color w:val="auto"/>
        </w:rPr>
      </w:pPr>
      <w:r>
        <w:rPr>
          <w:rFonts w:ascii="Arial" w:cs="Arial" w:eastAsia="Arial" w:hAnsi="Arial"/>
          <w:sz w:val="16"/>
          <w:szCs w:val="16"/>
          <w:i w:val="1"/>
          <w:iCs w:val="1"/>
          <w:color w:val="auto"/>
        </w:rPr>
        <w:t xml:space="preserve">employment with the Company terminates pursuant to Section 4(c) or Section 4(d), as applicable, or (y) Managing Directors as of the Grant Date, including those who are terminated pursuant to any of the termination events described in Section 4. In consideration of the grant of RSUs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In the event you violate any of the restrictive covenants set forth in </w:t>
      </w:r>
      <w:r>
        <w:rPr>
          <w:rFonts w:ascii="Arial" w:cs="Arial" w:eastAsia="Arial" w:hAnsi="Arial"/>
          <w:sz w:val="16"/>
          <w:szCs w:val="16"/>
          <w:i w:val="1"/>
          <w:iCs w:val="1"/>
          <w:u w:val="single" w:color="auto"/>
          <w:color w:val="auto"/>
        </w:rPr>
        <w:t>Exhibit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B</w:t>
      </w:r>
      <w:r>
        <w:rPr>
          <w:rFonts w:ascii="Arial" w:cs="Arial" w:eastAsia="Arial" w:hAnsi="Arial"/>
          <w:sz w:val="16"/>
          <w:szCs w:val="16"/>
          <w:i w:val="1"/>
          <w:iCs w:val="1"/>
          <w:color w:val="auto"/>
        </w:rPr>
        <w:t xml:space="preserve">, (a) prior to or on the Vesting Date, you will forfeit the RSUs outstanding as of the date of such violation or (b) after the final Vesting Date, but prior to or on the expiry date of the restrictive covenants set forth in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you will promptly deliver to the Company all Shares acquired upon conversion of the RSUs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w:t>
      </w:r>
    </w:p>
    <w:p>
      <w:pPr>
        <w:spacing w:after="0" w:line="171" w:lineRule="exact"/>
        <w:rPr>
          <w:sz w:val="20"/>
          <w:szCs w:val="20"/>
          <w:color w:val="auto"/>
        </w:rPr>
      </w:pPr>
    </w:p>
    <w:p>
      <w:pPr>
        <w:jc w:val="both"/>
        <w:ind w:firstLine="941"/>
        <w:spacing w:after="0" w:line="280" w:lineRule="auto"/>
        <w:tabs>
          <w:tab w:leader="none" w:pos="1771"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All Other Participants. In the case of all Participants other than those described in Section 6(a), in consideration of the grant of RSUs under this Award Agreement, as well as all other awards granted by the Company to you under the Plan, and in consideration of the economic benefits derivable by you therefrom, you agree to be bound by, and to comply with, the restrictive covenants set forth in Sections 1, 3 and 4 of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In the event you violate any of the restrictive covenants set forth in Sections 1, 3 or 4 of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(a) prior to or on the Vesting Date, you will forfeit the RSUs outstanding as of the date of such violation or (b) after the final Vesting Date, but prior to or on the expiry date of the restrictive covenants set forth in Sections 1, 3 and 4 of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you will promptly deliver to the Company all Shares acquired upon conversion of the RSUs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Sections 1, 3 or 4 of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w:t>
      </w:r>
    </w:p>
    <w:p>
      <w:pPr>
        <w:spacing w:after="0" w:line="171" w:lineRule="exact"/>
        <w:rPr>
          <w:sz w:val="20"/>
          <w:szCs w:val="20"/>
          <w:color w:val="auto"/>
        </w:rPr>
      </w:pPr>
    </w:p>
    <w:p>
      <w:pPr>
        <w:jc w:val="both"/>
        <w:ind w:firstLine="936"/>
        <w:spacing w:after="0" w:line="247" w:lineRule="auto"/>
        <w:rPr>
          <w:sz w:val="20"/>
          <w:szCs w:val="20"/>
          <w:color w:val="auto"/>
        </w:rPr>
      </w:pPr>
      <w:r>
        <w:rPr>
          <w:rFonts w:ascii="Arial" w:cs="Arial" w:eastAsia="Arial" w:hAnsi="Arial"/>
          <w:sz w:val="18"/>
          <w:szCs w:val="18"/>
          <w:color w:val="auto"/>
        </w:rPr>
        <w:t>Section 7. Cancellation of Awards. Notwithstanding any other terms of this Award Agreement, your RSUs will be canceled prior to 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upon a termination of your employment by you or by the Company for any reason, any of your RSUs that have not vested pursuant to Section 2 as of the date of your termination of employment with the Company will be canceled and forfeited in full as of such date.</w:t>
      </w:r>
    </w:p>
    <w:p>
      <w:pPr>
        <w:spacing w:after="0" w:line="194" w:lineRule="exact"/>
        <w:rPr>
          <w:sz w:val="20"/>
          <w:szCs w:val="20"/>
          <w:color w:val="auto"/>
        </w:rPr>
      </w:pPr>
    </w:p>
    <w:p>
      <w:pPr>
        <w:jc w:val="both"/>
        <w:ind w:firstLine="936"/>
        <w:spacing w:after="0" w:line="281" w:lineRule="auto"/>
        <w:rPr>
          <w:sz w:val="20"/>
          <w:szCs w:val="20"/>
          <w:color w:val="auto"/>
        </w:rPr>
      </w:pPr>
      <w:r>
        <w:rPr>
          <w:rFonts w:ascii="Arial" w:cs="Arial" w:eastAsia="Arial" w:hAnsi="Arial"/>
          <w:sz w:val="16"/>
          <w:szCs w:val="16"/>
          <w:color w:val="auto"/>
        </w:rPr>
        <w:t>Section 8. Tax and Other Withholding Obligations. Pursuant to Section 15(d) of the Plan and the rules and procedures that the Committee may establish from time to time, tax or other withholding obligations arising upon vesting and conversion (as applicable) of your RSUs may be satisfied, in the Committee’s sole discretion, by having MSCI withhold Shares, tendering Shares or by having MSCI withhold cash if MSCI provides for a cash withholding option, in each case in an amount necessary to satisfy the tax or other withholding obligations. Shares withheld or tendered will be valued using the Fair Market Value of the Shares on the date your RSUs convert. In order to comply with applicable accounting standards or the Company’s policies in effect from time to time, the Committee may limit the amount of Shares that you may have withheld or that you may tender. You acknowledge that, if you are subject to Tax-Related Items (as defined below) in more than one jurisdiction, the Company (including any former employer) may be required to withhold or account for Tax-Related Items in more than one jurisdiction.</w:t>
      </w:r>
    </w:p>
    <w:p>
      <w:pPr>
        <w:spacing w:after="0" w:line="169"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Section 9. Nontransferability. You may not Transfer your RSUs, or the Shares underlying your RSUs (or rights to the foregoing) (including the Covered Award Share Retention Requirements set forth therein, as in effect as of the Grant Date), including with respect to shares subject to the retention requirements under the Stock Ownership Guidelines, other than as provided in Section 10 or by will or the laws of descent and distribution or otherwise as provided for by the Committee.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6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5" w:name="page136"/>
    <w:bookmarkEnd w:id="135"/>
    <w:p>
      <w:pPr>
        <w:jc w:val="both"/>
        <w:ind w:firstLine="936"/>
        <w:spacing w:after="0" w:line="247" w:lineRule="auto"/>
        <w:rPr>
          <w:sz w:val="20"/>
          <w:szCs w:val="20"/>
          <w:color w:val="auto"/>
        </w:rPr>
      </w:pPr>
      <w:r>
        <w:rPr>
          <w:rFonts w:ascii="Arial" w:cs="Arial" w:eastAsia="Arial" w:hAnsi="Arial"/>
          <w:sz w:val="18"/>
          <w:szCs w:val="18"/>
          <w:color w:val="auto"/>
        </w:rPr>
        <w:t>Section 10. Designation of a Beneficiary.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 law rules. If there is any question as to the legal right of any beneficiary(ies)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94" w:lineRule="exact"/>
        <w:rPr>
          <w:sz w:val="20"/>
          <w:szCs w:val="20"/>
          <w:color w:val="auto"/>
        </w:rPr>
      </w:pPr>
    </w:p>
    <w:p>
      <w:pPr>
        <w:jc w:val="both"/>
        <w:ind w:firstLine="936"/>
        <w:spacing w:after="0" w:line="261" w:lineRule="auto"/>
        <w:rPr>
          <w:sz w:val="20"/>
          <w:szCs w:val="20"/>
          <w:color w:val="auto"/>
        </w:rPr>
      </w:pPr>
      <w:r>
        <w:rPr>
          <w:rFonts w:ascii="Arial" w:cs="Arial" w:eastAsia="Arial" w:hAnsi="Arial"/>
          <w:sz w:val="18"/>
          <w:szCs w:val="18"/>
          <w:color w:val="auto"/>
        </w:rPr>
        <w:t>Section 11. Ownership and Possession. Except as set forth herein, you will not have any rights as a stockholder in the Shares corresponding to your RSUs prior to conversion of your RSUs.</w:t>
      </w:r>
    </w:p>
    <w:p>
      <w:pPr>
        <w:spacing w:after="0" w:line="181" w:lineRule="exact"/>
        <w:rPr>
          <w:sz w:val="20"/>
          <w:szCs w:val="20"/>
          <w:color w:val="auto"/>
        </w:rPr>
      </w:pPr>
    </w:p>
    <w:p>
      <w:pPr>
        <w:jc w:val="both"/>
        <w:ind w:firstLine="936"/>
        <w:spacing w:after="0" w:line="299" w:lineRule="auto"/>
        <w:rPr>
          <w:sz w:val="20"/>
          <w:szCs w:val="20"/>
          <w:color w:val="auto"/>
        </w:rPr>
      </w:pPr>
      <w:r>
        <w:rPr>
          <w:rFonts w:ascii="Arial" w:cs="Arial" w:eastAsia="Arial" w:hAnsi="Arial"/>
          <w:sz w:val="16"/>
          <w:szCs w:val="16"/>
          <w:color w:val="auto"/>
        </w:rPr>
        <w:t>Section 12. Securities Law Compliance Matters. MSCI may, if it determines it is appropriate, affix any legend to the stock certificates representing Shares issued upon conversion of your RSUs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54" w:lineRule="exact"/>
        <w:rPr>
          <w:sz w:val="20"/>
          <w:szCs w:val="20"/>
          <w:color w:val="auto"/>
        </w:rPr>
      </w:pPr>
    </w:p>
    <w:p>
      <w:pPr>
        <w:jc w:val="both"/>
        <w:ind w:firstLine="936"/>
        <w:spacing w:after="0" w:line="248" w:lineRule="auto"/>
        <w:rPr>
          <w:sz w:val="20"/>
          <w:szCs w:val="20"/>
          <w:color w:val="auto"/>
        </w:rPr>
      </w:pPr>
      <w:r>
        <w:rPr>
          <w:rFonts w:ascii="Arial" w:cs="Arial" w:eastAsia="Arial" w:hAnsi="Arial"/>
          <w:sz w:val="18"/>
          <w:szCs w:val="18"/>
          <w:color w:val="auto"/>
        </w:rPr>
        <w:t>Section 13. Compliance with Laws and Regulations. Any sale, assignment, transfer, pledge, mortgage, encumbrance or other disposition of Shares issued upon conversion of your RSUs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92"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color w:val="auto"/>
        </w:rPr>
        <w:t>No Entitlements.</w:t>
      </w:r>
    </w:p>
    <w:p>
      <w:pPr>
        <w:spacing w:after="0" w:line="214" w:lineRule="exact"/>
        <w:rPr>
          <w:sz w:val="20"/>
          <w:szCs w:val="20"/>
          <w:color w:val="auto"/>
        </w:rPr>
      </w:pPr>
    </w:p>
    <w:p>
      <w:pPr>
        <w:ind w:firstLine="941"/>
        <w:spacing w:after="0" w:line="261" w:lineRule="auto"/>
        <w:tabs>
          <w:tab w:leader="none" w:pos="1761"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 Right to Continued Employment. This RSU award is not an employment agreement, and nothing in this Award Agreement or the Plan shall alter your status as an “at-will” employee of the Company.</w:t>
      </w:r>
    </w:p>
    <w:p>
      <w:pPr>
        <w:spacing w:after="0" w:line="180" w:lineRule="exact"/>
        <w:rPr>
          <w:rFonts w:ascii="Arial" w:cs="Arial" w:eastAsia="Arial" w:hAnsi="Arial"/>
          <w:sz w:val="18"/>
          <w:szCs w:val="18"/>
          <w:color w:val="auto"/>
        </w:rPr>
      </w:pPr>
    </w:p>
    <w:p>
      <w:pPr>
        <w:jc w:val="both"/>
        <w:ind w:firstLine="941"/>
        <w:spacing w:after="0" w:line="249" w:lineRule="auto"/>
        <w:tabs>
          <w:tab w:leader="none" w:pos="1771"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 Right to Future Awards. This award, and all other awards of RSUs and other equity-based awards, are discretionary. This award does not confer on you any right or entitlement to receive another award of RSUs or any other equity-based award at any time in the future or in respect of any future period. You agree that any release required under Section 4 of this Award Agreement is in exchange for the grant of RSUs hereunder, for which you have no current entitlement.</w:t>
      </w:r>
    </w:p>
    <w:p>
      <w:pPr>
        <w:spacing w:after="0" w:line="192" w:lineRule="exact"/>
        <w:rPr>
          <w:rFonts w:ascii="Arial" w:cs="Arial" w:eastAsia="Arial" w:hAnsi="Arial"/>
          <w:sz w:val="18"/>
          <w:szCs w:val="18"/>
          <w:color w:val="auto"/>
        </w:rPr>
      </w:pPr>
    </w:p>
    <w:p>
      <w:pPr>
        <w:jc w:val="both"/>
        <w:ind w:firstLine="941"/>
        <w:spacing w:after="0" w:line="299" w:lineRule="auto"/>
        <w:tabs>
          <w:tab w:leader="none" w:pos="1761"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No Effect on Future Employment Compensation. MSCI has made this award to you in its sole discretion. This award does not confer on you any right or entitlement to 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54" w:lineRule="exact"/>
        <w:rPr>
          <w:sz w:val="20"/>
          <w:szCs w:val="20"/>
          <w:color w:val="auto"/>
        </w:rPr>
      </w:pPr>
    </w:p>
    <w:p>
      <w:pPr>
        <w:jc w:val="both"/>
        <w:ind w:firstLine="936"/>
        <w:spacing w:after="0" w:line="299" w:lineRule="auto"/>
        <w:rPr>
          <w:sz w:val="20"/>
          <w:szCs w:val="20"/>
          <w:color w:val="auto"/>
        </w:rPr>
      </w:pPr>
      <w:r>
        <w:rPr>
          <w:rFonts w:ascii="Arial" w:cs="Arial" w:eastAsia="Arial" w:hAnsi="Arial"/>
          <w:sz w:val="16"/>
          <w:szCs w:val="16"/>
          <w:color w:val="auto"/>
        </w:rPr>
        <w:t>Section 15. No Advice Regarding Grant.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54" w:lineRule="exact"/>
        <w:rPr>
          <w:sz w:val="20"/>
          <w:szCs w:val="20"/>
          <w:color w:val="auto"/>
        </w:rPr>
      </w:pPr>
    </w:p>
    <w:p>
      <w:pPr>
        <w:jc w:val="both"/>
        <w:ind w:firstLine="936"/>
        <w:spacing w:after="0" w:line="261" w:lineRule="auto"/>
        <w:rPr>
          <w:sz w:val="20"/>
          <w:szCs w:val="20"/>
          <w:color w:val="auto"/>
        </w:rPr>
      </w:pPr>
      <w:r>
        <w:rPr>
          <w:rFonts w:ascii="Arial" w:cs="Arial" w:eastAsia="Arial" w:hAnsi="Arial"/>
          <w:sz w:val="18"/>
          <w:szCs w:val="18"/>
          <w:color w:val="auto"/>
        </w:rPr>
        <w:t>Section 16. Consents under Local Law. Your award is conditioned upon the making of all filings and the receipt of all consents or authorizations required to comply with, or to be obtained under, applicable local law.</w:t>
      </w:r>
    </w:p>
    <w:p>
      <w:pPr>
        <w:spacing w:after="0" w:line="181"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color w:val="auto"/>
        </w:rPr>
        <w:t>Award Modification and Section 409A.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6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6" w:name="page137"/>
    <w:bookmarkEnd w:id="136"/>
    <w:p>
      <w:pPr>
        <w:jc w:val="both"/>
        <w:ind w:firstLine="941"/>
        <w:spacing w:after="0" w:line="281" w:lineRule="auto"/>
        <w:tabs>
          <w:tab w:leader="none" w:pos="1761"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Modification. MSCI reserves the right to modify or amend unilaterally the terms and conditions of your RSUs, without first asking your consent, or to waive any terms and conditions that operate in favor of MSCI. MSCI may not modify your RSUs in a manner that would materially impair your rights in your RSUs without your consent; provided, however, that MSCI may, without your consent, amend or modify your RSUs in any manner that MSCI considers necessary or advisable to comply with applicable law, stock market or exchange rules and regulations or accounting or tax rules and regulations or to ensure that your RSUs are not subject to tax prior to payment. MSCI will notify you of any amendment of your RSUs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69" w:lineRule="exact"/>
        <w:rPr>
          <w:rFonts w:ascii="Arial" w:cs="Arial" w:eastAsia="Arial" w:hAnsi="Arial"/>
          <w:sz w:val="16"/>
          <w:szCs w:val="16"/>
          <w:color w:val="auto"/>
        </w:rPr>
      </w:pPr>
    </w:p>
    <w:p>
      <w:pPr>
        <w:ind w:left="1780" w:hanging="839"/>
        <w:spacing w:after="0"/>
        <w:tabs>
          <w:tab w:leader="none" w:pos="17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Section 409A.</w:t>
      </w:r>
    </w:p>
    <w:p>
      <w:pPr>
        <w:spacing w:after="0" w:line="213" w:lineRule="exact"/>
        <w:rPr>
          <w:rFonts w:ascii="Arial" w:cs="Arial" w:eastAsia="Arial" w:hAnsi="Arial"/>
          <w:sz w:val="18"/>
          <w:szCs w:val="18"/>
          <w:color w:val="auto"/>
        </w:rPr>
      </w:pPr>
    </w:p>
    <w:p>
      <w:pPr>
        <w:jc w:val="both"/>
        <w:ind w:left="940" w:firstLine="859"/>
        <w:spacing w:after="0" w:line="290" w:lineRule="auto"/>
        <w:tabs>
          <w:tab w:leader="none" w:pos="2594" w:val="left"/>
        </w:tabs>
        <w:numPr>
          <w:ilvl w:val="1"/>
          <w:numId w:val="73"/>
        </w:numPr>
        <w:rPr>
          <w:rFonts w:ascii="Arial" w:cs="Arial" w:eastAsia="Arial" w:hAnsi="Arial"/>
          <w:sz w:val="16"/>
          <w:szCs w:val="16"/>
          <w:color w:val="auto"/>
        </w:rPr>
      </w:pPr>
      <w:r>
        <w:rPr>
          <w:rFonts w:ascii="Arial" w:cs="Arial" w:eastAsia="Arial" w:hAnsi="Arial"/>
          <w:sz w:val="16"/>
          <w:szCs w:val="16"/>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w:t>
      </w:r>
    </w:p>
    <w:p>
      <w:pPr>
        <w:spacing w:after="0" w:line="162" w:lineRule="exact"/>
        <w:rPr>
          <w:rFonts w:ascii="Arial" w:cs="Arial" w:eastAsia="Arial" w:hAnsi="Arial"/>
          <w:sz w:val="16"/>
          <w:szCs w:val="16"/>
          <w:color w:val="auto"/>
        </w:rPr>
      </w:pPr>
    </w:p>
    <w:p>
      <w:pPr>
        <w:jc w:val="both"/>
        <w:ind w:left="940" w:firstLine="859"/>
        <w:spacing w:after="0" w:line="211" w:lineRule="exact"/>
        <w:tabs>
          <w:tab w:leader="none" w:pos="2643"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Notwithstanding the other provisions of this Award Agreement, to the extent necessary to comply with Section 409A, no conversion specified hereunder shall occur unless permissible under Section 409A. If MSCI considers you to be one of its “specified employees” and you are a U.S. taxpayer, in each case, at the time of your “separation from service” (as such terms are defined in the Code) from the Company, no conversion specified hereunder shall occur prior to the expiration of the six</w:t>
      </w:r>
      <w:r>
        <w:rPr>
          <w:rFonts w:ascii="MS PGothic" w:cs="MS PGothic" w:eastAsia="MS PGothic" w:hAnsi="MS PGothic"/>
          <w:sz w:val="16"/>
          <w:szCs w:val="16"/>
          <w:color w:val="auto"/>
        </w:rPr>
        <w:t>‑</w:t>
      </w:r>
      <w:r>
        <w:rPr>
          <w:rFonts w:ascii="Arial" w:cs="Arial" w:eastAsia="Arial" w:hAnsi="Arial"/>
          <w:sz w:val="16"/>
          <w:szCs w:val="16"/>
          <w:color w:val="auto"/>
        </w:rPr>
        <w:t>month period measured from the date of your separation from service from the Company (such period, the “</w:t>
      </w:r>
      <w:r>
        <w:rPr>
          <w:rFonts w:ascii="Arial" w:cs="Arial" w:eastAsia="Arial" w:hAnsi="Arial"/>
          <w:sz w:val="16"/>
          <w:szCs w:val="16"/>
          <w:b w:val="1"/>
          <w:bCs w:val="1"/>
          <w:color w:val="auto"/>
        </w:rPr>
        <w:t>Specified Employee Period</w:t>
      </w:r>
      <w:r>
        <w:rPr>
          <w:rFonts w:ascii="Arial" w:cs="Arial" w:eastAsia="Arial" w:hAnsi="Arial"/>
          <w:sz w:val="16"/>
          <w:szCs w:val="16"/>
          <w:color w:val="auto"/>
        </w:rPr>
        <w:t xml:space="preserve">”). Any conversion of RSUs into Shares that would have occurred during the Specified Employee Period but for the fact that you are deemed to be a specified employee shall be satisfied either by (A) conversion of such RSUs into Shares on the first business day following the Specified Employee Period or (A) a cash payment on the first business day following the Specified Employee Period equal to the value of such RSUs on the scheduled conversion date (based on the value of the Shares on such date) plus accrued interest as determined by MSCI;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this Section 17(b)(ii) is applicable, in the event of your death after the date of your separation from service from the Company, any conversion or payment delayed pursuant to this Section 17(b)(ii) shall occur or be made immediately. For the avoidance of doubt, any determination as to form of payment provided in this Section 17(b)(ii) will be in the sole discretion of MSCI.</w:t>
      </w:r>
    </w:p>
    <w:p>
      <w:pPr>
        <w:spacing w:after="0" w:line="204" w:lineRule="exact"/>
        <w:rPr>
          <w:rFonts w:ascii="Arial" w:cs="Arial" w:eastAsia="Arial" w:hAnsi="Arial"/>
          <w:sz w:val="16"/>
          <w:szCs w:val="16"/>
          <w:color w:val="auto"/>
        </w:rPr>
      </w:pPr>
    </w:p>
    <w:p>
      <w:pPr>
        <w:jc w:val="both"/>
        <w:ind w:left="940" w:firstLine="859"/>
        <w:spacing w:after="0" w:line="252" w:lineRule="auto"/>
        <w:tabs>
          <w:tab w:leader="none" w:pos="26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purposes of any provision of this Award Agreement providing for the payment of any amounts of nonqualified deferred compensation upon or following a termination of employment from the Company, references to your “termination of employment” (and corollary terms) shall be construed to refer to your “separation from service” from the Company.</w:t>
      </w:r>
    </w:p>
    <w:p>
      <w:pPr>
        <w:spacing w:after="0" w:line="189" w:lineRule="exact"/>
        <w:rPr>
          <w:rFonts w:ascii="Arial" w:cs="Arial" w:eastAsia="Arial" w:hAnsi="Arial"/>
          <w:sz w:val="18"/>
          <w:szCs w:val="18"/>
          <w:color w:val="auto"/>
        </w:rPr>
      </w:pPr>
    </w:p>
    <w:p>
      <w:pPr>
        <w:jc w:val="both"/>
        <w:ind w:left="940" w:firstLine="859"/>
        <w:spacing w:after="0" w:line="299" w:lineRule="auto"/>
        <w:tabs>
          <w:tab w:leader="none" w:pos="2682" w:val="left"/>
        </w:tabs>
        <w:numPr>
          <w:ilvl w:val="1"/>
          <w:numId w:val="73"/>
        </w:numPr>
        <w:rPr>
          <w:rFonts w:ascii="Arial" w:cs="Arial" w:eastAsia="Arial" w:hAnsi="Arial"/>
          <w:sz w:val="16"/>
          <w:szCs w:val="16"/>
          <w:color w:val="auto"/>
        </w:rPr>
      </w:pPr>
      <w:r>
        <w:rPr>
          <w:rFonts w:ascii="Arial" w:cs="Arial" w:eastAsia="Arial" w:hAnsi="Arial"/>
          <w:sz w:val="16"/>
          <w:szCs w:val="16"/>
          <w:color w:val="auto"/>
        </w:rPr>
        <w:t>MSCI reserves the right to modify the terms of this Award Agreement, including, without limitation, the payment provisions applicable to your RSUs, to the extent necessary or advisable to comply with Section 409A and reserves the right to make any changes to your RSU award so that it does not become subject to Section 409A or become subject to a Specified Employee Period.</w:t>
      </w:r>
    </w:p>
    <w:p>
      <w:pPr>
        <w:spacing w:after="0" w:line="154" w:lineRule="exact"/>
        <w:rPr>
          <w:sz w:val="20"/>
          <w:szCs w:val="20"/>
          <w:color w:val="auto"/>
        </w:rPr>
      </w:pPr>
    </w:p>
    <w:p>
      <w:pPr>
        <w:jc w:val="both"/>
        <w:ind w:firstLine="936"/>
        <w:spacing w:after="0" w:line="252" w:lineRule="auto"/>
        <w:rPr>
          <w:sz w:val="20"/>
          <w:szCs w:val="20"/>
          <w:color w:val="auto"/>
        </w:rPr>
      </w:pPr>
      <w:r>
        <w:rPr>
          <w:rFonts w:ascii="Arial" w:cs="Arial" w:eastAsia="Arial" w:hAnsi="Arial"/>
          <w:sz w:val="18"/>
          <w:szCs w:val="18"/>
          <w:color w:val="auto"/>
        </w:rPr>
        <w:t>Section 18. Severability. In the event MSCI determines that any provision of this Award Agreement would cause you to be in constructive receipt for United States federal or state income tax purposes of any portion of your award, then such provision will be considered null and void, and this Award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6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7" w:name="page138"/>
    <w:bookmarkEnd w:id="137"/>
    <w:p>
      <w:pPr>
        <w:jc w:val="both"/>
        <w:spacing w:after="0" w:line="261" w:lineRule="auto"/>
        <w:rPr>
          <w:sz w:val="20"/>
          <w:szCs w:val="20"/>
          <w:color w:val="auto"/>
        </w:rPr>
      </w:pPr>
      <w:r>
        <w:rPr>
          <w:rFonts w:ascii="Arial" w:cs="Arial" w:eastAsia="Arial" w:hAnsi="Arial"/>
          <w:sz w:val="18"/>
          <w:szCs w:val="18"/>
          <w:color w:val="auto"/>
        </w:rPr>
        <w:t>Agreement will be construed and enforced as if the provision had not been included in this Award Agreement as of the date such provision was determined to cause you to be in constructive receipt of any portion of your award.</w:t>
      </w:r>
    </w:p>
    <w:p>
      <w:pPr>
        <w:spacing w:after="0" w:line="181" w:lineRule="exact"/>
        <w:rPr>
          <w:sz w:val="20"/>
          <w:szCs w:val="20"/>
          <w:color w:val="auto"/>
        </w:rPr>
      </w:pPr>
    </w:p>
    <w:p>
      <w:pPr>
        <w:jc w:val="both"/>
        <w:ind w:firstLine="936"/>
        <w:spacing w:after="0" w:line="324" w:lineRule="auto"/>
        <w:rPr>
          <w:sz w:val="20"/>
          <w:szCs w:val="20"/>
          <w:color w:val="auto"/>
        </w:rPr>
      </w:pPr>
      <w:r>
        <w:rPr>
          <w:rFonts w:ascii="Arial" w:cs="Arial" w:eastAsia="Arial" w:hAnsi="Arial"/>
          <w:sz w:val="16"/>
          <w:szCs w:val="16"/>
          <w:color w:val="auto"/>
        </w:rPr>
        <w:t>Section 19. Successors.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34" w:lineRule="exact"/>
        <w:rPr>
          <w:sz w:val="20"/>
          <w:szCs w:val="20"/>
          <w:color w:val="auto"/>
        </w:rPr>
      </w:pPr>
    </w:p>
    <w:p>
      <w:pPr>
        <w:jc w:val="both"/>
        <w:ind w:firstLine="936"/>
        <w:spacing w:after="0" w:line="248" w:lineRule="auto"/>
        <w:rPr>
          <w:sz w:val="20"/>
          <w:szCs w:val="20"/>
          <w:color w:val="auto"/>
        </w:rPr>
      </w:pPr>
      <w:r>
        <w:rPr>
          <w:rFonts w:ascii="Arial" w:cs="Arial" w:eastAsia="Arial" w:hAnsi="Arial"/>
          <w:sz w:val="18"/>
          <w:szCs w:val="18"/>
          <w:color w:val="auto"/>
        </w:rPr>
        <w:t>Section 20. Governing Law and Venue. The RSU grant and the provisions of this Award Agreement are governed by, and subject to, the laws of the State of Delaware, United States of America, without regard to the conflict of law provisions, as provided in the Plan. For purposes of litigating any dispute that arises under this grant or the Award Agreement,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92" w:lineRule="exact"/>
        <w:rPr>
          <w:sz w:val="20"/>
          <w:szCs w:val="20"/>
          <w:color w:val="auto"/>
        </w:rPr>
      </w:pPr>
    </w:p>
    <w:p>
      <w:pPr>
        <w:jc w:val="both"/>
        <w:ind w:firstLine="936"/>
        <w:spacing w:after="0" w:line="247" w:lineRule="auto"/>
        <w:rPr>
          <w:sz w:val="20"/>
          <w:szCs w:val="20"/>
          <w:color w:val="auto"/>
        </w:rPr>
      </w:pPr>
      <w:r>
        <w:rPr>
          <w:rFonts w:ascii="Arial" w:cs="Arial" w:eastAsia="Arial" w:hAnsi="Arial"/>
          <w:sz w:val="18"/>
          <w:szCs w:val="18"/>
          <w:color w:val="auto"/>
        </w:rPr>
        <w:t>Section 21. Rule of Construction for Timing of Conversion. With respect to each provision of this Award Agreement that provides for your RSUs to convert into Shares, or your dividend equivalents to be paid, on a specified event or date, such conversion or payment will be considered to have been timely made, and neither you nor any of your beneficiaries or your estate shall have any claim against the Company for damages based on a delay in a conversion or payment, and the Company shall have no liability to you (or to any of your beneficiaries or your estate) in respect of any such delay, as long as payment is made by December 31 of the year in which the Vesting Date or such other specified event or date occurs, or if later, by March 15th of the year following such specified event or date.</w:t>
      </w:r>
    </w:p>
    <w:p>
      <w:pPr>
        <w:spacing w:after="0" w:line="194" w:lineRule="exact"/>
        <w:rPr>
          <w:sz w:val="20"/>
          <w:szCs w:val="20"/>
          <w:color w:val="auto"/>
        </w:rPr>
      </w:pPr>
    </w:p>
    <w:p>
      <w:pPr>
        <w:jc w:val="both"/>
        <w:ind w:firstLine="936"/>
        <w:spacing w:after="0" w:line="290" w:lineRule="auto"/>
        <w:rPr>
          <w:sz w:val="20"/>
          <w:szCs w:val="20"/>
          <w:color w:val="auto"/>
        </w:rPr>
      </w:pPr>
      <w:r>
        <w:rPr>
          <w:rFonts w:ascii="Arial" w:cs="Arial" w:eastAsia="Arial" w:hAnsi="Arial"/>
          <w:sz w:val="16"/>
          <w:szCs w:val="16"/>
          <w:color w:val="auto"/>
        </w:rPr>
        <w:t>Section 22. Non-U.S. Participants.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62" w:lineRule="exact"/>
        <w:rPr>
          <w:sz w:val="20"/>
          <w:szCs w:val="20"/>
          <w:color w:val="auto"/>
        </w:rPr>
      </w:pPr>
    </w:p>
    <w:p>
      <w:pPr>
        <w:ind w:left="1760" w:hanging="819"/>
        <w:spacing w:after="0"/>
        <w:tabs>
          <w:tab w:leader="none" w:pos="17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13" w:lineRule="exact"/>
        <w:rPr>
          <w:rFonts w:ascii="Arial" w:cs="Arial" w:eastAsia="Arial" w:hAnsi="Arial"/>
          <w:sz w:val="18"/>
          <w:szCs w:val="18"/>
          <w:color w:val="auto"/>
        </w:rPr>
      </w:pPr>
    </w:p>
    <w:p>
      <w:pPr>
        <w:jc w:val="both"/>
        <w:ind w:firstLine="941"/>
        <w:spacing w:after="0" w:line="246"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Tax and Other Withholding Obligations. You acknowledge that, regardless of any action taken by the Company, the ultimate liability for all income tax, social insurance, payroll tax, fringe benefits tax, payment on account or other tax-related items related to your participation in the Plan and legally applicable or deemed applicable to you (“</w:t>
      </w:r>
      <w:r>
        <w:rPr>
          <w:rFonts w:ascii="Arial" w:cs="Arial" w:eastAsia="Arial" w:hAnsi="Arial"/>
          <w:sz w:val="18"/>
          <w:szCs w:val="18"/>
          <w:b w:val="1"/>
          <w:bCs w:val="1"/>
          <w:i w:val="1"/>
          <w:iCs w:val="1"/>
          <w:color w:val="auto"/>
        </w:rPr>
        <w:t>Tax-Related Items</w:t>
      </w:r>
      <w:r>
        <w:rPr>
          <w:rFonts w:ascii="Arial" w:cs="Arial" w:eastAsia="Arial" w:hAnsi="Arial"/>
          <w:sz w:val="18"/>
          <w:szCs w:val="18"/>
          <w:i w:val="1"/>
          <w:iCs w:val="1"/>
          <w:color w:val="auto"/>
        </w:rPr>
        <w:t>”) is and remains your responsibility and may exceed the amount, if any, actually withheld by the Company. You further acknowledge that the Company (i) makes no representations or undertaking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 equivalents and/or dividends; and (i) does not commit to and is under no obligation to structure the terms of the grant or any aspect of the RSUs to reduce or eliminate your liability for Tax-Related Items or achieve any particular tax result.</w:t>
      </w:r>
    </w:p>
    <w:p>
      <w:pPr>
        <w:spacing w:after="0" w:line="195" w:lineRule="exact"/>
        <w:rPr>
          <w:sz w:val="20"/>
          <w:szCs w:val="20"/>
          <w:color w:val="auto"/>
        </w:rPr>
      </w:pPr>
    </w:p>
    <w:p>
      <w:pPr>
        <w:jc w:val="both"/>
        <w:ind w:firstLine="936"/>
        <w:spacing w:after="0" w:line="324" w:lineRule="auto"/>
        <w:rPr>
          <w:sz w:val="20"/>
          <w:szCs w:val="20"/>
          <w:color w:val="auto"/>
        </w:rPr>
      </w:pPr>
      <w:r>
        <w:rPr>
          <w:rFonts w:ascii="Arial" w:cs="Arial" w:eastAsia="Arial" w:hAnsi="Arial"/>
          <w:sz w:val="16"/>
          <w:szCs w:val="16"/>
          <w:color w:val="auto"/>
        </w:rPr>
        <w:t>If the obligation for Tax-Related Items is satisfied by withholding in Shares, for tax purposes, you are deemed to have been issued the full number of Shares subject to the vested RSUs, notwithstanding that a number of the Shares are held back solely for the purpose of paying the Tax-Related Items.</w:t>
      </w:r>
    </w:p>
    <w:p>
      <w:pPr>
        <w:spacing w:after="0" w:line="134" w:lineRule="exact"/>
        <w:rPr>
          <w:sz w:val="20"/>
          <w:szCs w:val="20"/>
          <w:color w:val="auto"/>
        </w:rPr>
      </w:pPr>
    </w:p>
    <w:p>
      <w:pPr>
        <w:jc w:val="both"/>
        <w:ind w:firstLine="936"/>
        <w:spacing w:after="0" w:line="299" w:lineRule="auto"/>
        <w:rPr>
          <w:sz w:val="20"/>
          <w:szCs w:val="20"/>
          <w:color w:val="auto"/>
        </w:rPr>
      </w:pPr>
      <w:r>
        <w:rPr>
          <w:rFonts w:ascii="Arial" w:cs="Arial" w:eastAsia="Arial" w:hAnsi="Arial"/>
          <w:sz w:val="16"/>
          <w:szCs w:val="16"/>
          <w:color w:val="auto"/>
        </w:rPr>
        <w:t>In the event that withholding in and/or tendering Shares is problematic under applicable tax or securities law or has materially adverse accounting consequences, by your acceptance of the RSUs, you authorize and direct MSCI and any brokerage firm determined acceptable to MSCI to sell on your behalf a whole number of Shares from those Shares issued to you as MSCI determines to be appropriate to generate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6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both"/>
        <w:spacing w:after="0" w:line="248" w:lineRule="auto"/>
        <w:rPr>
          <w:sz w:val="20"/>
          <w:szCs w:val="20"/>
          <w:color w:val="auto"/>
        </w:rPr>
      </w:pPr>
      <w:r>
        <w:rPr>
          <w:rFonts w:ascii="Arial" w:cs="Arial" w:eastAsia="Arial" w:hAnsi="Arial"/>
          <w:sz w:val="18"/>
          <w:szCs w:val="18"/>
          <w:color w:val="auto"/>
        </w:rPr>
        <w:t>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tax authorities. In the event of under-withholding, you may be required to pay any additional Tax-Related Items directly to the applicable tax authority or to the Company and/or your employer.</w:t>
      </w:r>
    </w:p>
    <w:p>
      <w:pPr>
        <w:spacing w:after="0" w:line="192"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 refuse to issue or deliver the Shares or the proceeds of the sale of Shares if you fail to comply with your obligations in connection with the Tax-Related Items.</w:t>
      </w:r>
    </w:p>
    <w:p>
      <w:pPr>
        <w:spacing w:after="0" w:line="192" w:lineRule="exact"/>
        <w:rPr>
          <w:sz w:val="20"/>
          <w:szCs w:val="20"/>
          <w:color w:val="auto"/>
        </w:rPr>
      </w:pPr>
    </w:p>
    <w:p>
      <w:pPr>
        <w:ind w:left="1760" w:hanging="819"/>
        <w:spacing w:after="0"/>
        <w:tabs>
          <w:tab w:leader="none" w:pos="17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Nature of Grant. In accepting the RSUs, you acknowledge, understand and agree that:</w:t>
      </w:r>
    </w:p>
    <w:p>
      <w:pPr>
        <w:spacing w:after="0" w:line="213" w:lineRule="exact"/>
        <w:rPr>
          <w:rFonts w:ascii="Arial" w:cs="Arial" w:eastAsia="Arial" w:hAnsi="Arial"/>
          <w:sz w:val="18"/>
          <w:szCs w:val="18"/>
          <w:color w:val="auto"/>
        </w:rPr>
      </w:pPr>
    </w:p>
    <w:p>
      <w:pPr>
        <w:ind w:left="940" w:firstLine="859"/>
        <w:spacing w:after="0" w:line="261" w:lineRule="auto"/>
        <w:tabs>
          <w:tab w:leader="none" w:pos="25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Plan is established voluntarily by MSCI, it is discretionary in nature and it may be modified, amended, suspended or terminated by MSCI at any time, to the extent permitted by the Plan;</w:t>
      </w:r>
    </w:p>
    <w:p>
      <w:pPr>
        <w:spacing w:after="0" w:line="180" w:lineRule="exact"/>
        <w:rPr>
          <w:rFonts w:ascii="Arial" w:cs="Arial" w:eastAsia="Arial" w:hAnsi="Arial"/>
          <w:sz w:val="18"/>
          <w:szCs w:val="18"/>
          <w:color w:val="auto"/>
        </w:rPr>
      </w:pPr>
    </w:p>
    <w:p>
      <w:pPr>
        <w:jc w:val="both"/>
        <w:ind w:left="940" w:firstLine="859"/>
        <w:spacing w:after="0" w:line="252" w:lineRule="auto"/>
        <w:tabs>
          <w:tab w:leader="none" w:pos="26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this RSU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89" w:lineRule="exact"/>
        <w:rPr>
          <w:rFonts w:ascii="Arial" w:cs="Arial" w:eastAsia="Arial" w:hAnsi="Arial"/>
          <w:sz w:val="18"/>
          <w:szCs w:val="18"/>
          <w:color w:val="auto"/>
        </w:rPr>
      </w:pPr>
    </w:p>
    <w:p>
      <w:pPr>
        <w:jc w:val="both"/>
        <w:ind w:left="940" w:firstLine="859"/>
        <w:spacing w:after="0" w:line="290" w:lineRule="auto"/>
        <w:tabs>
          <w:tab w:leader="none" w:pos="26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this award, and all other awards of RSUs and other equity-based awards, are exceptional, discretionary, voluntary and occasional. This award does not confer on you any contractual or other right or entitlement to receive another award of RSUs, any other equity-based award or benefits in lieu of RSUs at any time in the future or in respect of any future period. You agree that any release required under Section 4 of this Award Agreement is in exchange for the grant of RSUs hereunder, for which you have no current entitlement;</w:t>
      </w:r>
    </w:p>
    <w:p>
      <w:pPr>
        <w:spacing w:after="0" w:line="162" w:lineRule="exact"/>
        <w:rPr>
          <w:rFonts w:ascii="Arial" w:cs="Arial" w:eastAsia="Arial" w:hAnsi="Arial"/>
          <w:sz w:val="16"/>
          <w:szCs w:val="16"/>
          <w:color w:val="auto"/>
        </w:rPr>
      </w:pPr>
    </w:p>
    <w:p>
      <w:pPr>
        <w:ind w:left="940" w:firstLine="859"/>
        <w:spacing w:after="0" w:line="261" w:lineRule="auto"/>
        <w:tabs>
          <w:tab w:leader="none" w:pos="2682" w:val="left"/>
        </w:tabs>
        <w:numPr>
          <w:ilvl w:val="1"/>
          <w:numId w:val="75"/>
        </w:numPr>
        <w:rPr>
          <w:rFonts w:ascii="Arial" w:cs="Arial" w:eastAsia="Arial" w:hAnsi="Arial"/>
          <w:sz w:val="18"/>
          <w:szCs w:val="18"/>
          <w:color w:val="auto"/>
        </w:rPr>
      </w:pPr>
      <w:r>
        <w:rPr>
          <w:rFonts w:ascii="Arial" w:cs="Arial" w:eastAsia="Arial" w:hAnsi="Arial"/>
          <w:sz w:val="18"/>
          <w:szCs w:val="18"/>
          <w:color w:val="auto"/>
        </w:rPr>
        <w:t>MSCI has made this award to you in its sole discretion. All decisions with respect to future RSU or other grants, if any, will be at the sole discretion of MSCI;</w:t>
      </w:r>
    </w:p>
    <w:p>
      <w:pPr>
        <w:spacing w:after="0" w:line="180" w:lineRule="exact"/>
        <w:rPr>
          <w:rFonts w:ascii="Arial" w:cs="Arial" w:eastAsia="Arial" w:hAnsi="Arial"/>
          <w:sz w:val="18"/>
          <w:szCs w:val="18"/>
          <w:color w:val="auto"/>
        </w:rPr>
      </w:pPr>
    </w:p>
    <w:p>
      <w:pPr>
        <w:ind w:left="2640" w:hanging="841"/>
        <w:spacing w:after="0"/>
        <w:tabs>
          <w:tab w:leader="none" w:pos="26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13" w:lineRule="exact"/>
        <w:rPr>
          <w:rFonts w:ascii="Arial" w:cs="Arial" w:eastAsia="Arial" w:hAnsi="Arial"/>
          <w:sz w:val="18"/>
          <w:szCs w:val="18"/>
          <w:color w:val="auto"/>
        </w:rPr>
      </w:pPr>
    </w:p>
    <w:p>
      <w:pPr>
        <w:ind w:left="940" w:firstLine="859"/>
        <w:spacing w:after="0" w:line="261" w:lineRule="auto"/>
        <w:tabs>
          <w:tab w:leader="none" w:pos="268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grant of RSUs and the Shares subject to the RSUs, and the income from and value of the same, are not intended to replace any pension rights or compensation;</w:t>
      </w:r>
    </w:p>
    <w:p>
      <w:pPr>
        <w:spacing w:after="0" w:line="180" w:lineRule="exact"/>
        <w:rPr>
          <w:rFonts w:ascii="Arial" w:cs="Arial" w:eastAsia="Arial" w:hAnsi="Arial"/>
          <w:sz w:val="18"/>
          <w:szCs w:val="18"/>
          <w:color w:val="auto"/>
        </w:rPr>
      </w:pPr>
    </w:p>
    <w:p>
      <w:pPr>
        <w:jc w:val="both"/>
        <w:ind w:left="940" w:firstLine="859"/>
        <w:spacing w:after="0" w:line="286" w:lineRule="auto"/>
        <w:tabs>
          <w:tab w:leader="none" w:pos="273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this award does not confer on you any right or entitlement to receive compensation in any specific amount. In addition, the RSUs and the Shares subject to the RSUs, and the income from and value of the same, are not part of normal or expected compensation for purposes of, including but not limited to, calculating any severance, resignation, termination, redundancy, dismissal, end-of-service payments, bonuses, long-service awards, holiday pay, leave pay, pension or retirement or welfare benefits or similar payments and in no event should be considered as compensation for, or relating in any way to, past services for the Company, the employer, or any Subsidiary;</w:t>
      </w:r>
    </w:p>
    <w:p>
      <w:pPr>
        <w:spacing w:after="0" w:line="165" w:lineRule="exact"/>
        <w:rPr>
          <w:rFonts w:ascii="Arial" w:cs="Arial" w:eastAsia="Arial" w:hAnsi="Arial"/>
          <w:sz w:val="16"/>
          <w:szCs w:val="16"/>
          <w:color w:val="auto"/>
        </w:rPr>
      </w:pPr>
    </w:p>
    <w:p>
      <w:pPr>
        <w:ind w:left="940" w:firstLine="859"/>
        <w:spacing w:after="0" w:line="324" w:lineRule="auto"/>
        <w:tabs>
          <w:tab w:leader="none" w:pos="2779" w:val="left"/>
        </w:tabs>
        <w:numPr>
          <w:ilvl w:val="1"/>
          <w:numId w:val="75"/>
        </w:numPr>
        <w:rPr>
          <w:rFonts w:ascii="Arial" w:cs="Arial" w:eastAsia="Arial" w:hAnsi="Arial"/>
          <w:sz w:val="16"/>
          <w:szCs w:val="16"/>
          <w:color w:val="auto"/>
        </w:rPr>
      </w:pPr>
      <w:r>
        <w:rPr>
          <w:rFonts w:ascii="Arial" w:cs="Arial" w:eastAsia="Arial" w:hAnsi="Arial"/>
          <w:sz w:val="16"/>
          <w:szCs w:val="16"/>
          <w:color w:val="auto"/>
        </w:rPr>
        <w:t>unless otherwise agreed with MSCI in writing, the RSUs and the Shares subject to the RSUs, and the income from and value of the same, are not granted as consideration for, or in connection with, the service you may provide as a director of a Subsidiary;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6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ind w:left="2680" w:hanging="881"/>
        <w:spacing w:after="0"/>
        <w:tabs>
          <w:tab w:leader="none" w:pos="26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future value of the underlying Shares is unknown, indeterminable and cannot be predicted with certainty;</w:t>
      </w:r>
    </w:p>
    <w:p>
      <w:pPr>
        <w:spacing w:after="0" w:line="236" w:lineRule="exact"/>
        <w:rPr>
          <w:rFonts w:ascii="Arial" w:cs="Arial" w:eastAsia="Arial" w:hAnsi="Arial"/>
          <w:sz w:val="16"/>
          <w:szCs w:val="16"/>
          <w:color w:val="auto"/>
        </w:rPr>
      </w:pPr>
    </w:p>
    <w:p>
      <w:pPr>
        <w:jc w:val="both"/>
        <w:ind w:left="940" w:firstLine="859"/>
        <w:spacing w:after="0" w:line="252" w:lineRule="auto"/>
        <w:tabs>
          <w:tab w:leader="none" w:pos="2633"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RSUs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89" w:lineRule="exact"/>
        <w:rPr>
          <w:rFonts w:ascii="Arial" w:cs="Arial" w:eastAsia="Arial" w:hAnsi="Arial"/>
          <w:sz w:val="18"/>
          <w:szCs w:val="18"/>
          <w:color w:val="auto"/>
        </w:rPr>
      </w:pPr>
    </w:p>
    <w:p>
      <w:pPr>
        <w:jc w:val="both"/>
        <w:ind w:left="940" w:firstLine="859"/>
        <w:spacing w:after="0" w:line="252" w:lineRule="auto"/>
        <w:tabs>
          <w:tab w:leader="none" w:pos="2682" w:val="left"/>
        </w:tabs>
        <w:numPr>
          <w:ilvl w:val="1"/>
          <w:numId w:val="76"/>
        </w:numPr>
        <w:rPr>
          <w:rFonts w:ascii="Arial" w:cs="Arial" w:eastAsia="Arial" w:hAnsi="Arial"/>
          <w:sz w:val="18"/>
          <w:szCs w:val="18"/>
          <w:color w:val="auto"/>
        </w:rPr>
      </w:pPr>
      <w:r>
        <w:rPr>
          <w:rFonts w:ascii="Arial" w:cs="Arial" w:eastAsia="Arial" w:hAnsi="Arial"/>
          <w:sz w:val="18"/>
          <w:szCs w:val="18"/>
          <w:color w:val="auto"/>
        </w:rPr>
        <w:t>you acknowledge and agree that the Company shall not be liable for any foreign exchange rate fluctuation between your local currency and the U.S. Dollar that may affect the value of the RSU or of any amounts due to you pursuant to the settlement of the RSU or the subsequent sale of any Shares acquired upon settlement.</w:t>
      </w:r>
    </w:p>
    <w:p>
      <w:pPr>
        <w:spacing w:after="0" w:line="189" w:lineRule="exact"/>
        <w:rPr>
          <w:rFonts w:ascii="Arial" w:cs="Arial" w:eastAsia="Arial" w:hAnsi="Arial"/>
          <w:sz w:val="18"/>
          <w:szCs w:val="18"/>
          <w:color w:val="auto"/>
        </w:rPr>
      </w:pPr>
    </w:p>
    <w:p>
      <w:pPr>
        <w:jc w:val="both"/>
        <w:ind w:firstLine="941"/>
        <w:spacing w:after="0" w:line="249" w:lineRule="auto"/>
        <w:tabs>
          <w:tab w:leader="none" w:pos="1771"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Retirement Treatment. Notwithstanding anything to the contrary in this Section 22(d) of this Award Agreement, if the Company receives a legal opinion that there has been a legal judgment and/or legal development in your jurisdiction that likely would result in the favorable treatment that applies to the RSUs in the event of your retirement being deemed unlawful and/or discriminatory, the provisions of Section 4 of this Award Agreement regarding the treatment of the RSUs in the event of your retirement shall not be applicable to you.</w:t>
      </w:r>
    </w:p>
    <w:p>
      <w:pPr>
        <w:spacing w:after="0" w:line="192" w:lineRule="exact"/>
        <w:rPr>
          <w:rFonts w:ascii="Arial" w:cs="Arial" w:eastAsia="Arial" w:hAnsi="Arial"/>
          <w:sz w:val="18"/>
          <w:szCs w:val="18"/>
          <w:color w:val="auto"/>
        </w:rPr>
      </w:pPr>
    </w:p>
    <w:p>
      <w:pPr>
        <w:ind w:left="1760" w:hanging="819"/>
        <w:spacing w:after="0"/>
        <w:tabs>
          <w:tab w:leader="none" w:pos="17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Data Privacy.</w:t>
      </w:r>
    </w:p>
    <w:p>
      <w:pPr>
        <w:spacing w:after="0" w:line="214" w:lineRule="exact"/>
        <w:rPr>
          <w:sz w:val="20"/>
          <w:szCs w:val="20"/>
          <w:color w:val="auto"/>
        </w:rPr>
      </w:pPr>
    </w:p>
    <w:p>
      <w:pPr>
        <w:jc w:val="both"/>
        <w:ind w:firstLine="936"/>
        <w:spacing w:after="0" w:line="252" w:lineRule="auto"/>
        <w:rPr>
          <w:sz w:val="20"/>
          <w:szCs w:val="20"/>
          <w:color w:val="auto"/>
        </w:rPr>
      </w:pPr>
      <w:r>
        <w:rPr>
          <w:rFonts w:ascii="Arial" w:cs="Arial" w:eastAsia="Arial" w:hAnsi="Arial"/>
          <w:sz w:val="18"/>
          <w:szCs w:val="18"/>
          <w:b w:val="1"/>
          <w:bCs w:val="1"/>
          <w:i w:val="1"/>
          <w:iCs w:val="1"/>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89" w:lineRule="exact"/>
        <w:rPr>
          <w:sz w:val="20"/>
          <w:szCs w:val="20"/>
          <w:color w:val="auto"/>
        </w:rPr>
      </w:pPr>
    </w:p>
    <w:p>
      <w:pPr>
        <w:jc w:val="both"/>
        <w:ind w:left="940" w:firstLine="859"/>
        <w:spacing w:after="0" w:line="252" w:lineRule="auto"/>
        <w:tabs>
          <w:tab w:leader="none" w:pos="2594"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89" w:lineRule="exact"/>
        <w:rPr>
          <w:rFonts w:ascii="Arial" w:cs="Arial" w:eastAsia="Arial" w:hAnsi="Arial"/>
          <w:sz w:val="18"/>
          <w:szCs w:val="18"/>
          <w:color w:val="auto"/>
        </w:rPr>
      </w:pPr>
    </w:p>
    <w:p>
      <w:pPr>
        <w:jc w:val="both"/>
        <w:ind w:left="940" w:firstLine="859"/>
        <w:spacing w:after="0" w:line="252" w:lineRule="auto"/>
        <w:tabs>
          <w:tab w:leader="none" w:pos="2643"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89" w:lineRule="exact"/>
        <w:rPr>
          <w:rFonts w:ascii="Arial" w:cs="Arial" w:eastAsia="Arial" w:hAnsi="Arial"/>
          <w:sz w:val="18"/>
          <w:szCs w:val="18"/>
          <w:color w:val="auto"/>
        </w:rPr>
      </w:pPr>
    </w:p>
    <w:p>
      <w:pPr>
        <w:jc w:val="both"/>
        <w:ind w:firstLine="941"/>
        <w:spacing w:after="0" w:line="247" w:lineRule="auto"/>
        <w:tabs>
          <w:tab w:leader="none" w:pos="1742"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Language. If you are a resident in a country where English is not an official language, you acknowledge that you are sufficiently proficient in English to understand the terms and conditions of the Award Agreement or have had the ability to consult with an advisor who is sufficiently proficient in the English language. You further acknowledge and agree that it is your express intent that the Award Agreement, </w:t>
      </w:r>
      <w:r>
        <w:rPr>
          <w:rFonts w:ascii="Arial" w:cs="Arial" w:eastAsia="Arial" w:hAnsi="Arial"/>
          <w:sz w:val="18"/>
          <w:szCs w:val="18"/>
          <w:i w:val="1"/>
          <w:iCs w:val="1"/>
          <w:u w:val="single" w:color="auto"/>
          <w:color w:val="auto"/>
        </w:rPr>
        <w:t>Exhibit C</w:t>
      </w:r>
      <w:r>
        <w:rPr>
          <w:rFonts w:ascii="Arial" w:cs="Arial" w:eastAsia="Arial" w:hAnsi="Arial"/>
          <w:sz w:val="18"/>
          <w:szCs w:val="18"/>
          <w:i w:val="1"/>
          <w:iCs w:val="1"/>
          <w:color w:val="auto"/>
        </w:rPr>
        <w:t xml:space="preserve"> and the Plan and all other documents, notices and legal proceedings entered into, given or instituted pursuant to the RSUs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93" w:lineRule="exact"/>
        <w:rPr>
          <w:rFonts w:ascii="Arial" w:cs="Arial" w:eastAsia="Arial" w:hAnsi="Arial"/>
          <w:sz w:val="18"/>
          <w:szCs w:val="18"/>
          <w:color w:val="auto"/>
        </w:rPr>
      </w:pPr>
    </w:p>
    <w:p>
      <w:pPr>
        <w:jc w:val="both"/>
        <w:ind w:firstLine="941"/>
        <w:spacing w:after="0" w:line="299" w:lineRule="auto"/>
        <w:tabs>
          <w:tab w:leader="none" w:pos="1771"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Electronic Delivery and Participation. MSCI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MSCI or a third party designated by MSCI.</w:t>
      </w:r>
    </w:p>
    <w:p>
      <w:pPr>
        <w:spacing w:after="0" w:line="153" w:lineRule="exact"/>
        <w:rPr>
          <w:rFonts w:ascii="Arial" w:cs="Arial" w:eastAsia="Arial" w:hAnsi="Arial"/>
          <w:sz w:val="16"/>
          <w:szCs w:val="16"/>
          <w:color w:val="auto"/>
        </w:rPr>
      </w:pPr>
    </w:p>
    <w:p>
      <w:pPr>
        <w:jc w:val="both"/>
        <w:ind w:firstLine="941"/>
        <w:spacing w:after="0" w:line="252" w:lineRule="auto"/>
        <w:tabs>
          <w:tab w:leader="none" w:pos="1771"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Exhibit C. Notwithstanding any provisions in this Award Agreement, the RSUs shall be subject to any additional terms and conditions set forth in </w:t>
      </w:r>
      <w:r>
        <w:rPr>
          <w:rFonts w:ascii="Arial" w:cs="Arial" w:eastAsia="Arial" w:hAnsi="Arial"/>
          <w:sz w:val="18"/>
          <w:szCs w:val="18"/>
          <w:i w:val="1"/>
          <w:iCs w:val="1"/>
          <w:u w:val="single" w:color="auto"/>
          <w:color w:val="auto"/>
        </w:rPr>
        <w:t>Exhibit C</w:t>
      </w:r>
      <w:r>
        <w:rPr>
          <w:rFonts w:ascii="Arial" w:cs="Arial" w:eastAsia="Arial" w:hAnsi="Arial"/>
          <w:sz w:val="18"/>
          <w:szCs w:val="18"/>
          <w:i w:val="1"/>
          <w:iCs w:val="1"/>
          <w:color w:val="auto"/>
        </w:rPr>
        <w:t xml:space="preserve"> to this Award Agreement for your country. Moreover, if you relocate to one of the countries included in </w:t>
      </w:r>
      <w:r>
        <w:rPr>
          <w:rFonts w:ascii="Arial" w:cs="Arial" w:eastAsia="Arial" w:hAnsi="Arial"/>
          <w:sz w:val="18"/>
          <w:szCs w:val="18"/>
          <w:i w:val="1"/>
          <w:iCs w:val="1"/>
          <w:u w:val="single" w:color="auto"/>
          <w:color w:val="auto"/>
        </w:rPr>
        <w:t>Exhibit C</w:t>
      </w:r>
      <w:r>
        <w:rPr>
          <w:rFonts w:ascii="Arial" w:cs="Arial" w:eastAsia="Arial" w:hAnsi="Arial"/>
          <w:sz w:val="18"/>
          <w:szCs w:val="18"/>
          <w:i w:val="1"/>
          <w:iCs w:val="1"/>
          <w:color w:val="auto"/>
        </w:rPr>
        <w:t>, the additional terms and conditions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6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40" w:name="page141"/>
    <w:bookmarkEnd w:id="140"/>
    <w:p>
      <w:pPr>
        <w:spacing w:after="0" w:line="261" w:lineRule="auto"/>
        <w:rPr>
          <w:sz w:val="20"/>
          <w:szCs w:val="20"/>
          <w:color w:val="auto"/>
        </w:rPr>
      </w:pPr>
      <w:r>
        <w:rPr>
          <w:rFonts w:ascii="Arial" w:cs="Arial" w:eastAsia="Arial" w:hAnsi="Arial"/>
          <w:sz w:val="18"/>
          <w:szCs w:val="18"/>
          <w:i w:val="1"/>
          <w:iCs w:val="1"/>
          <w:color w:val="auto"/>
        </w:rPr>
        <w:t xml:space="preserve">for such country will apply to you, to the extent MSCI determines that the application of such terms and conditions is necessary or advisable for legal or administrative reasons. </w:t>
      </w:r>
      <w:r>
        <w:rPr>
          <w:rFonts w:ascii="Arial" w:cs="Arial" w:eastAsia="Arial" w:hAnsi="Arial"/>
          <w:sz w:val="18"/>
          <w:szCs w:val="18"/>
          <w:i w:val="1"/>
          <w:iCs w:val="1"/>
          <w:u w:val="single" w:color="auto"/>
          <w:color w:val="auto"/>
        </w:rPr>
        <w:t>Exhibit C</w:t>
      </w:r>
      <w:r>
        <w:rPr>
          <w:rFonts w:ascii="Arial" w:cs="Arial" w:eastAsia="Arial" w:hAnsi="Arial"/>
          <w:sz w:val="18"/>
          <w:szCs w:val="18"/>
          <w:i w:val="1"/>
          <w:iCs w:val="1"/>
          <w:color w:val="auto"/>
        </w:rPr>
        <w:t xml:space="preserve"> constitutes part of this Award Agreement.</w:t>
      </w:r>
    </w:p>
    <w:p>
      <w:pPr>
        <w:spacing w:after="0" w:line="181" w:lineRule="exact"/>
        <w:rPr>
          <w:sz w:val="20"/>
          <w:szCs w:val="20"/>
          <w:color w:val="auto"/>
        </w:rPr>
      </w:pPr>
    </w:p>
    <w:p>
      <w:pPr>
        <w:jc w:val="both"/>
        <w:ind w:firstLine="941"/>
        <w:spacing w:after="0" w:line="279" w:lineRule="auto"/>
        <w:tabs>
          <w:tab w:leader="none" w:pos="1732"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Insider Trading Restrictions/Market Abuse Laws. By accepting the RSUs, you acknowledge that you are bound by all the terms and conditions of any MSCI insider 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(e.g., RSUs) or rights linked to the value of Shares (e.g.,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74" w:lineRule="exact"/>
        <w:rPr>
          <w:rFonts w:ascii="Arial" w:cs="Arial" w:eastAsia="Arial" w:hAnsi="Arial"/>
          <w:sz w:val="16"/>
          <w:szCs w:val="16"/>
          <w:color w:val="auto"/>
        </w:rPr>
      </w:pPr>
    </w:p>
    <w:p>
      <w:pPr>
        <w:jc w:val="both"/>
        <w:ind w:firstLine="941"/>
        <w:spacing w:after="0" w:line="284" w:lineRule="auto"/>
        <w:tabs>
          <w:tab w:leader="none" w:pos="1732"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Foreign Asset/Account, Exchange Control Reporting. Your country may have certain exchange control and/or foreign asset/account reporting requirements which 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66"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color w:val="auto"/>
        </w:rPr>
        <w:t>Defined Terms. For purposes of this Award Agreement, the following terms shall have the meanings set forth below:</w:t>
      </w:r>
    </w:p>
    <w:p>
      <w:pPr>
        <w:spacing w:after="0" w:line="208"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55/10 Retirement Eligibility</w:t>
      </w:r>
      <w:r>
        <w:rPr>
          <w:rFonts w:ascii="Arial" w:cs="Arial" w:eastAsia="Arial" w:hAnsi="Arial"/>
          <w:sz w:val="18"/>
          <w:szCs w:val="18"/>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88"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55/10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179"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62/10 Retirement Eligibility</w:t>
      </w:r>
      <w:r>
        <w:rPr>
          <w:rFonts w:ascii="Arial" w:cs="Arial" w:eastAsia="Arial" w:hAnsi="Arial"/>
          <w:sz w:val="18"/>
          <w:szCs w:val="18"/>
          <w:color w:val="auto"/>
        </w:rPr>
        <w:t>” means your attainment, at any time prior to the Vesting Date, of age 62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6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41" w:name="page142"/>
    <w:bookmarkEnd w:id="141"/>
    <w:p>
      <w:pPr>
        <w:jc w:val="both"/>
        <w:ind w:right="20"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62/10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4(c)) on or after the date that you attain 62/10 Retirement Eligibility.</w:t>
      </w:r>
    </w:p>
    <w:p>
      <w:pPr>
        <w:spacing w:after="0" w:line="1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Cancellation Event</w:t>
      </w:r>
      <w:r>
        <w:rPr>
          <w:rFonts w:ascii="Arial" w:cs="Arial" w:eastAsia="Arial" w:hAnsi="Arial"/>
          <w:sz w:val="18"/>
          <w:szCs w:val="18"/>
          <w:color w:val="auto"/>
        </w:rPr>
        <w:t>” will be deemed to have occurred under any one of the following circumstances:</w:t>
      </w:r>
    </w:p>
    <w:p>
      <w:pPr>
        <w:spacing w:after="0" w:line="220" w:lineRule="exact"/>
        <w:rPr>
          <w:sz w:val="20"/>
          <w:szCs w:val="20"/>
          <w:color w:val="auto"/>
        </w:rPr>
      </w:pPr>
    </w:p>
    <w:p>
      <w:pPr>
        <w:ind w:right="20" w:firstLine="941"/>
        <w:spacing w:after="0" w:line="261" w:lineRule="auto"/>
        <w:tabs>
          <w:tab w:leader="none" w:pos="1761"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misuse of Confidential Information (as defined in </w:t>
      </w:r>
      <w:r>
        <w:rPr>
          <w:rFonts w:ascii="Arial" w:cs="Arial" w:eastAsia="Arial" w:hAnsi="Arial"/>
          <w:sz w:val="18"/>
          <w:szCs w:val="18"/>
          <w:i w:val="1"/>
          <w:iCs w:val="1"/>
          <w:u w:val="single" w:color="auto"/>
          <w:color w:val="auto"/>
        </w:rPr>
        <w:t>Exhibit B</w:t>
      </w:r>
      <w:r>
        <w:rPr>
          <w:rFonts w:ascii="Arial" w:cs="Arial" w:eastAsia="Arial" w:hAnsi="Arial"/>
          <w:sz w:val="18"/>
          <w:szCs w:val="18"/>
          <w:i w:val="1"/>
          <w:iCs w:val="1"/>
          <w:color w:val="auto"/>
        </w:rPr>
        <w:t xml:space="preserve"> to this Award Agreement) or failure to comply with your obligations under MSCI’s Code of Conduct or otherwise with respect to Confidential Information, as applicable;</w:t>
      </w:r>
    </w:p>
    <w:p>
      <w:pPr>
        <w:spacing w:after="0" w:line="180" w:lineRule="exact"/>
        <w:rPr>
          <w:rFonts w:ascii="Arial" w:cs="Arial" w:eastAsia="Arial" w:hAnsi="Arial"/>
          <w:sz w:val="18"/>
          <w:szCs w:val="18"/>
          <w:color w:val="auto"/>
        </w:rPr>
      </w:pPr>
    </w:p>
    <w:p>
      <w:pPr>
        <w:ind w:right="20" w:firstLine="941"/>
        <w:spacing w:after="0" w:line="261" w:lineRule="auto"/>
        <w:tabs>
          <w:tab w:leader="none" w:pos="1771"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termination from the Company for Cause (or a later determination that you could have been terminated for Cause; provided that such determination is made within six months of termination);</w:t>
      </w:r>
    </w:p>
    <w:p>
      <w:pPr>
        <w:spacing w:after="0" w:line="180" w:lineRule="exact"/>
        <w:rPr>
          <w:rFonts w:ascii="Arial" w:cs="Arial" w:eastAsia="Arial" w:hAnsi="Arial"/>
          <w:sz w:val="18"/>
          <w:szCs w:val="18"/>
          <w:color w:val="auto"/>
        </w:rPr>
      </w:pPr>
    </w:p>
    <w:p>
      <w:pPr>
        <w:ind w:left="1760" w:hanging="819"/>
        <w:spacing w:after="0"/>
        <w:tabs>
          <w:tab w:leader="none" w:pos="17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your commission of a fraudulent act or participation in misconduct which leads to a material restatement of the Company’s financial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statements;</w:t>
      </w:r>
    </w:p>
    <w:p>
      <w:pPr>
        <w:spacing w:after="0" w:line="201" w:lineRule="exact"/>
        <w:rPr>
          <w:rFonts w:ascii="Arial" w:cs="Arial" w:eastAsia="Arial" w:hAnsi="Arial"/>
          <w:sz w:val="16"/>
          <w:szCs w:val="16"/>
          <w:color w:val="auto"/>
        </w:rPr>
      </w:pPr>
    </w:p>
    <w:p>
      <w:pPr>
        <w:ind w:left="1780" w:hanging="839"/>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failure to affirmatively accept the terms of this Award Agreement by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13" w:lineRule="exact"/>
        <w:rPr>
          <w:rFonts w:ascii="Arial" w:cs="Arial" w:eastAsia="Arial" w:hAnsi="Arial"/>
          <w:sz w:val="18"/>
          <w:szCs w:val="18"/>
          <w:color w:val="auto"/>
        </w:rPr>
      </w:pPr>
    </w:p>
    <w:p>
      <w:pPr>
        <w:ind w:right="20" w:firstLine="941"/>
        <w:spacing w:after="0" w:line="261" w:lineRule="auto"/>
        <w:tabs>
          <w:tab w:leader="none" w:pos="1761"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in the case of employees who are not (x) Retirement Eligible Participants or (y) Managing Directors as of the Grant Date, any of the following without the consent of MSCI:</w:t>
      </w:r>
    </w:p>
    <w:p>
      <w:pPr>
        <w:spacing w:after="0" w:line="180" w:lineRule="exact"/>
        <w:rPr>
          <w:rFonts w:ascii="Arial" w:cs="Arial" w:eastAsia="Arial" w:hAnsi="Arial"/>
          <w:sz w:val="18"/>
          <w:szCs w:val="18"/>
          <w:color w:val="auto"/>
        </w:rPr>
      </w:pPr>
    </w:p>
    <w:p>
      <w:pPr>
        <w:jc w:val="both"/>
        <w:ind w:left="940" w:right="20" w:firstLine="859"/>
        <w:spacing w:after="0" w:line="249" w:lineRule="auto"/>
        <w:tabs>
          <w:tab w:leader="none" w:pos="2594" w:val="left"/>
        </w:tabs>
        <w:numPr>
          <w:ilvl w:val="1"/>
          <w:numId w:val="81"/>
        </w:numPr>
        <w:rPr>
          <w:rFonts w:ascii="Arial" w:cs="Arial" w:eastAsia="Arial" w:hAnsi="Arial"/>
          <w:sz w:val="18"/>
          <w:szCs w:val="18"/>
          <w:color w:val="auto"/>
        </w:rPr>
      </w:pPr>
      <w:r>
        <w:rPr>
          <w:rFonts w:ascii="Arial" w:cs="Arial" w:eastAsia="Arial" w:hAnsi="Arial"/>
          <w:sz w:val="18"/>
          <w:szCs w:val="18"/>
          <w:color w:val="auto"/>
        </w:rPr>
        <w:t>while employed by the Company, including during any notice period applicable to you in connection with your termination of employment with the Company, you directly or indirectly in any capacity (including through any person, corporation, partnership or other business entity of any kind) hire or solicit, recruit, induce, entice, influence or encourage any Company employee to leave the Company or become hired or engaged by another company; or</w:t>
      </w:r>
    </w:p>
    <w:p>
      <w:pPr>
        <w:spacing w:after="0" w:line="192" w:lineRule="exact"/>
        <w:rPr>
          <w:rFonts w:ascii="Arial" w:cs="Arial" w:eastAsia="Arial" w:hAnsi="Arial"/>
          <w:sz w:val="18"/>
          <w:szCs w:val="18"/>
          <w:color w:val="auto"/>
        </w:rPr>
      </w:pPr>
    </w:p>
    <w:p>
      <w:pPr>
        <w:jc w:val="both"/>
        <w:ind w:left="940" w:right="20" w:firstLine="859"/>
        <w:spacing w:after="0" w:line="284" w:lineRule="auto"/>
        <w:tabs>
          <w:tab w:leader="none" w:pos="2643" w:val="left"/>
        </w:tabs>
        <w:numPr>
          <w:ilvl w:val="1"/>
          <w:numId w:val="81"/>
        </w:numPr>
        <w:rPr>
          <w:rFonts w:ascii="Arial" w:cs="Arial" w:eastAsia="Arial" w:hAnsi="Arial"/>
          <w:sz w:val="16"/>
          <w:szCs w:val="16"/>
          <w:color w:val="auto"/>
        </w:rPr>
      </w:pPr>
      <w:r>
        <w:rPr>
          <w:rFonts w:ascii="Arial" w:cs="Arial" w:eastAsia="Arial" w:hAnsi="Arial"/>
          <w:sz w:val="16"/>
          <w:szCs w:val="16"/>
          <w:color w:val="auto"/>
        </w:rPr>
        <w:t>while employed by the Company, including during any notice period applicable to you in connection with your termination of employment with the Company, you directly or indirectly in any capacity (including through any person, corporation, partnership or other business entity of any kind) solicit or entice away or in any manner attempt to persuade any client or customer, or prospective client or customer, of the Company (A) to discontinue or diminish his, her or its relationship or prospective relationship with the Company or (A) to otherwise provide his, her or its business to any person, corporation, partnership or other business entity which engages in any line of business in which the Company is engaged (other than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w:t>
            </w:r>
          </w:p>
        </w:tc>
      </w:tr>
      <w:tr>
        <w:trPr>
          <w:trHeight w:val="409"/>
        </w:trPr>
        <w:tc>
          <w:tcPr>
            <w:tcW w:w="620" w:type="dxa"/>
            <w:vAlign w:val="bottom"/>
          </w:tcPr>
          <w:p>
            <w:pPr>
              <w:ind w:left="80"/>
              <w:spacing w:after="0"/>
              <w:rPr>
                <w:sz w:val="20"/>
                <w:szCs w:val="20"/>
                <w:color w:val="auto"/>
              </w:rPr>
            </w:pPr>
            <w:r>
              <w:rPr>
                <w:rFonts w:ascii="Arial" w:cs="Arial" w:eastAsia="Arial" w:hAnsi="Arial"/>
                <w:sz w:val="18"/>
                <w:szCs w:val="18"/>
                <w:color w:val="auto"/>
              </w:rPr>
              <w:t>(a)</w:t>
            </w:r>
          </w:p>
        </w:tc>
        <w:tc>
          <w:tcPr>
            <w:tcW w:w="10640" w:type="dxa"/>
            <w:vAlign w:val="bottom"/>
          </w:tcPr>
          <w:p>
            <w:pPr>
              <w:ind w:left="1180"/>
              <w:spacing w:after="0"/>
              <w:rPr>
                <w:sz w:val="20"/>
                <w:szCs w:val="20"/>
                <w:color w:val="auto"/>
              </w:rPr>
            </w:pPr>
            <w:r>
              <w:rPr>
                <w:rFonts w:ascii="Arial" w:cs="Arial" w:eastAsia="Arial" w:hAnsi="Arial"/>
                <w:sz w:val="18"/>
                <w:szCs w:val="18"/>
                <w:color w:val="auto"/>
                <w:w w:val="94"/>
              </w:rPr>
              <w:t>any act or omission which constitutes a material willful breach of your obligations to the Company or your continued and willful</w:t>
            </w:r>
          </w:p>
        </w:tc>
      </w:tr>
      <w:tr>
        <w:trPr>
          <w:trHeight w:val="210"/>
        </w:trPr>
        <w:tc>
          <w:tcPr>
            <w:tcW w:w="6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refusal to substantially perform satisfactorily any duties reasonably required of you, which results in material injury to the interest or business</w:t>
            </w:r>
          </w:p>
        </w:tc>
      </w:tr>
      <w:tr>
        <w:trPr>
          <w:trHeight w:val="210"/>
        </w:trPr>
        <w:tc>
          <w:tcPr>
            <w:tcW w:w="6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reputation of the Company and which breach, failure or refusal (if susceptible to cure) is not corrected (other than failure to correct by reason of</w:t>
            </w:r>
          </w:p>
        </w:tc>
      </w:tr>
      <w:tr>
        <w:trPr>
          <w:trHeight w:val="210"/>
        </w:trPr>
        <w:tc>
          <w:tcPr>
            <w:tcW w:w="6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 xml:space="preserve">your incapacity due to physical or mental illness) within 30 days after written notification thereof to you by the Company;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no act or</w:t>
            </w:r>
          </w:p>
        </w:tc>
      </w:tr>
      <w:tr>
        <w:trPr>
          <w:trHeight w:val="210"/>
        </w:trPr>
        <w:tc>
          <w:tcPr>
            <w:tcW w:w="6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failure to act on your part shall be deemed willful unless done or omitted to be done by you not in good faith and without reasonable belief that</w:t>
            </w:r>
          </w:p>
        </w:tc>
      </w:tr>
      <w:tr>
        <w:trPr>
          <w:trHeight w:val="222"/>
        </w:trPr>
        <w:tc>
          <w:tcPr>
            <w:tcW w:w="6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your action or omission was in the best interest of the Company;</w:t>
            </w:r>
          </w:p>
        </w:tc>
      </w:tr>
      <w:tr>
        <w:trPr>
          <w:trHeight w:val="409"/>
        </w:trPr>
        <w:tc>
          <w:tcPr>
            <w:tcW w:w="620" w:type="dxa"/>
            <w:vAlign w:val="bottom"/>
          </w:tcPr>
          <w:p>
            <w:pPr>
              <w:ind w:left="80"/>
              <w:spacing w:after="0"/>
              <w:rPr>
                <w:sz w:val="20"/>
                <w:szCs w:val="20"/>
                <w:color w:val="auto"/>
              </w:rPr>
            </w:pPr>
            <w:r>
              <w:rPr>
                <w:rFonts w:ascii="Arial" w:cs="Arial" w:eastAsia="Arial" w:hAnsi="Arial"/>
                <w:sz w:val="18"/>
                <w:szCs w:val="18"/>
                <w:color w:val="auto"/>
              </w:rPr>
              <w:t>(b)</w:t>
            </w:r>
          </w:p>
        </w:tc>
        <w:tc>
          <w:tcPr>
            <w:tcW w:w="10640" w:type="dxa"/>
            <w:vAlign w:val="bottom"/>
          </w:tcPr>
          <w:p>
            <w:pPr>
              <w:ind w:left="1180"/>
              <w:spacing w:after="0"/>
              <w:rPr>
                <w:sz w:val="20"/>
                <w:szCs w:val="20"/>
                <w:color w:val="auto"/>
              </w:rPr>
            </w:pPr>
            <w:r>
              <w:rPr>
                <w:rFonts w:ascii="Arial" w:cs="Arial" w:eastAsia="Arial" w:hAnsi="Arial"/>
                <w:sz w:val="18"/>
                <w:szCs w:val="18"/>
                <w:color w:val="auto"/>
                <w:w w:val="90"/>
              </w:rPr>
              <w:t>your commission of any dishonest or fraudulent act, or any other act or omission with respect to the Company, which has caused or</w:t>
            </w:r>
          </w:p>
        </w:tc>
      </w:tr>
      <w:tr>
        <w:trPr>
          <w:trHeight w:val="210"/>
        </w:trPr>
        <w:tc>
          <w:tcPr>
            <w:tcW w:w="6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may reasonably be expected to cause a material injury to the interest or business reputation of the Company and which act or omission is not</w:t>
            </w:r>
          </w:p>
        </w:tc>
      </w:tr>
      <w:tr>
        <w:trPr>
          <w:trHeight w:val="222"/>
        </w:trPr>
        <w:tc>
          <w:tcPr>
            <w:tcW w:w="6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successfully refuted by you within 30 days after written notification thereof to you by the Company;</w:t>
            </w:r>
          </w:p>
        </w:tc>
      </w:tr>
      <w:tr>
        <w:trPr>
          <w:trHeight w:val="667"/>
        </w:trPr>
        <w:tc>
          <w:tcPr>
            <w:tcW w:w="620" w:type="dxa"/>
            <w:vAlign w:val="bottom"/>
          </w:tcPr>
          <w:p>
            <w:pPr>
              <w:spacing w:after="0"/>
              <w:rPr>
                <w:sz w:val="24"/>
                <w:szCs w:val="24"/>
                <w:color w:val="auto"/>
              </w:rPr>
            </w:pPr>
          </w:p>
        </w:tc>
        <w:tc>
          <w:tcPr>
            <w:tcW w:w="10640" w:type="dxa"/>
            <w:vAlign w:val="bottom"/>
          </w:tcPr>
          <w:p>
            <w:pPr>
              <w:ind w:left="4780"/>
              <w:spacing w:after="0"/>
              <w:rPr>
                <w:sz w:val="20"/>
                <w:szCs w:val="20"/>
                <w:color w:val="auto"/>
              </w:rPr>
            </w:pPr>
            <w:r>
              <w:rPr>
                <w:rFonts w:ascii="Arial" w:cs="Arial" w:eastAsia="Arial" w:hAnsi="Arial"/>
                <w:sz w:val="21"/>
                <w:szCs w:val="21"/>
                <w:color w:val="auto"/>
              </w:rPr>
              <w:t>A-12</w:t>
            </w:r>
          </w:p>
        </w:tc>
      </w:tr>
      <w:tr>
        <w:trPr>
          <w:trHeight w:val="785"/>
        </w:trPr>
        <w:tc>
          <w:tcPr>
            <w:tcW w:w="62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42" w:name="page143"/>
    <w:bookmarkEnd w:id="142"/>
    <w:p>
      <w:pPr>
        <w:ind w:left="940" w:right="60" w:hanging="855"/>
        <w:spacing w:after="0" w:line="261" w:lineRule="auto"/>
        <w:tabs>
          <w:tab w:leader="none" w:pos="9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 xml:space="preserve">your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or conviction of a felony under the laws of the United States or any state thereof or any other plea or confession of a similar crime in a jurisdiction in which the Company conducts business; or</w:t>
      </w:r>
    </w:p>
    <w:p>
      <w:pPr>
        <w:sectPr>
          <w:pgSz w:w="11900" w:h="16838" w:orient="portrait"/>
          <w:cols w:equalWidth="0" w:num="1">
            <w:col w:w="11240"/>
          </w:cols>
          <w:pgMar w:left="320" w:top="337" w:right="339" w:bottom="1440" w:gutter="0" w:footer="0" w:header="0"/>
        </w:sectPr>
      </w:pP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your commission of a fraudulent act or participation in misconduct which leads to a material restatement of the Company’s financial</w:t>
      </w:r>
    </w:p>
    <w:p>
      <w:pPr>
        <w:spacing w:after="0" w:line="38"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ind w:left="940"/>
        <w:spacing w:after="0"/>
        <w:rPr>
          <w:sz w:val="20"/>
          <w:szCs w:val="20"/>
          <w:color w:val="auto"/>
        </w:rPr>
      </w:pPr>
      <w:r>
        <w:rPr>
          <w:rFonts w:ascii="Arial" w:cs="Arial" w:eastAsia="Arial" w:hAnsi="Arial"/>
          <w:sz w:val="18"/>
          <w:szCs w:val="18"/>
          <w:color w:val="auto"/>
        </w:rPr>
        <w:t>statements.</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amended.</w:t>
      </w:r>
    </w:p>
    <w:p>
      <w:pPr>
        <w:sectPr>
          <w:pgSz w:w="11900" w:h="16838" w:orient="portrait"/>
          <w:cols w:equalWidth="0" w:num="1">
            <w:col w:w="11240"/>
          </w:cols>
          <w:pgMar w:left="320" w:top="337" w:right="339" w:bottom="1440" w:gutter="0" w:footer="0" w:header="0"/>
          <w:type w:val="continuous"/>
        </w:sectPr>
      </w:pPr>
    </w:p>
    <w:p>
      <w:pPr>
        <w:spacing w:after="0" w:line="248" w:lineRule="exact"/>
        <w:rPr>
          <w:sz w:val="20"/>
          <w:szCs w:val="20"/>
          <w:color w:val="auto"/>
        </w:rPr>
      </w:pPr>
    </w:p>
    <w:p>
      <w:pPr>
        <w:jc w:val="both"/>
        <w:ind w:firstLine="93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xml:space="preserve">” has the meaning ascribed to such term in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 Head of Compensation and Benefits.</w:t>
      </w:r>
    </w:p>
    <w:p>
      <w:pPr>
        <w:spacing w:after="0" w:line="144"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the occurrence of any of the following without your prior written consent:</w:t>
      </w:r>
    </w:p>
    <w:p>
      <w:pPr>
        <w:spacing w:after="0" w:line="220" w:lineRule="exact"/>
        <w:rPr>
          <w:sz w:val="20"/>
          <w:szCs w:val="20"/>
          <w:color w:val="auto"/>
        </w:rPr>
      </w:pPr>
    </w:p>
    <w:p>
      <w:pPr>
        <w:jc w:val="both"/>
        <w:ind w:left="940" w:hanging="855"/>
        <w:spacing w:after="0" w:line="299" w:lineRule="auto"/>
        <w:tabs>
          <w:tab w:leader="none" w:pos="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54" w:lineRule="exact"/>
        <w:rPr>
          <w:sz w:val="20"/>
          <w:szCs w:val="20"/>
          <w:color w:val="auto"/>
        </w:rPr>
      </w:pPr>
    </w:p>
    <w:p>
      <w:pPr>
        <w:jc w:val="both"/>
        <w:ind w:left="940" w:hanging="855"/>
        <w:spacing w:after="0" w:line="279" w:lineRule="auto"/>
        <w:tabs>
          <w:tab w:leader="none" w:pos="9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Arial" w:cs="Arial" w:eastAsia="Arial" w:hAnsi="Arial"/>
          <w:sz w:val="16"/>
          <w:szCs w:val="16"/>
          <w:b w:val="1"/>
          <w:bCs w:val="1"/>
          <w:color w:val="auto"/>
        </w:rPr>
        <w:t>Equity Value</w:t>
      </w:r>
      <w:r>
        <w:rPr>
          <w:rFonts w:ascii="Arial" w:cs="Arial" w:eastAsia="Arial" w:hAnsi="Arial"/>
          <w:sz w:val="16"/>
          <w:szCs w:val="16"/>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ectPr>
          <w:pgSz w:w="11900" w:h="16838" w:orient="portrait"/>
          <w:cols w:equalWidth="0" w:num="1">
            <w:col w:w="11240"/>
          </w:cols>
          <w:pgMar w:left="320" w:top="337" w:right="339" w:bottom="1440" w:gutter="0" w:footer="0" w:header="0"/>
          <w:type w:val="continuous"/>
        </w:sectPr>
      </w:pP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 relocation of more than 25 miles from the location of your principal job or office location prior to a Change in Control; or</w:t>
      </w:r>
    </w:p>
    <w:p>
      <w:pPr>
        <w:spacing w:after="0" w:line="200"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left="940" w:hanging="855"/>
        <w:spacing w:after="0" w:line="261" w:lineRule="auto"/>
        <w:tabs>
          <w:tab w:leader="none" w:pos="9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any other action or inaction that constitutes a material breach by the Company of any agreement pursuant to which you provide services to the Company;</w:t>
      </w:r>
    </w:p>
    <w:p>
      <w:pPr>
        <w:sectPr>
          <w:pgSz w:w="11900" w:h="16838" w:orient="portrait"/>
          <w:cols w:equalWidth="0" w:num="1">
            <w:col w:w="11240"/>
          </w:cols>
          <w:pgMar w:left="320" w:top="337" w:right="339" w:bottom="1440" w:gutter="0" w:footer="0" w:header="0"/>
          <w:type w:val="continuous"/>
        </w:sectPr>
      </w:pPr>
    </w:p>
    <w:p>
      <w:pPr>
        <w:spacing w:after="0" w:line="181" w:lineRule="exact"/>
        <w:rPr>
          <w:sz w:val="20"/>
          <w:szCs w:val="20"/>
          <w:color w:val="auto"/>
        </w:rPr>
      </w:pPr>
    </w:p>
    <w:p>
      <w:pPr>
        <w:ind w:firstLine="936"/>
        <w:spacing w:after="0" w:line="26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Good Reason shall not be deemed to exist unless (x) you provide the Company with written notice of your intent to terminate your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Good Reason within 90 days of your becoming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7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3" w:name="page144"/>
    <w:bookmarkEnd w:id="143"/>
    <w:p>
      <w:pPr>
        <w:jc w:val="both"/>
        <w:spacing w:after="0" w:line="290" w:lineRule="auto"/>
        <w:rPr>
          <w:sz w:val="20"/>
          <w:szCs w:val="20"/>
          <w:color w:val="auto"/>
        </w:rPr>
      </w:pPr>
      <w:r>
        <w:rPr>
          <w:rFonts w:ascii="Arial" w:cs="Arial" w:eastAsia="Arial" w:hAnsi="Arial"/>
          <w:sz w:val="16"/>
          <w:szCs w:val="16"/>
          <w:color w:val="auto"/>
        </w:rPr>
        <w:t>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 days following receipt of such notice and (z) you actually resign from employment with the Company within 60 days after the expiration of the cure period descried in clause (y).</w:t>
      </w:r>
    </w:p>
    <w:p>
      <w:pPr>
        <w:spacing w:after="0" w:line="15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Legacy Retirement Eligibility</w:t>
      </w:r>
      <w:r>
        <w:rPr>
          <w:rFonts w:ascii="Arial" w:cs="Arial" w:eastAsia="Arial" w:hAnsi="Arial"/>
          <w:sz w:val="16"/>
          <w:szCs w:val="16"/>
          <w:color w:val="auto"/>
        </w:rPr>
        <w:t>” means your attainment, at any time on or prior to December 31, 2014, of any of the following criteria:</w:t>
      </w:r>
    </w:p>
    <w:p>
      <w:pPr>
        <w:sectPr>
          <w:pgSz w:w="11900" w:h="16838" w:orient="portrait"/>
          <w:cols w:equalWidth="0" w:num="1">
            <w:col w:w="11240"/>
          </w:cols>
          <w:pgMar w:left="320" w:top="337" w:right="339" w:bottom="1440" w:gutter="0" w:footer="0" w:header="0"/>
        </w:sect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age 55 and 12 years of service with the Company as a Managing Director or comparable officer; or</w:t>
      </w:r>
    </w:p>
    <w:p>
      <w:pPr>
        <w:spacing w:after="0" w:line="211"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age 50 and 15 years as an officer of the Company; or</w:t>
      </w:r>
    </w:p>
    <w:p>
      <w:pPr>
        <w:spacing w:after="0" w:line="211"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age 55 with five years of service with the Company and age plus years of service equals or exceeds 65; or</w:t>
      </w:r>
    </w:p>
    <w:p>
      <w:pPr>
        <w:spacing w:after="0" w:line="211"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 years of service with the Company;</w:t>
      </w:r>
    </w:p>
    <w:p>
      <w:pPr>
        <w:spacing w:after="0" w:line="211"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this definition, service with the Company will include any period of service with the following entities and any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predecessors:</w:t>
      </w:r>
    </w:p>
    <w:p>
      <w:pPr>
        <w:sectPr>
          <w:pgSz w:w="11900" w:h="16838" w:orient="portrait"/>
          <w:cols w:equalWidth="0" w:num="1">
            <w:col w:w="11240"/>
          </w:cols>
          <w:pgMar w:left="320" w:top="337" w:right="339" w:bottom="1440" w:gutter="0" w:footer="0" w:header="0"/>
          <w:type w:val="continuous"/>
        </w:sectPr>
      </w:pP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Barra Inc. and its subsidiaries, prior to the acquisition by the Company;</w:t>
      </w:r>
    </w:p>
    <w:p>
      <w:pPr>
        <w:spacing w:after="0" w:line="234"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Capital International Perspectives S.A., prior to the acquisition by the Company;</w:t>
      </w:r>
    </w:p>
    <w:p>
      <w:pPr>
        <w:spacing w:after="0" w:line="222"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Morgan Stanley;</w:t>
      </w:r>
    </w:p>
    <w:p>
      <w:pPr>
        <w:spacing w:after="0" w:line="234"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Morgan Stanley Group Inc. and its subsidiaries (“</w:t>
      </w:r>
      <w:r>
        <w:rPr>
          <w:rFonts w:ascii="Arial" w:cs="Arial" w:eastAsia="Arial" w:hAnsi="Arial"/>
          <w:sz w:val="16"/>
          <w:szCs w:val="16"/>
          <w:b w:val="1"/>
          <w:bCs w:val="1"/>
          <w:color w:val="auto"/>
        </w:rPr>
        <w:t>MS Group</w:t>
      </w:r>
      <w:r>
        <w:rPr>
          <w:rFonts w:ascii="Arial" w:cs="Arial" w:eastAsia="Arial" w:hAnsi="Arial"/>
          <w:sz w:val="16"/>
          <w:szCs w:val="16"/>
          <w:color w:val="auto"/>
        </w:rPr>
        <w:t>”) prior to the merger with and into Dean Witter, Discover &amp; Co.; and</w:t>
      </w:r>
    </w:p>
    <w:p>
      <w:pPr>
        <w:spacing w:after="0" w:line="228"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8" w:lineRule="exact"/>
        <w:rPr>
          <w:sz w:val="20"/>
          <w:szCs w:val="20"/>
          <w:color w:val="auto"/>
        </w:rPr>
      </w:pPr>
    </w:p>
    <w:p>
      <w:pPr>
        <w:jc w:val="both"/>
        <w:ind w:left="940" w:hanging="855"/>
        <w:spacing w:after="0" w:line="288" w:lineRule="auto"/>
        <w:tabs>
          <w:tab w:leader="none" w:pos="9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Dean Witter, Discover &amp; Co. and its subsidiaries (“</w:t>
      </w:r>
      <w:r>
        <w:rPr>
          <w:rFonts w:ascii="Arial" w:cs="Arial" w:eastAsia="Arial" w:hAnsi="Arial"/>
          <w:sz w:val="16"/>
          <w:szCs w:val="16"/>
          <w:b w:val="1"/>
          <w:bCs w:val="1"/>
          <w:color w:val="auto"/>
        </w:rPr>
        <w:t>DWD</w:t>
      </w:r>
      <w:r>
        <w:rPr>
          <w:rFonts w:ascii="Arial" w:cs="Arial" w:eastAsia="Arial" w:hAnsi="Arial"/>
          <w:sz w:val="16"/>
          <w:szCs w:val="16"/>
          <w:color w:val="auto"/>
        </w:rPr>
        <w:t xml:space="preserve">”) prior to the merger of Morgan Stanley Group Inc. with and into Dean Witter, Discover &amp; Co.;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ectPr>
          <w:pgSz w:w="11900" w:h="16838" w:orient="portrait"/>
          <w:cols w:equalWidth="0" w:num="1">
            <w:col w:w="11240"/>
          </w:cols>
          <w:pgMar w:left="320" w:top="337" w:right="339" w:bottom="1440" w:gutter="0" w:footer="0" w:header="0"/>
          <w:type w:val="continuous"/>
        </w:sectPr>
      </w:pPr>
    </w:p>
    <w:p>
      <w:pPr>
        <w:spacing w:after="0" w:line="164"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86"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Legacy Retirement Eligibility.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7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4" w:name="page145"/>
    <w:bookmarkEnd w:id="144"/>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Requirements</w:t>
      </w:r>
      <w:r>
        <w:rPr>
          <w:rFonts w:ascii="Arial" w:cs="Arial" w:eastAsia="Arial" w:hAnsi="Arial"/>
          <w:sz w:val="18"/>
          <w:szCs w:val="18"/>
          <w:color w:val="auto"/>
        </w:rPr>
        <w:t>” means prior written notice to MSCI of at least: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5"/>
          <w:szCs w:val="15"/>
          <w:color w:val="auto"/>
        </w:rPr>
        <w:t>180 days if you are a member of the MSCI Executive Committee (or a successor or equivalent committee) at the time of notice of</w:t>
      </w:r>
    </w:p>
    <w:p>
      <w:pPr>
        <w:spacing w:after="0" w:line="49" w:lineRule="exact"/>
        <w:rPr>
          <w:sz w:val="20"/>
          <w:szCs w:val="20"/>
          <w:color w:val="auto"/>
        </w:rPr>
      </w:pPr>
    </w:p>
    <w:p>
      <w:pPr>
        <w:sectPr>
          <w:pgSz w:w="11900" w:h="16838" w:orient="portrait"/>
          <w:cols w:equalWidth="0" w:num="2">
            <w:col w:w="280" w:space="660"/>
            <w:col w:w="10300"/>
          </w:cols>
          <w:pgMar w:left="320" w:top="542" w:right="339" w:bottom="1440" w:gutter="0" w:footer="0" w:header="0"/>
        </w:sectPr>
      </w:pPr>
    </w:p>
    <w:p>
      <w:pPr>
        <w:ind w:left="940"/>
        <w:spacing w:after="0"/>
        <w:rPr>
          <w:sz w:val="20"/>
          <w:szCs w:val="20"/>
          <w:color w:val="auto"/>
        </w:rPr>
      </w:pPr>
      <w:r>
        <w:rPr>
          <w:rFonts w:ascii="Arial" w:cs="Arial" w:eastAsia="Arial" w:hAnsi="Arial"/>
          <w:sz w:val="18"/>
          <w:szCs w:val="18"/>
          <w:color w:val="auto"/>
        </w:rPr>
        <w:t>resignation;</w:t>
      </w:r>
    </w:p>
    <w:p>
      <w:pPr>
        <w:spacing w:after="0" w:line="202" w:lineRule="exact"/>
        <w:rPr>
          <w:sz w:val="20"/>
          <w:szCs w:val="20"/>
          <w:color w:val="auto"/>
        </w:rPr>
      </w:pPr>
    </w:p>
    <w:p>
      <w:pPr>
        <w:ind w:left="80" w:right="1540"/>
        <w:spacing w:after="0" w:line="487" w:lineRule="auto"/>
        <w:rPr>
          <w:sz w:val="20"/>
          <w:szCs w:val="20"/>
          <w:color w:val="auto"/>
        </w:rPr>
      </w:pPr>
      <w:r>
        <w:rPr>
          <w:rFonts w:ascii="Arial" w:cs="Arial" w:eastAsia="Arial" w:hAnsi="Arial"/>
          <w:sz w:val="18"/>
          <w:szCs w:val="18"/>
          <w:color w:val="auto"/>
        </w:rPr>
        <w:t>(b) 90 days if you are a Managing Director of the Company (or equivalent title) at the time of notice of resignation; (c) 60 days if you are an Executive Director of the Company (or equivalent title) at the time of notice of resignation; (d) 30 days if you are a Vice President of the Company (or equivalent title) at the time of notice of resignation; or (e) 14 days for all other employees of the Company.</w:t>
      </w:r>
    </w:p>
    <w:p>
      <w:pPr>
        <w:sectPr>
          <w:pgSz w:w="11900" w:h="16838" w:orient="portrait"/>
          <w:cols w:equalWidth="0" w:num="1">
            <w:col w:w="11240"/>
          </w:cols>
          <w:pgMar w:left="320" w:top="542" w:right="339" w:bottom="1440" w:gutter="0" w:footer="0" w:header="0"/>
          <w:type w:val="continuous"/>
        </w:sectPr>
      </w:pP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75" w:lineRule="exact"/>
        <w:rPr>
          <w:sz w:val="20"/>
          <w:szCs w:val="20"/>
          <w:color w:val="auto"/>
        </w:rPr>
      </w:pPr>
    </w:p>
    <w:p>
      <w:pPr>
        <w:ind w:firstLine="93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 Eligible Participant</w:t>
      </w:r>
      <w:r>
        <w:rPr>
          <w:rFonts w:ascii="Arial" w:cs="Arial" w:eastAsia="Arial" w:hAnsi="Arial"/>
          <w:sz w:val="18"/>
          <w:szCs w:val="18"/>
          <w:color w:val="auto"/>
        </w:rPr>
        <w:t>” means any Participant who, as of the applicable date of determination, satisfies the requirements for Legacy Retirement Eligibility, 55/10 Retirement Eligibility or 62/10 Retirement Eligibility, as the case may be.</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 Termination</w:t>
      </w:r>
      <w:r>
        <w:rPr>
          <w:rFonts w:ascii="Arial" w:cs="Arial" w:eastAsia="Arial" w:hAnsi="Arial"/>
          <w:sz w:val="16"/>
          <w:szCs w:val="16"/>
          <w:color w:val="auto"/>
        </w:rPr>
        <w:t>” means a Legacy Retirement Termination, a 55/10 Retirement Termination or a 62/10 Retirement Termination,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Section 409A of the Code.</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7804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7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220" w:lineRule="exact"/>
        <w:rPr>
          <w:sz w:val="20"/>
          <w:szCs w:val="20"/>
          <w:color w:val="auto"/>
        </w:rPr>
      </w:pPr>
    </w:p>
    <w:p>
      <w:pPr>
        <w:ind w:firstLine="936"/>
        <w:spacing w:after="0" w:line="261" w:lineRule="auto"/>
        <w:rPr>
          <w:sz w:val="20"/>
          <w:szCs w:val="20"/>
          <w:color w:val="auto"/>
        </w:rPr>
      </w:pPr>
      <w:r>
        <w:rPr>
          <w:rFonts w:ascii="Arial" w:cs="Arial" w:eastAsia="Arial" w:hAnsi="Arial"/>
          <w:sz w:val="18"/>
          <w:szCs w:val="18"/>
          <w:color w:val="auto"/>
        </w:rPr>
        <w:t xml:space="preserve">All Participants are subject to the provisions of this </w:t>
      </w:r>
      <w:r>
        <w:rPr>
          <w:rFonts w:ascii="Arial" w:cs="Arial" w:eastAsia="Arial" w:hAnsi="Arial"/>
          <w:sz w:val="18"/>
          <w:szCs w:val="18"/>
          <w:u w:val="single" w:color="auto"/>
          <w:color w:val="auto"/>
        </w:rPr>
        <w:t>Exhibit B</w:t>
      </w:r>
      <w:r>
        <w:rPr>
          <w:rFonts w:ascii="Arial" w:cs="Arial" w:eastAsia="Arial" w:hAnsi="Arial"/>
          <w:sz w:val="18"/>
          <w:szCs w:val="18"/>
          <w:color w:val="auto"/>
        </w:rPr>
        <w:t>, as may be applicable to them pursuant to the Award Agreement. Capitalized terms used and not otherwise defined herein shall have the meanings ascribed to them in the Award Agreement.</w:t>
      </w:r>
    </w:p>
    <w:p>
      <w:pPr>
        <w:spacing w:after="0" w:line="391" w:lineRule="exact"/>
        <w:rPr>
          <w:sz w:val="20"/>
          <w:szCs w:val="20"/>
          <w:color w:val="auto"/>
        </w:rPr>
      </w:pPr>
    </w:p>
    <w:p>
      <w:pPr>
        <w:ind w:left="1880"/>
        <w:spacing w:after="0"/>
        <w:tabs>
          <w:tab w:leader="none" w:pos="44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Confidential Information; Assignment of Inventions</w:t>
      </w:r>
      <w:r>
        <w:rPr>
          <w:rFonts w:ascii="Arial" w:cs="Arial" w:eastAsia="Arial" w:hAnsi="Arial"/>
          <w:sz w:val="16"/>
          <w:szCs w:val="16"/>
          <w:color w:val="auto"/>
        </w:rPr>
        <w:t>.</w:t>
      </w:r>
    </w:p>
    <w:p>
      <w:pPr>
        <w:spacing w:after="0" w:line="214" w:lineRule="exact"/>
        <w:rPr>
          <w:sz w:val="20"/>
          <w:szCs w:val="20"/>
          <w:color w:val="auto"/>
        </w:rPr>
      </w:pPr>
    </w:p>
    <w:p>
      <w:pPr>
        <w:jc w:val="both"/>
        <w:ind w:firstLine="1878"/>
        <w:spacing w:after="0" w:line="252" w:lineRule="auto"/>
        <w:tabs>
          <w:tab w:leader="none" w:pos="2698"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89" w:lineRule="exact"/>
        <w:rPr>
          <w:rFonts w:ascii="Arial" w:cs="Arial" w:eastAsia="Arial" w:hAnsi="Arial"/>
          <w:sz w:val="18"/>
          <w:szCs w:val="18"/>
          <w:color w:val="auto"/>
        </w:rPr>
      </w:pPr>
    </w:p>
    <w:p>
      <w:pPr>
        <w:jc w:val="both"/>
        <w:ind w:firstLine="1878"/>
        <w:spacing w:after="0" w:line="290" w:lineRule="auto"/>
        <w:tabs>
          <w:tab w:leader="none" w:pos="2708"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prohibit you from disclosing Confidential Information if such disclosure is required by law, governmental process or valid legal process.</w:t>
      </w:r>
    </w:p>
    <w:p>
      <w:pPr>
        <w:spacing w:after="0" w:line="162" w:lineRule="exact"/>
        <w:rPr>
          <w:rFonts w:ascii="Arial" w:cs="Arial" w:eastAsia="Arial" w:hAnsi="Arial"/>
          <w:sz w:val="16"/>
          <w:szCs w:val="16"/>
          <w:color w:val="auto"/>
        </w:rPr>
      </w:pPr>
    </w:p>
    <w:p>
      <w:pPr>
        <w:jc w:val="both"/>
        <w:ind w:firstLine="1878"/>
        <w:spacing w:after="0" w:line="281" w:lineRule="auto"/>
        <w:tabs>
          <w:tab w:leader="none" w:pos="2698"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Arial" w:cs="Arial" w:eastAsia="Arial" w:hAnsi="Arial"/>
          <w:sz w:val="16"/>
          <w:szCs w:val="16"/>
          <w:u w:val="single" w:color="auto"/>
          <w:color w:val="auto"/>
        </w:rPr>
        <w:t>Exhibit B</w:t>
      </w:r>
      <w:r>
        <w:rPr>
          <w:rFonts w:ascii="Arial" w:cs="Arial" w:eastAsia="Arial" w:hAnsi="Arial"/>
          <w:sz w:val="16"/>
          <w:szCs w:val="16"/>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69" w:lineRule="exact"/>
        <w:rPr>
          <w:rFonts w:ascii="Arial" w:cs="Arial" w:eastAsia="Arial" w:hAnsi="Arial"/>
          <w:sz w:val="16"/>
          <w:szCs w:val="16"/>
          <w:color w:val="auto"/>
        </w:rPr>
      </w:pPr>
    </w:p>
    <w:p>
      <w:pPr>
        <w:jc w:val="both"/>
        <w:ind w:firstLine="1878"/>
        <w:spacing w:after="0" w:line="286" w:lineRule="auto"/>
        <w:tabs>
          <w:tab w:leader="none" w:pos="333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66" w:lineRule="exact"/>
        <w:rPr>
          <w:sz w:val="20"/>
          <w:szCs w:val="20"/>
          <w:color w:val="auto"/>
        </w:rPr>
      </w:pPr>
    </w:p>
    <w:p>
      <w:pPr>
        <w:jc w:val="both"/>
        <w:ind w:firstLine="1878"/>
        <w:spacing w:after="0" w:line="281" w:lineRule="auto"/>
        <w:tabs>
          <w:tab w:leader="none" w:pos="33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Without limiting the generality of the foregoing, nothing in this Award Agreement precludes or otherwise limits your ability to (i) communicate directly with and provide information, including documents, not otherwise protected from disclosure by any applicable law or privilege to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or any other federal, state or local governmental agency or commission (“</w:t>
      </w:r>
      <w:r>
        <w:rPr>
          <w:rFonts w:ascii="Arial" w:cs="Arial" w:eastAsia="Arial" w:hAnsi="Arial"/>
          <w:sz w:val="16"/>
          <w:szCs w:val="16"/>
          <w:b w:val="1"/>
          <w:bCs w:val="1"/>
          <w:color w:val="auto"/>
        </w:rPr>
        <w:t>Government</w:t>
      </w:r>
      <w:r>
        <w:rPr>
          <w:rFonts w:ascii="Arial" w:cs="Arial" w:eastAsia="Arial" w:hAnsi="Arial"/>
          <w:sz w:val="16"/>
          <w:szCs w:val="16"/>
          <w:color w:val="auto"/>
        </w:rPr>
        <w:t xml:space="preserve"> </w:t>
      </w:r>
      <w:r>
        <w:rPr>
          <w:rFonts w:ascii="Arial" w:cs="Arial" w:eastAsia="Arial" w:hAnsi="Arial"/>
          <w:sz w:val="16"/>
          <w:szCs w:val="16"/>
          <w:b w:val="1"/>
          <w:bCs w:val="1"/>
          <w:color w:val="auto"/>
        </w:rPr>
        <w:t>Agency</w:t>
      </w:r>
      <w:r>
        <w:rPr>
          <w:rFonts w:ascii="Arial" w:cs="Arial" w:eastAsia="Arial" w:hAnsi="Arial"/>
          <w:sz w:val="16"/>
          <w:szCs w:val="16"/>
          <w:color w:val="auto"/>
        </w:rPr>
        <w:t>”) or self-regulatory organization regarding possible legal violations, without disclosure to the Company, or (i) disclose information which is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898525</wp:posOffset>
            </wp:positionV>
            <wp:extent cx="717804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7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both"/>
        <w:ind w:firstLine="1878"/>
        <w:spacing w:after="0" w:line="281" w:lineRule="auto"/>
        <w:tabs>
          <w:tab w:leader="none" w:pos="3339" w:val="left"/>
        </w:tabs>
        <w:numPr>
          <w:ilvl w:val="0"/>
          <w:numId w:val="84"/>
        </w:numPr>
        <w:rPr>
          <w:rFonts w:ascii="Arial" w:cs="Arial" w:eastAsia="Arial" w:hAnsi="Arial"/>
          <w:sz w:val="16"/>
          <w:szCs w:val="16"/>
          <w:color w:val="auto"/>
        </w:rPr>
      </w:pPr>
      <w:r>
        <w:rPr>
          <w:rFonts w:ascii="Arial" w:cs="Arial" w:eastAsia="Arial" w:hAnsi="Arial"/>
          <w:sz w:val="16"/>
          <w:szCs w:val="16"/>
          <w:color w:val="auto"/>
        </w:rPr>
        <w:t>Pursuant to Section 7 of the Defend Trade Secrets Act of 2016 (which added 18 U.S.C. § 1833(b)), you and the Company acknowledge and agree that you shall not have criminal or civil liability under any federal or state trade secret law for the disclosure of a trade secret that (i) is made (A) in confidence to a federal, State, or local government official, either directly or indirectly, or to an attorney and (A) solely for the purpose of reporting or investigating a suspected violation of law; or (i)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Award Agreement is intended to conflict with 18 U.S.C. §1833(b) or create liability for disclosures of trade secrets that are expressly allowed by such Section.</w:t>
      </w:r>
    </w:p>
    <w:p>
      <w:pPr>
        <w:spacing w:after="0" w:line="169" w:lineRule="exact"/>
        <w:rPr>
          <w:sz w:val="20"/>
          <w:szCs w:val="20"/>
          <w:color w:val="auto"/>
        </w:rPr>
      </w:pPr>
    </w:p>
    <w:p>
      <w:pPr>
        <w:jc w:val="both"/>
        <w:ind w:firstLine="936"/>
        <w:spacing w:after="0" w:line="24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Non-Compete</w:t>
      </w:r>
      <w:r>
        <w:rPr>
          <w:rFonts w:ascii="Arial" w:cs="Arial" w:eastAsia="Arial" w:hAnsi="Arial"/>
          <w:sz w:val="18"/>
          <w:szCs w:val="18"/>
          <w:color w:val="auto"/>
        </w:rPr>
        <w:t>. During your employment or service with the Company and for a period of one year following the termination of your employment or service with the Company for any reason (the “</w:t>
      </w:r>
      <w:r>
        <w:rPr>
          <w:rFonts w:ascii="Arial" w:cs="Arial" w:eastAsia="Arial" w:hAnsi="Arial"/>
          <w:sz w:val="18"/>
          <w:szCs w:val="18"/>
          <w:b w:val="1"/>
          <w:bCs w:val="1"/>
          <w:color w:val="auto"/>
        </w:rPr>
        <w:t>Non-Compete Restricted Period</w:t>
      </w:r>
      <w:r>
        <w:rPr>
          <w:rFonts w:ascii="Arial" w:cs="Arial" w:eastAsia="Arial" w:hAnsi="Arial"/>
          <w:sz w:val="18"/>
          <w:szCs w:val="18"/>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97" w:lineRule="exact"/>
        <w:rPr>
          <w:sz w:val="20"/>
          <w:szCs w:val="20"/>
          <w:color w:val="auto"/>
        </w:rPr>
      </w:pPr>
    </w:p>
    <w:p>
      <w:pPr>
        <w:jc w:val="both"/>
        <w:ind w:firstLine="936"/>
        <w:spacing w:after="0" w:line="28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Non-Solicit and No-Hire</w:t>
      </w:r>
      <w:r>
        <w:rPr>
          <w:rFonts w:ascii="Arial" w:cs="Arial" w:eastAsia="Arial" w:hAnsi="Arial"/>
          <w:sz w:val="16"/>
          <w:szCs w:val="16"/>
          <w:color w:val="auto"/>
        </w:rPr>
        <w:t>. During your employment or service with the Company and for a period of two years following the termination of your employment or service with the Company for any reason (the “</w:t>
      </w:r>
      <w:r>
        <w:rPr>
          <w:rFonts w:ascii="Arial" w:cs="Arial" w:eastAsia="Arial" w:hAnsi="Arial"/>
          <w:sz w:val="16"/>
          <w:szCs w:val="16"/>
          <w:b w:val="1"/>
          <w:bCs w:val="1"/>
          <w:color w:val="auto"/>
        </w:rPr>
        <w:t>Non-Solicit Restricted Period</w:t>
      </w:r>
      <w:r>
        <w:rPr>
          <w:rFonts w:ascii="Arial" w:cs="Arial" w:eastAsia="Arial" w:hAnsi="Arial"/>
          <w:sz w:val="16"/>
          <w:szCs w:val="16"/>
          <w:color w:val="auto"/>
        </w:rPr>
        <w:t>”), you shall not, directly or indirectly,</w:t>
      </w:r>
    </w:p>
    <w:p>
      <w:pPr>
        <w:jc w:val="both"/>
        <w:ind w:firstLine="5"/>
        <w:spacing w:after="0" w:line="310" w:lineRule="auto"/>
        <w:tabs>
          <w:tab w:leader="none" w:pos="246" w:val="left"/>
        </w:tabs>
        <w:numPr>
          <w:ilvl w:val="0"/>
          <w:numId w:val="85"/>
        </w:numPr>
        <w:rPr>
          <w:rFonts w:ascii="Arial" w:cs="Arial" w:eastAsia="Arial" w:hAnsi="Arial"/>
          <w:sz w:val="15"/>
          <w:szCs w:val="15"/>
          <w:color w:val="auto"/>
        </w:rPr>
      </w:pPr>
      <w:r>
        <w:rPr>
          <w:rFonts w:ascii="Arial" w:cs="Arial" w:eastAsia="Arial" w:hAnsi="Arial"/>
          <w:sz w:val="15"/>
          <w:szCs w:val="15"/>
          <w:color w:val="auto"/>
        </w:rPr>
        <w:t>solicit or encourage any employee of the Company to terminate his or her employment with the Company, (b) hire any employee of the Company prior to the date on which such person has not been employed by the Company or any of its Subsidiaries for a period of at least one year or (c)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49" w:lineRule="exact"/>
        <w:rPr>
          <w:sz w:val="20"/>
          <w:szCs w:val="20"/>
          <w:color w:val="auto"/>
        </w:rPr>
      </w:pPr>
    </w:p>
    <w:p>
      <w:pPr>
        <w:jc w:val="both"/>
        <w:ind w:firstLine="936"/>
        <w:spacing w:after="0" w:line="29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Non-Disparagement</w:t>
      </w:r>
      <w:r>
        <w:rPr>
          <w:rFonts w:ascii="Arial" w:cs="Arial" w:eastAsia="Arial" w:hAnsi="Arial"/>
          <w:sz w:val="16"/>
          <w:szCs w:val="16"/>
          <w:color w:val="auto"/>
        </w:rPr>
        <w:t>.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162" w:lineRule="exact"/>
        <w:rPr>
          <w:sz w:val="20"/>
          <w:szCs w:val="20"/>
          <w:color w:val="auto"/>
        </w:rPr>
      </w:pPr>
    </w:p>
    <w:p>
      <w:pPr>
        <w:jc w:val="both"/>
        <w:ind w:firstLine="936"/>
        <w:spacing w:after="0" w:line="27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Certain Remedies</w:t>
      </w:r>
      <w:r>
        <w:rPr>
          <w:rFonts w:ascii="Arial" w:cs="Arial" w:eastAsia="Arial" w:hAnsi="Arial"/>
          <w:sz w:val="16"/>
          <w:szCs w:val="16"/>
          <w:color w:val="auto"/>
        </w:rPr>
        <w:t xml:space="preserve">. You acknowledge that the terms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Award Agreement shall be enforceable as so modified after the expiration of the time within which the judgment or decision may be appealed. You acknowledge that the Company and its shareholders would be irreparably harmed by any breach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that there would be no adequate remedy at law or in damages to compensate the Company and its shareholders for any such breach. You</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765175</wp:posOffset>
            </wp:positionV>
            <wp:extent cx="717804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7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both"/>
        <w:spacing w:after="0" w:line="249" w:lineRule="auto"/>
        <w:rPr>
          <w:sz w:val="20"/>
          <w:szCs w:val="20"/>
          <w:color w:val="auto"/>
        </w:rPr>
      </w:pPr>
      <w:r>
        <w:rPr>
          <w:rFonts w:ascii="Arial" w:cs="Arial" w:eastAsia="Arial" w:hAnsi="Arial"/>
          <w:sz w:val="18"/>
          <w:szCs w:val="18"/>
          <w:color w:val="auto"/>
        </w:rPr>
        <w:t xml:space="preserve">agree that MSCI shall be entitled to injunctive relief, without having to post bond or other security, requiring specific performance by you of your obligations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ind w:left="940"/>
              <w:spacing w:after="0"/>
              <w:rPr>
                <w:sz w:val="20"/>
                <w:szCs w:val="20"/>
                <w:color w:val="auto"/>
              </w:rPr>
            </w:pPr>
            <w:r>
              <w:rPr>
                <w:rFonts w:ascii="Arial" w:cs="Arial" w:eastAsia="Arial" w:hAnsi="Arial"/>
                <w:sz w:val="18"/>
                <w:szCs w:val="18"/>
                <w:color w:val="auto"/>
              </w:rPr>
              <w:t>Section 6.</w:t>
            </w:r>
          </w:p>
        </w:tc>
        <w:tc>
          <w:tcPr>
            <w:tcW w:w="8220" w:type="dxa"/>
            <w:vAlign w:val="bottom"/>
            <w:gridSpan w:val="5"/>
          </w:tcPr>
          <w:p>
            <w:pPr>
              <w:ind w:left="880"/>
              <w:spacing w:after="0"/>
              <w:rPr>
                <w:sz w:val="20"/>
                <w:szCs w:val="20"/>
                <w:color w:val="auto"/>
              </w:rPr>
            </w:pPr>
            <w:r>
              <w:rPr>
                <w:rFonts w:ascii="Arial" w:cs="Arial" w:eastAsia="Arial" w:hAnsi="Arial"/>
                <w:sz w:val="18"/>
                <w:szCs w:val="18"/>
                <w:color w:val="auto"/>
                <w:w w:val="89"/>
              </w:rPr>
              <w:t>Definitions. For purposes of this Exhibit B and the Award Agreement, the following terms shall have the</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following meanings:</w:t>
            </w:r>
          </w:p>
        </w:tc>
        <w:tc>
          <w:tcPr>
            <w:tcW w:w="8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360" w:type="dxa"/>
            <w:vAlign w:val="bottom"/>
          </w:tcPr>
          <w:p>
            <w:pPr>
              <w:spacing w:after="0"/>
              <w:rPr>
                <w:sz w:val="19"/>
                <w:szCs w:val="19"/>
                <w:color w:val="auto"/>
              </w:rPr>
            </w:pPr>
          </w:p>
        </w:tc>
      </w:tr>
    </w:tbl>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any person, entity or business that is engaged in, or that owns a significant equity, voting, financial or other interest in an entity that is engaged in, one or more Competing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Competing Business</w:t>
      </w:r>
      <w:r>
        <w:rPr>
          <w:rFonts w:ascii="Arial" w:cs="Arial" w:eastAsia="Arial" w:hAnsi="Arial"/>
          <w:sz w:val="15"/>
          <w:szCs w:val="15"/>
          <w:color w:val="auto"/>
        </w:rPr>
        <w:t>” means any business or activity that competes with the MSCI Business or is reasonably anticipated to compete with the MSCI Business.</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Confidential Information shall in no event include (x) any Confidential Information which was generally available to the public at the 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Inventions</w:t>
      </w:r>
      <w:r>
        <w:rPr>
          <w:rFonts w:ascii="Arial" w:cs="Arial" w:eastAsia="Arial" w:hAnsi="Arial"/>
          <w:sz w:val="16"/>
          <w:szCs w:val="16"/>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53"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MSCI Business</w:t>
      </w:r>
      <w:r>
        <w:rPr>
          <w:rFonts w:ascii="Arial" w:cs="Arial" w:eastAsia="Arial" w:hAnsi="Arial"/>
          <w:sz w:val="16"/>
          <w:szCs w:val="16"/>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2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w:t>
      </w:r>
      <w:r>
        <w:rPr>
          <w:rFonts w:ascii="Arial" w:cs="Arial" w:eastAsia="Arial" w:hAnsi="Arial"/>
          <w:sz w:val="16"/>
          <w:szCs w:val="16"/>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Services</w:t>
      </w:r>
      <w:r>
        <w:rPr>
          <w:rFonts w:ascii="Arial" w:cs="Arial" w:eastAsia="Arial" w:hAnsi="Arial"/>
          <w:sz w:val="18"/>
          <w:szCs w:val="18"/>
          <w:color w:val="auto"/>
        </w:rPr>
        <w:t>” means employment, engagement or the provision of assistance or services that (i) are solely administrative in nature, (ii) do not include any aspect of the operation, strategy, supervision,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765175</wp:posOffset>
            </wp:positionV>
            <wp:extent cx="717804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7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jc w:val="both"/>
        <w:spacing w:after="0" w:line="327" w:lineRule="auto"/>
        <w:rPr>
          <w:sz w:val="20"/>
          <w:szCs w:val="20"/>
          <w:color w:val="auto"/>
        </w:rPr>
      </w:pPr>
      <w:r>
        <w:rPr>
          <w:rFonts w:ascii="Arial" w:cs="Arial" w:eastAsia="Arial" w:hAnsi="Arial"/>
          <w:sz w:val="15"/>
          <w:szCs w:val="15"/>
          <w:color w:val="auto"/>
        </w:rPr>
        <w:t>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765175</wp:posOffset>
            </wp:positionV>
            <wp:extent cx="717804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7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C</w:t>
      </w: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COUNTRY-SPECIFIC TERMS AND CONDITIONS</w:t>
      </w: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C-1</w:t>
      </w:r>
    </w:p>
    <w:p>
      <w:pPr>
        <w:sectPr>
          <w:pgSz w:w="11900" w:h="16838" w:orient="portrait"/>
          <w:cols w:equalWidth="0" w:num="1">
            <w:col w:w="10120"/>
          </w:cols>
          <w:pgMar w:left="144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2022 ANNUAL PERFORMANCE AWARD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PERFORMANCE STOCK UNITS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MANAGING DIRECTORS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MSCI INC. 2016 OMNIBUS INCENTIVE PLAN</w:t>
      </w:r>
    </w:p>
    <w:p>
      <w:pPr>
        <w:spacing w:after="0" w:line="19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MSCI Inc. (“</w:t>
      </w:r>
      <w:r>
        <w:rPr>
          <w:rFonts w:ascii="Arial" w:cs="Arial" w:eastAsia="Arial" w:hAnsi="Arial"/>
          <w:sz w:val="17"/>
          <w:szCs w:val="17"/>
          <w:b w:val="1"/>
          <w:bCs w:val="1"/>
          <w:color w:val="auto"/>
        </w:rPr>
        <w:t>MSCI</w:t>
      </w:r>
      <w:r>
        <w:rPr>
          <w:rFonts w:ascii="Arial" w:cs="Arial" w:eastAsia="Arial" w:hAnsi="Arial"/>
          <w:sz w:val="17"/>
          <w:szCs w:val="17"/>
          <w:color w:val="auto"/>
        </w:rPr>
        <w:t>,” and together with its Subsidiaries, the “</w:t>
      </w:r>
      <w:r>
        <w:rPr>
          <w:rFonts w:ascii="Arial" w:cs="Arial" w:eastAsia="Arial" w:hAnsi="Arial"/>
          <w:sz w:val="17"/>
          <w:szCs w:val="17"/>
          <w:b w:val="1"/>
          <w:bCs w:val="1"/>
          <w:color w:val="auto"/>
        </w:rPr>
        <w:t>Company</w:t>
      </w:r>
      <w:r>
        <w:rPr>
          <w:rFonts w:ascii="Arial" w:cs="Arial" w:eastAsia="Arial" w:hAnsi="Arial"/>
          <w:sz w:val="17"/>
          <w:szCs w:val="17"/>
          <w:color w:val="auto"/>
        </w:rPr>
        <w:t>”) hereby grants to you Performance Stock Units (“</w:t>
      </w:r>
      <w:r>
        <w:rPr>
          <w:rFonts w:ascii="Arial" w:cs="Arial" w:eastAsia="Arial" w:hAnsi="Arial"/>
          <w:sz w:val="17"/>
          <w:szCs w:val="17"/>
          <w:b w:val="1"/>
          <w:bCs w:val="1"/>
          <w:color w:val="auto"/>
        </w:rPr>
        <w:t>PSUs</w:t>
      </w:r>
      <w:r>
        <w:rPr>
          <w:rFonts w:ascii="Arial" w:cs="Arial" w:eastAsia="Arial" w:hAnsi="Arial"/>
          <w:sz w:val="17"/>
          <w:szCs w:val="17"/>
          <w:color w:val="auto"/>
        </w:rPr>
        <w:t>”) as described below. The awards are being granted under the MSCI Inc. 2016 Omnibus Incentive Plan (as may be amended from time to time,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ectPr>
          <w:pgSz w:w="11900" w:h="16838" w:orient="portrait"/>
          <w:cols w:equalWidth="0" w:num="1">
            <w:col w:w="11240"/>
          </w:cols>
          <w:pgMar w:left="320" w:top="331"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0" w:lineRule="exact"/>
        <w:rPr>
          <w:sz w:val="20"/>
          <w:szCs w:val="20"/>
          <w:color w:val="auto"/>
        </w:rPr>
      </w:pPr>
    </w:p>
    <w:p>
      <w:pPr>
        <w:sectPr>
          <w:pgSz w:w="11900" w:h="16838" w:orient="portrait"/>
          <w:cols w:equalWidth="0" w:num="2">
            <w:col w:w="1380" w:space="720"/>
            <w:col w:w="9140"/>
          </w:cols>
          <w:pgMar w:left="320" w:top="331"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 of PSUs Granted: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 PSUs (the “</w:t>
      </w:r>
      <w:r>
        <w:rPr>
          <w:rFonts w:ascii="Arial" w:cs="Arial" w:eastAsia="Arial" w:hAnsi="Arial"/>
          <w:sz w:val="16"/>
          <w:szCs w:val="16"/>
          <w:b w:val="1"/>
          <w:bCs w:val="1"/>
          <w:color w:val="auto"/>
        </w:rPr>
        <w:t>Target PSUs</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900" w:space="200"/>
            <w:col w:w="9140"/>
          </w:cols>
          <w:pgMar w:left="320" w:top="331"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Date: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380" w:space="720"/>
            <w:col w:w="9140"/>
          </w:cols>
          <w:pgMar w:left="320" w:top="331"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00" w:space="600"/>
            <w:col w:w="9140"/>
          </w:cols>
          <w:pgMar w:left="320" w:top="331"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380" w:space="720"/>
            <w:col w:w="9140"/>
          </w:cols>
          <w:pgMar w:left="320" w:top="331"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Post-Vest Holding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840" w:space="260"/>
            <w:col w:w="9140"/>
          </w:cols>
          <w:pgMar w:left="320" w:top="331" w:right="339" w:bottom="1440" w:gutter="0" w:footer="0" w:header="0"/>
          <w:type w:val="continuous"/>
        </w:sectPr>
      </w:pPr>
    </w:p>
    <w:p>
      <w:pPr>
        <w:spacing w:after="0" w:line="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Your PSUs may be subject to forfeiture or recoupment if you terminate employment with the Company, fail to affirmatively accept the terms of this Award Agreement by [•] or do not comply with the Notice Requirements, as set forth in the Plan and this Performance Stock Unit Award Agreement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this “</w:t>
      </w:r>
      <w:r>
        <w:rPr>
          <w:rFonts w:ascii="Arial" w:cs="Arial" w:eastAsia="Arial" w:hAnsi="Arial"/>
          <w:sz w:val="17"/>
          <w:szCs w:val="17"/>
          <w:b w:val="1"/>
          <w:bCs w:val="1"/>
          <w:color w:val="auto"/>
        </w:rPr>
        <w:t>Award Agreement</w:t>
      </w:r>
      <w:r>
        <w:rPr>
          <w:rFonts w:ascii="Arial" w:cs="Arial" w:eastAsia="Arial" w:hAnsi="Arial"/>
          <w:sz w:val="17"/>
          <w:szCs w:val="17"/>
          <w:color w:val="auto"/>
        </w:rPr>
        <w:t>”).</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You agree that this Award Agreement is granted under the Plan and governed by the terms and conditions of the Plan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PSUs granted to you pursuant to this Award Agreement and any Shares issued in settlement or satisfaction thereof may be subject to the MSCI Inc. Clawback Policy and any stock ownership guidelines of MSCI (including applicable retention requirements thereunder), as may be in effect from time to time, if on or after the Grant Date you are or become covered by such policies, as determined in accordance with the terms of such policies. You will be able 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9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IN WITNESS WHEREOF, MSCI has duly executed and delivered this Award Agreement as of the Grant Date.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455930</wp:posOffset>
            </wp:positionV>
            <wp:extent cx="24536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78">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2393315</wp:posOffset>
            </wp:positionV>
            <wp:extent cx="717804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7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A</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TERMS AND CONDITIONS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2022 ANNUAL PERFORMANCE AWARD AGREEMENT</w:t>
      </w:r>
    </w:p>
    <w:p>
      <w:pPr>
        <w:spacing w:after="0" w:line="220" w:lineRule="exact"/>
        <w:rPr>
          <w:sz w:val="20"/>
          <w:szCs w:val="20"/>
          <w:color w:val="auto"/>
        </w:rPr>
      </w:pPr>
    </w:p>
    <w:p>
      <w:pPr>
        <w:jc w:val="both"/>
        <w:ind w:firstLine="936"/>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PSUs Generally</w:t>
      </w:r>
      <w:r>
        <w:rPr>
          <w:rFonts w:ascii="Arial" w:cs="Arial" w:eastAsia="Arial" w:hAnsi="Arial"/>
          <w:sz w:val="16"/>
          <w:szCs w:val="16"/>
          <w:color w:val="auto"/>
        </w:rPr>
        <w:t>. MSCI has awarded you PSUs as an incentive for you to continue to provide services to the Company and to align your interests with those of the Company. As such, you will earn your Adjusted PSUs (as defined below) only if you remain in continuous employment with the Company through the Vesting Date, or as otherwise set forth below. Each PSU corresponds to one share of MSCI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Each PSU constitutes a contingent and unsecured promise by MSCI to deliver one Share on the conversion date for such PSU.</w:t>
      </w:r>
    </w:p>
    <w:p>
      <w:pPr>
        <w:spacing w:after="0" w:line="162"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u w:val="single" w:color="auto"/>
          <w:color w:val="auto"/>
        </w:rPr>
        <w:t>Performance Adjustment, Vesting and Conversion Schedule and HSR Act</w:t>
      </w:r>
      <w:r>
        <w:rPr>
          <w:rFonts w:ascii="Arial" w:cs="Arial" w:eastAsia="Arial" w:hAnsi="Arial"/>
          <w:sz w:val="15"/>
          <w:szCs w:val="15"/>
          <w:color w:val="auto"/>
        </w:rPr>
        <w:t>.</w:t>
      </w:r>
    </w:p>
    <w:p>
      <w:pPr>
        <w:spacing w:after="0" w:line="214" w:lineRule="exact"/>
        <w:rPr>
          <w:sz w:val="20"/>
          <w:szCs w:val="20"/>
          <w:color w:val="auto"/>
        </w:rPr>
      </w:pPr>
    </w:p>
    <w:p>
      <w:pPr>
        <w:jc w:val="both"/>
        <w:ind w:firstLine="1222"/>
        <w:spacing w:after="0" w:line="248" w:lineRule="auto"/>
        <w:tabs>
          <w:tab w:leader="none" w:pos="2042"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Adjustment. </w:t>
      </w:r>
      <w:r>
        <w:rPr>
          <w:rFonts w:ascii="Arial" w:cs="Arial" w:eastAsia="Arial" w:hAnsi="Arial"/>
          <w:sz w:val="18"/>
          <w:szCs w:val="18"/>
          <w:color w:val="auto"/>
        </w:rPr>
        <w:t>The number of Target PSUs awarded under this Award Agreement shall be adjusted, within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 to [•]% of the number of Target PSUs, after the end of the Performance Period based on the achievement of the [•] performance metric set forth in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Performance Metric</w:t>
      </w:r>
      <w:r>
        <w:rPr>
          <w:rFonts w:ascii="Arial" w:cs="Arial" w:eastAsia="Arial" w:hAnsi="Arial"/>
          <w:sz w:val="18"/>
          <w:szCs w:val="18"/>
          <w:color w:val="auto"/>
        </w:rPr>
        <w:t>”). Following the end of the Performance Period, management of MSCI shall provide its calculation of the Performance Metric to the Committee. The Committee will review the extent of the achievement of the Performance Metric and shall certify in writing such achievement.</w:t>
      </w:r>
    </w:p>
    <w:p>
      <w:pPr>
        <w:spacing w:after="0" w:line="186" w:lineRule="exact"/>
        <w:rPr>
          <w:sz w:val="20"/>
          <w:szCs w:val="20"/>
          <w:color w:val="auto"/>
        </w:rPr>
      </w:pPr>
    </w:p>
    <w:p>
      <w:pPr>
        <w:ind w:firstLine="936"/>
        <w:spacing w:after="0" w:line="268" w:lineRule="auto"/>
        <w:rPr>
          <w:sz w:val="20"/>
          <w:szCs w:val="20"/>
          <w:color w:val="auto"/>
        </w:rPr>
      </w:pPr>
      <w:r>
        <w:rPr>
          <w:rFonts w:ascii="Arial" w:cs="Arial" w:eastAsia="Arial" w:hAnsi="Arial"/>
          <w:sz w:val="18"/>
          <w:szCs w:val="18"/>
          <w:color w:val="auto"/>
        </w:rPr>
        <w:t>The number of PSUs that will be converted into Shares pursuant to Section 2(b), Section 4 or Section 5 (the “</w:t>
      </w:r>
      <w:r>
        <w:rPr>
          <w:rFonts w:ascii="Arial" w:cs="Arial" w:eastAsia="Arial" w:hAnsi="Arial"/>
          <w:sz w:val="18"/>
          <w:szCs w:val="18"/>
          <w:b w:val="1"/>
          <w:bCs w:val="1"/>
          <w:color w:val="auto"/>
        </w:rPr>
        <w:t>Adjusted PSUs</w:t>
      </w:r>
      <w:r>
        <w:rPr>
          <w:rFonts w:ascii="Arial" w:cs="Arial" w:eastAsia="Arial" w:hAnsi="Arial"/>
          <w:sz w:val="18"/>
          <w:szCs w:val="18"/>
          <w:color w:val="auto"/>
        </w:rPr>
        <w:t>”) will be determined based on the following formula on a date no later than [•] (such date, the “</w:t>
      </w:r>
      <w:r>
        <w:rPr>
          <w:rFonts w:ascii="Arial" w:cs="Arial" w:eastAsia="Arial" w:hAnsi="Arial"/>
          <w:sz w:val="18"/>
          <w:szCs w:val="18"/>
          <w:b w:val="1"/>
          <w:bCs w:val="1"/>
          <w:color w:val="auto"/>
        </w:rPr>
        <w:t>Adjustment Date</w:t>
      </w:r>
      <w:r>
        <w:rPr>
          <w:rFonts w:ascii="Arial" w:cs="Arial" w:eastAsia="Arial" w:hAnsi="Arial"/>
          <w:sz w:val="18"/>
          <w:szCs w:val="18"/>
          <w:color w:val="auto"/>
        </w:rPr>
        <w:t>”):</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1360" w:type="dxa"/>
            <w:vAlign w:val="bottom"/>
            <w:vMerge w:val="restart"/>
          </w:tcPr>
          <w:p>
            <w:pPr>
              <w:spacing w:after="0"/>
              <w:rPr>
                <w:sz w:val="20"/>
                <w:szCs w:val="20"/>
                <w:color w:val="auto"/>
              </w:rPr>
            </w:pPr>
            <w:r>
              <w:rPr>
                <w:rFonts w:ascii="Arial" w:cs="Arial" w:eastAsia="Arial" w:hAnsi="Arial"/>
                <w:sz w:val="18"/>
                <w:szCs w:val="18"/>
                <w:color w:val="auto"/>
              </w:rPr>
              <w:t>Target PSUs</w:t>
            </w:r>
          </w:p>
        </w:tc>
        <w:tc>
          <w:tcPr>
            <w:tcW w:w="1280" w:type="dxa"/>
            <w:vAlign w:val="bottom"/>
            <w:vMerge w:val="restart"/>
          </w:tcPr>
          <w:p>
            <w:pPr>
              <w:ind w:left="500"/>
              <w:spacing w:after="0"/>
              <w:rPr>
                <w:sz w:val="20"/>
                <w:szCs w:val="20"/>
                <w:color w:val="auto"/>
              </w:rPr>
            </w:pPr>
            <w:r>
              <w:rPr>
                <w:rFonts w:ascii="Arial" w:cs="Arial" w:eastAsia="Arial" w:hAnsi="Arial"/>
                <w:sz w:val="18"/>
                <w:szCs w:val="18"/>
                <w:color w:val="auto"/>
              </w:rPr>
              <w:t>x</w:t>
            </w:r>
          </w:p>
        </w:tc>
        <w:tc>
          <w:tcPr>
            <w:tcW w:w="33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Adjustment Percentage</w:t>
            </w:r>
          </w:p>
        </w:tc>
        <w:tc>
          <w:tcPr>
            <w:tcW w:w="1460" w:type="dxa"/>
            <w:vAlign w:val="bottom"/>
            <w:vMerge w:val="restart"/>
          </w:tcPr>
          <w:p>
            <w:pPr>
              <w:jc w:val="right"/>
              <w:ind w:right="552"/>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512"/>
              <w:spacing w:after="0"/>
              <w:rPr>
                <w:sz w:val="20"/>
                <w:szCs w:val="20"/>
                <w:color w:val="auto"/>
              </w:rPr>
            </w:pPr>
            <w:r>
              <w:rPr>
                <w:rFonts w:ascii="Arial" w:cs="Arial" w:eastAsia="Arial" w:hAnsi="Arial"/>
                <w:sz w:val="18"/>
                <w:szCs w:val="18"/>
                <w:color w:val="auto"/>
                <w:w w:val="90"/>
              </w:rPr>
              <w:t>Number of</w:t>
            </w:r>
          </w:p>
        </w:tc>
        <w:tc>
          <w:tcPr>
            <w:tcW w:w="0" w:type="dxa"/>
            <w:vAlign w:val="bottom"/>
          </w:tcPr>
          <w:p>
            <w:pPr>
              <w:spacing w:after="0"/>
              <w:rPr>
                <w:sz w:val="1"/>
                <w:szCs w:val="1"/>
                <w:color w:val="auto"/>
              </w:rPr>
            </w:pPr>
          </w:p>
        </w:tc>
      </w:tr>
      <w:tr>
        <w:trPr>
          <w:trHeight w:val="117"/>
        </w:trPr>
        <w:tc>
          <w:tcPr>
            <w:tcW w:w="13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3300" w:type="dxa"/>
            <w:vAlign w:val="bottom"/>
            <w:gridSpan w:val="3"/>
            <w:vMerge w:val="restart"/>
          </w:tcPr>
          <w:p>
            <w:pPr>
              <w:jc w:val="center"/>
              <w:ind w:right="60"/>
              <w:spacing w:after="0" w:line="183" w:lineRule="exact"/>
              <w:rPr>
                <w:sz w:val="20"/>
                <w:szCs w:val="20"/>
                <w:color w:val="auto"/>
              </w:rPr>
            </w:pPr>
            <w:r>
              <w:rPr>
                <w:rFonts w:ascii="Arial" w:cs="Arial" w:eastAsia="Arial" w:hAnsi="Arial"/>
                <w:sz w:val="18"/>
                <w:szCs w:val="18"/>
                <w:color w:val="auto"/>
                <w:w w:val="89"/>
              </w:rPr>
              <w:t>(as defined in Appendix 1)</w:t>
            </w:r>
          </w:p>
        </w:tc>
        <w:tc>
          <w:tcPr>
            <w:tcW w:w="1460" w:type="dxa"/>
            <w:vAlign w:val="bottom"/>
            <w:vMerge w:val="continue"/>
          </w:tcPr>
          <w:p>
            <w:pPr>
              <w:spacing w:after="0"/>
              <w:rPr>
                <w:sz w:val="10"/>
                <w:szCs w:val="10"/>
                <w:color w:val="auto"/>
              </w:rPr>
            </w:pPr>
          </w:p>
        </w:tc>
        <w:tc>
          <w:tcPr>
            <w:tcW w:w="1680" w:type="dxa"/>
            <w:vAlign w:val="bottom"/>
            <w:vMerge w:val="restart"/>
          </w:tcPr>
          <w:p>
            <w:pPr>
              <w:jc w:val="center"/>
              <w:ind w:left="532"/>
              <w:spacing w:after="0" w:line="183" w:lineRule="exact"/>
              <w:rPr>
                <w:sz w:val="20"/>
                <w:szCs w:val="20"/>
                <w:color w:val="auto"/>
              </w:rPr>
            </w:pPr>
            <w:r>
              <w:rPr>
                <w:rFonts w:ascii="Arial" w:cs="Arial" w:eastAsia="Arial" w:hAnsi="Arial"/>
                <w:sz w:val="18"/>
                <w:szCs w:val="18"/>
                <w:color w:val="auto"/>
                <w:w w:val="87"/>
              </w:rPr>
              <w:t>Adjusted PSUs</w:t>
            </w:r>
          </w:p>
        </w:tc>
        <w:tc>
          <w:tcPr>
            <w:tcW w:w="0" w:type="dxa"/>
            <w:vAlign w:val="bottom"/>
          </w:tcPr>
          <w:p>
            <w:pPr>
              <w:spacing w:after="0"/>
              <w:rPr>
                <w:sz w:val="1"/>
                <w:szCs w:val="1"/>
                <w:color w:val="auto"/>
              </w:rPr>
            </w:pPr>
          </w:p>
        </w:tc>
      </w:tr>
      <w:tr>
        <w:trPr>
          <w:trHeight w:val="66"/>
        </w:trPr>
        <w:tc>
          <w:tcPr>
            <w:tcW w:w="1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30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1222"/>
        <w:spacing w:after="0" w:line="252" w:lineRule="auto"/>
        <w:tabs>
          <w:tab w:leader="none" w:pos="2052"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Vesting and Conversion</w:t>
      </w:r>
      <w:r>
        <w:rPr>
          <w:rFonts w:ascii="Arial" w:cs="Arial" w:eastAsia="Arial" w:hAnsi="Arial"/>
          <w:sz w:val="18"/>
          <w:szCs w:val="18"/>
          <w:color w:val="auto"/>
        </w:rPr>
        <w:t>. The Target PSUs will vest (as to service) on [•] (the “</w:t>
      </w:r>
      <w:r>
        <w:rPr>
          <w:rFonts w:ascii="Arial" w:cs="Arial" w:eastAsia="Arial" w:hAnsi="Arial"/>
          <w:sz w:val="18"/>
          <w:szCs w:val="18"/>
          <w:b w:val="1"/>
          <w:bCs w:val="1"/>
          <w:color w:val="auto"/>
        </w:rPr>
        <w:t>Vesting Date</w:t>
      </w:r>
      <w:r>
        <w:rPr>
          <w:rFonts w:ascii="Arial" w:cs="Arial" w:eastAsia="Arial" w:hAnsi="Arial"/>
          <w:sz w:val="18"/>
          <w:szCs w:val="18"/>
          <w:color w:val="auto"/>
        </w:rPr>
        <w:t>”), subject to adjustment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Section 2(a);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4 and Section 5, you continue to be employed by the Company on the Vesting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you have complied with all applicable provisions of the HSR Act. Vested Adjusted PSUs shall convert into Shares no earlier than [•], and no later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Adjustment Date.</w:t>
      </w:r>
    </w:p>
    <w:p>
      <w:pPr>
        <w:spacing w:after="0" w:line="188" w:lineRule="exact"/>
        <w:rPr>
          <w:rFonts w:ascii="Arial" w:cs="Arial" w:eastAsia="Arial" w:hAnsi="Arial"/>
          <w:sz w:val="18"/>
          <w:szCs w:val="18"/>
          <w:color w:val="auto"/>
        </w:rPr>
      </w:pPr>
    </w:p>
    <w:p>
      <w:pPr>
        <w:jc w:val="both"/>
        <w:ind w:firstLine="1222"/>
        <w:spacing w:after="0" w:line="299" w:lineRule="auto"/>
        <w:tabs>
          <w:tab w:leader="none" w:pos="2042"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HSR Act</w:t>
      </w:r>
      <w:r>
        <w:rPr>
          <w:rFonts w:ascii="Arial" w:cs="Arial" w:eastAsia="Arial" w:hAnsi="Arial"/>
          <w:sz w:val="16"/>
          <w:szCs w:val="16"/>
          <w:color w:val="auto"/>
        </w:rPr>
        <w:t>. If Adjusted PSUs would have converted pursuant to this Section 2, Section 4 or Section 5(b), but did not convert solely</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you were not in compliance with all applicable provisions of the HSR Act, subject to Section 409A, the conversion date for such Adjusted PSUs shall occur on the first date following the date on which you have complied with all applicable provisions of the HSR Act.</w:t>
      </w:r>
    </w:p>
    <w:p>
      <w:pPr>
        <w:spacing w:after="0" w:line="153" w:lineRule="exact"/>
        <w:rPr>
          <w:rFonts w:ascii="Arial" w:cs="Arial" w:eastAsia="Arial" w:hAnsi="Arial"/>
          <w:sz w:val="16"/>
          <w:szCs w:val="16"/>
          <w:color w:val="auto"/>
        </w:rPr>
      </w:pPr>
    </w:p>
    <w:p>
      <w:pPr>
        <w:ind w:right="40" w:firstLine="1222"/>
        <w:spacing w:after="0" w:line="280" w:lineRule="auto"/>
        <w:tabs>
          <w:tab w:leader="none" w:pos="2052"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Post-Vest Holding Period. </w:t>
      </w:r>
      <w:r>
        <w:rPr>
          <w:rFonts w:ascii="Arial" w:cs="Arial" w:eastAsia="Arial" w:hAnsi="Arial"/>
          <w:sz w:val="16"/>
          <w:szCs w:val="16"/>
          <w:color w:val="auto"/>
        </w:rPr>
        <w:t>All Shares issued upon the conversion of the Adjusted PSUs pursuant to this Section 2 shall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Post-Vest Holding Period. During the Post-Vest Holding Period, such Shares (and your rights with respect to such Shares) may not be Transferred. Notwithstanding the foregoing, the Post-Vest Holding Period shall not apply with respect to any Shares (i) required to be withheld or tendered in satisfaction of any tax withholding obligations pursuant to Section 8, (ii) sold to satisfy tax obligations (assuming a tax rate of 50%) that are not met, in whole or in part, by MSCI withholding Shares pursuant to Section 8, if you are subject to tax rules or regulations that do not permit or limit tax withholding upon the conversion of the Adjusted PSUs pursuant to this Section 2, as may be permitted by the Committee in its sole discretion from time to time or (iii) transferred by you for estate planning purposes to any trust or other estate planning vehicle established and controlled by you, as may be permitted by the Committee in its sole discretion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trust or other estate planning vehicle shall remain subject to the terms and conditions of this Award Agreement, including the Post-Vest Holding Period).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147955</wp:posOffset>
            </wp:positionV>
            <wp:extent cx="717804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8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52" w:name="page153"/>
    <w:bookmarkEnd w:id="152"/>
    <w:p>
      <w:pPr>
        <w:ind w:right="120" w:firstLine="1222"/>
        <w:spacing w:after="0" w:line="280" w:lineRule="auto"/>
        <w:tabs>
          <w:tab w:leader="none" w:pos="2042"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Stock Ownership Guidelines and Retention Requirements</w:t>
      </w:r>
      <w:r>
        <w:rPr>
          <w:rFonts w:ascii="Arial" w:cs="Arial" w:eastAsia="Arial" w:hAnsi="Arial"/>
          <w:sz w:val="16"/>
          <w:szCs w:val="16"/>
          <w:color w:val="auto"/>
        </w:rPr>
        <w:t>. In addition to the Post-Vest Holding Period set forth in Section 2(d)</w:t>
      </w:r>
      <w:r>
        <w:rPr>
          <w:rFonts w:ascii="Arial" w:cs="Arial" w:eastAsia="Arial" w:hAnsi="Arial"/>
          <w:sz w:val="16"/>
          <w:szCs w:val="16"/>
          <w:i w:val="1"/>
          <w:iCs w:val="1"/>
          <w:color w:val="auto"/>
        </w:rPr>
        <w:t xml:space="preserve"> </w:t>
      </w:r>
      <w:r>
        <w:rPr>
          <w:rFonts w:ascii="Arial" w:cs="Arial" w:eastAsia="Arial" w:hAnsi="Arial"/>
          <w:sz w:val="16"/>
          <w:szCs w:val="16"/>
          <w:color w:val="auto"/>
        </w:rPr>
        <w:t>above, to the extent that you are subject to MSCI’s Stock Ownership Guidelines (the “</w:t>
      </w:r>
      <w:r>
        <w:rPr>
          <w:rFonts w:ascii="Arial" w:cs="Arial" w:eastAsia="Arial" w:hAnsi="Arial"/>
          <w:sz w:val="16"/>
          <w:szCs w:val="16"/>
          <w:b w:val="1"/>
          <w:bCs w:val="1"/>
          <w:color w:val="auto"/>
        </w:rPr>
        <w:t>Ownership Guidelines</w:t>
      </w:r>
      <w:r>
        <w:rPr>
          <w:rFonts w:ascii="Arial" w:cs="Arial" w:eastAsia="Arial" w:hAnsi="Arial"/>
          <w:sz w:val="16"/>
          <w:szCs w:val="16"/>
          <w:color w:val="auto"/>
        </w:rPr>
        <w:t>”) as of the Grant Date, the Shares (or any applicable portion thereof) issuable to you upon the conversion of the Adjusted PSUs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 foregoing, to the extent you are as of the Grant Date, or become following the Grant Date, subject to the Ownership Guidelines, you agree and acknowledge that the Shares issuable to you upon the conversion of the Adjusted PSUs shall be subject to the other terms and conditions (including other applicable retention requirements) under the Ownership Guidelines, as may be in effect from time to time. You agree and acknowledge that that a copy of the Ownership Guidelines has been previously made available to you and that you understand and acknowledge the terms of such Ownership Guidelines and the terms of this Section 2(e).</w:t>
      </w:r>
    </w:p>
    <w:p>
      <w:pPr>
        <w:spacing w:after="0" w:line="171" w:lineRule="exact"/>
        <w:rPr>
          <w:sz w:val="20"/>
          <w:szCs w:val="20"/>
          <w:color w:val="auto"/>
        </w:rPr>
      </w:pPr>
    </w:p>
    <w:p>
      <w:pPr>
        <w:jc w:val="both"/>
        <w:ind w:firstLine="936"/>
        <w:spacing w:after="0" w:line="28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Until your PSUs convert into Shares, if MSCI pays a dividend on Shares, you will be credited with a dividend equivalent payment in the same amount as the dividend you would have received if you held Shares for your vested and unvested PSUs immediately prior to the record date (taking into account any adjustments pursuant to Section 2(a) and adjustments provided under the Plan). Assuming you hold PSUs on the record date, MSCI will credit the dividend equivalent payments when it pays the corresponding dividend on its Shares. Your dividend equivalents will vest and be paid at the same time as, and subject to the same vesting and cancellation provisions set forth in this Award Agreement with respect to, your PSUs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20, the dividend equivalents may be paid following the scheduled conversion date on the next regularly scheduled payroll date). No dividend equivalents will be paid to you with respect to any canceled or forfeited PSUs. MSCI will decide on the form of payment and may pay dividend equivalents in Shares, in cash or in a combination thereof, unless otherwise provided in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69"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Upon termination of employment with the Company prior to the Vesting Date pursuant to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Section 4, the following special vesting and payment terms will apply to your unvested PSUs:</w:t>
      </w:r>
    </w:p>
    <w:p>
      <w:pPr>
        <w:spacing w:after="0" w:line="202" w:lineRule="exact"/>
        <w:rPr>
          <w:sz w:val="20"/>
          <w:szCs w:val="20"/>
          <w:color w:val="auto"/>
        </w:rPr>
      </w:pPr>
    </w:p>
    <w:p>
      <w:pPr>
        <w:jc w:val="both"/>
        <w:ind w:firstLine="1222"/>
        <w:spacing w:after="0" w:line="249" w:lineRule="auto"/>
        <w:tabs>
          <w:tab w:leader="none" w:pos="2042"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Termination of Employment Due to Death or Disability</w:t>
      </w:r>
      <w:r>
        <w:rPr>
          <w:rFonts w:ascii="Arial" w:cs="Arial" w:eastAsia="Arial" w:hAnsi="Arial"/>
          <w:sz w:val="18"/>
          <w:szCs w:val="18"/>
          <w:color w:val="auto"/>
        </w:rPr>
        <w:t>. If your employment with the Company terminates due to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in each case, prior to the Vesting Date, your Adjusted PSUs will vest and convert into Shares on the Adjustment Date (even though you are not employed by the Company on the Vesting Date). Upon a termination of employment due to death, the Adjusted PSUs shall be delivered in accordance with Section 10 and shall not be subject to the Post-Vest Holding Period.</w:t>
      </w:r>
    </w:p>
    <w:p>
      <w:pPr>
        <w:spacing w:after="0" w:line="192" w:lineRule="exact"/>
        <w:rPr>
          <w:rFonts w:ascii="Arial" w:cs="Arial" w:eastAsia="Arial" w:hAnsi="Arial"/>
          <w:sz w:val="18"/>
          <w:szCs w:val="18"/>
          <w:color w:val="auto"/>
        </w:rPr>
      </w:pPr>
    </w:p>
    <w:p>
      <w:pPr>
        <w:ind w:left="2060" w:hanging="838"/>
        <w:spacing w:after="0"/>
        <w:tabs>
          <w:tab w:leader="none" w:pos="206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Involuntary Termination of Employment by the Company.</w:t>
      </w:r>
    </w:p>
    <w:p>
      <w:pPr>
        <w:spacing w:after="0" w:line="213" w:lineRule="exact"/>
        <w:rPr>
          <w:rFonts w:ascii="Arial" w:cs="Arial" w:eastAsia="Arial" w:hAnsi="Arial"/>
          <w:sz w:val="18"/>
          <w:szCs w:val="18"/>
          <w:color w:val="auto"/>
        </w:rPr>
      </w:pPr>
    </w:p>
    <w:p>
      <w:pPr>
        <w:jc w:val="both"/>
        <w:ind w:left="940" w:firstLine="1289"/>
        <w:spacing w:after="0" w:line="279" w:lineRule="auto"/>
        <w:tabs>
          <w:tab w:leader="none" w:pos="3094" w:val="left"/>
        </w:tabs>
        <w:numPr>
          <w:ilvl w:val="2"/>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Prior to 62/10 Retirement Eligibility. </w:t>
      </w:r>
      <w:r>
        <w:rPr>
          <w:rFonts w:ascii="Arial" w:cs="Arial" w:eastAsia="Arial" w:hAnsi="Arial"/>
          <w:sz w:val="16"/>
          <w:szCs w:val="16"/>
          <w:color w:val="auto"/>
        </w:rPr>
        <w:t>In the event of an involuntary termination of your employment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without Cause prior to 62/10 Retirement Eligibility, provided that you execute and do not revoke an agreement and release of claims satisfactory to the Company, which will contain restrictive covenants substantially in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within 60 days following termination of your employment, you will be entitled to receive a pro-rated portion of your Target PSUs equal to the product of (i) the total number of Target PSUs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quotient of (A) the total number of months you were employed with the Company during the Performance Period (rounding up partial months)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36. Such pro-rated Target PSUs will vest and convert into Shares on the Adjustment Date in accordance with Section 2 and shall not be subject to the Post-Vest Holding Period. All other PSUs that do not vest and convert into Shares in accordance with this Section 4(b) shall be forfeited in their entirety. Notwithstanding anything to the contrary herein, in the event of a termination of your employment as described in this Section 4(b)(i), pursuant to Section 6, you may still be bound by, and must comply with,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as applicable.</w:t>
      </w:r>
    </w:p>
    <w:p>
      <w:pPr>
        <w:spacing w:after="0" w:line="174" w:lineRule="exact"/>
        <w:rPr>
          <w:rFonts w:ascii="Arial" w:cs="Arial" w:eastAsia="Arial" w:hAnsi="Arial"/>
          <w:sz w:val="16"/>
          <w:szCs w:val="16"/>
          <w:color w:val="auto"/>
        </w:rPr>
      </w:pPr>
    </w:p>
    <w:p>
      <w:pPr>
        <w:ind w:left="940" w:firstLine="859"/>
        <w:spacing w:after="0" w:line="261" w:lineRule="auto"/>
        <w:tabs>
          <w:tab w:leader="none" w:pos="2643"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Following 62/10 Retirement Eligibility. </w:t>
      </w:r>
      <w:r>
        <w:rPr>
          <w:rFonts w:ascii="Arial" w:cs="Arial" w:eastAsia="Arial" w:hAnsi="Arial"/>
          <w:sz w:val="18"/>
          <w:szCs w:val="18"/>
          <w:color w:val="auto"/>
        </w:rPr>
        <w:t>In the event of an involuntary termination of your employment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following 62/10 Retirement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8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3" w:name="page154"/>
    <w:bookmarkEnd w:id="153"/>
    <w:p>
      <w:pPr>
        <w:jc w:val="both"/>
        <w:ind w:left="940" w:right="20"/>
        <w:spacing w:after="0" w:line="286" w:lineRule="auto"/>
        <w:rPr>
          <w:sz w:val="20"/>
          <w:szCs w:val="20"/>
          <w:color w:val="auto"/>
        </w:rPr>
      </w:pPr>
      <w:r>
        <w:rPr>
          <w:rFonts w:ascii="Arial" w:cs="Arial" w:eastAsia="Arial" w:hAnsi="Arial"/>
          <w:sz w:val="16"/>
          <w:szCs w:val="16"/>
          <w:color w:val="auto"/>
        </w:rPr>
        <w:t xml:space="preserve">Eligibility, provided that you execute and do not revoke an agreement and release of claims satisfactory to the Company, which will contain restrictive covenants substantially in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within 60 days following termination of your employment, your Adjusted PSUs will vest and convert into Shares on the Adjustment Date in accordance with Section 2 and shall not be subject to the Post-Vest Holding Period. Notwithstanding anything to the contrary herein, in the event of a termination of your employment as described in this Section 4(b)(ii), pursuant to Section 6, you may still be bound by, and must comply with,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as applicable.</w:t>
      </w:r>
    </w:p>
    <w:p>
      <w:pPr>
        <w:spacing w:after="0" w:line="166" w:lineRule="exact"/>
        <w:rPr>
          <w:sz w:val="20"/>
          <w:szCs w:val="20"/>
          <w:color w:val="auto"/>
        </w:rPr>
      </w:pPr>
    </w:p>
    <w:p>
      <w:pPr>
        <w:jc w:val="both"/>
        <w:ind w:right="20" w:firstLine="1222"/>
        <w:spacing w:after="0" w:line="290" w:lineRule="auto"/>
        <w:tabs>
          <w:tab w:leader="none" w:pos="2042"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Retirement Terminations. </w:t>
      </w:r>
      <w:r>
        <w:rPr>
          <w:rFonts w:ascii="Arial" w:cs="Arial" w:eastAsia="Arial" w:hAnsi="Arial"/>
          <w:sz w:val="16"/>
          <w:szCs w:val="16"/>
          <w:color w:val="auto"/>
        </w:rPr>
        <w:t>In the event of your applicable Retirement Termination, your Target PSUs shall be eligible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treatment specified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you are in compliance with the Notice Requirements and all of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 each case, as of the Vesting Date and (y) you execute and do not revoke an agreement and release of claims satisfactory to the Company, which will contain restrictive covenants substantially in the form as those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within 60 days following termination of your employment.</w:t>
      </w:r>
    </w:p>
    <w:p>
      <w:pPr>
        <w:spacing w:after="0" w:line="162" w:lineRule="exact"/>
        <w:rPr>
          <w:rFonts w:ascii="Arial" w:cs="Arial" w:eastAsia="Arial" w:hAnsi="Arial"/>
          <w:sz w:val="16"/>
          <w:szCs w:val="16"/>
          <w:color w:val="auto"/>
        </w:rPr>
      </w:pPr>
    </w:p>
    <w:p>
      <w:pPr>
        <w:jc w:val="both"/>
        <w:ind w:left="940" w:right="20" w:firstLine="859"/>
        <w:spacing w:after="0" w:line="286" w:lineRule="auto"/>
        <w:tabs>
          <w:tab w:leader="none" w:pos="2594"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In the event of your Legacy Retirement Termination or 55/10 Retirement Termination, you will be entitled to receive a pro-rated portion of your Target PSUs equal to the product of (i) the total number of Target PSUs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quotient of (A) the total number of months you were employed with the Company during the Performance Period (rounding up partial months)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36. Such pro-rated Target PSUs will vest and convert into Shares on the Adjustment Date in accordance with Section 2 and shall not be subject to the Post-Vest Holding Period. All other PSUs that do not vest and convert into Shares in accordance with this Section 4(c)(i) shall be forfeited in their entirety.</w:t>
      </w:r>
    </w:p>
    <w:p>
      <w:pPr>
        <w:spacing w:after="0" w:line="165" w:lineRule="exact"/>
        <w:rPr>
          <w:rFonts w:ascii="Arial" w:cs="Arial" w:eastAsia="Arial" w:hAnsi="Arial"/>
          <w:sz w:val="16"/>
          <w:szCs w:val="16"/>
          <w:color w:val="auto"/>
        </w:rPr>
      </w:pPr>
    </w:p>
    <w:p>
      <w:pPr>
        <w:ind w:left="940" w:right="20" w:firstLine="859"/>
        <w:spacing w:after="0" w:line="261" w:lineRule="auto"/>
        <w:tabs>
          <w:tab w:leader="none" w:pos="2643"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the event of your 62/10 Retirement Termination, your Target PSUs will vest and convert into Shares in accordance with Section 2 and shall not be subject to the Post-Vest Holding Period.</w:t>
      </w:r>
    </w:p>
    <w:p>
      <w:pPr>
        <w:spacing w:after="0" w:line="180" w:lineRule="exact"/>
        <w:rPr>
          <w:rFonts w:ascii="Arial" w:cs="Arial" w:eastAsia="Arial" w:hAnsi="Arial"/>
          <w:sz w:val="18"/>
          <w:szCs w:val="18"/>
          <w:color w:val="auto"/>
        </w:rPr>
      </w:pPr>
    </w:p>
    <w:p>
      <w:pPr>
        <w:ind w:left="940" w:right="20" w:firstLine="859"/>
        <w:spacing w:after="0" w:line="324" w:lineRule="auto"/>
        <w:tabs>
          <w:tab w:leader="none" w:pos="2692"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In consideration of the treatment of your Target PSUs upon your Retirement Termination as set forth in this Section 4(c), you agree to be bound by, and to comply with, all of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Award Agreement.</w:t>
      </w:r>
    </w:p>
    <w:p>
      <w:pPr>
        <w:spacing w:after="0" w:line="134" w:lineRule="exact"/>
        <w:rPr>
          <w:rFonts w:ascii="Arial" w:cs="Arial" w:eastAsia="Arial" w:hAnsi="Arial"/>
          <w:sz w:val="16"/>
          <w:szCs w:val="16"/>
          <w:color w:val="auto"/>
        </w:rPr>
      </w:pPr>
    </w:p>
    <w:p>
      <w:pPr>
        <w:jc w:val="both"/>
        <w:ind w:left="940" w:right="20" w:firstLine="859"/>
        <w:spacing w:after="0" w:line="299" w:lineRule="auto"/>
        <w:tabs>
          <w:tab w:leader="none" w:pos="2682"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following chart provides a summary overview of the treatment of your awards upon a Retirement Termination, as set forth in Sections 4(c)(i) and (ii). This summary chart is qualified in its entirety by the terms of Sections 4(c)(i) and (ii). In the event of any inconsistency between the terms of the below chart and Sections 4(c)(i) and (ii), the terms of Sections 4(c)(i) and (ii) shall prevail.</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80" w:type="dxa"/>
            <w:vAlign w:val="bottom"/>
            <w:tcBorders>
              <w:right w:val="single" w:sz="8" w:color="auto"/>
            </w:tcBorders>
          </w:tcPr>
          <w:p>
            <w:pPr>
              <w:spacing w:after="0"/>
              <w:rPr>
                <w:sz w:val="17"/>
                <w:szCs w:val="17"/>
                <w:color w:val="auto"/>
              </w:rPr>
            </w:pPr>
          </w:p>
        </w:tc>
        <w:tc>
          <w:tcPr>
            <w:tcW w:w="1060" w:type="dxa"/>
            <w:vAlign w:val="bottom"/>
            <w:tcBorders>
              <w:top w:val="single" w:sz="8" w:color="auto"/>
              <w:right w:val="single" w:sz="8" w:color="auto"/>
            </w:tcBorders>
            <w:shd w:val="clear" w:color="auto" w:fill="D9D9D9"/>
          </w:tcPr>
          <w:p>
            <w:pPr>
              <w:spacing w:after="0"/>
              <w:rPr>
                <w:sz w:val="17"/>
                <w:szCs w:val="17"/>
                <w:color w:val="auto"/>
              </w:rPr>
            </w:pPr>
          </w:p>
        </w:tc>
        <w:tc>
          <w:tcPr>
            <w:tcW w:w="106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18"/>
                <w:szCs w:val="18"/>
                <w:b w:val="1"/>
                <w:bCs w:val="1"/>
                <w:color w:val="auto"/>
                <w:w w:val="87"/>
              </w:rPr>
              <w:t>Date on</w:t>
            </w:r>
          </w:p>
        </w:tc>
        <w:tc>
          <w:tcPr>
            <w:tcW w:w="5620" w:type="dxa"/>
            <w:vAlign w:val="bottom"/>
            <w:tcBorders>
              <w:top w:val="single" w:sz="8" w:color="auto"/>
              <w:right w:val="single" w:sz="8" w:color="auto"/>
            </w:tcBorders>
            <w:shd w:val="clear" w:color="auto" w:fill="D9D9D9"/>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shd w:val="clear" w:color="auto" w:fill="D9D9D9"/>
          </w:tcPr>
          <w:p>
            <w:pPr>
              <w:spacing w:after="0"/>
              <w:rPr>
                <w:sz w:val="18"/>
                <w:szCs w:val="18"/>
                <w:color w:val="auto"/>
              </w:rPr>
            </w:pP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Which Age</w:t>
            </w:r>
          </w:p>
        </w:tc>
        <w:tc>
          <w:tcPr>
            <w:tcW w:w="5620" w:type="dxa"/>
            <w:vAlign w:val="bottom"/>
            <w:tcBorders>
              <w:right w:val="single" w:sz="8" w:color="auto"/>
            </w:tcBorders>
            <w:shd w:val="clear" w:color="auto" w:fill="D9D9D9"/>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shd w:val="clear" w:color="auto" w:fill="D9D9D9"/>
          </w:tcPr>
          <w:p>
            <w:pPr>
              <w:spacing w:after="0"/>
              <w:rPr>
                <w:sz w:val="18"/>
                <w:szCs w:val="18"/>
                <w:color w:val="auto"/>
              </w:rPr>
            </w:pP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and Service</w:t>
            </w:r>
          </w:p>
        </w:tc>
        <w:tc>
          <w:tcPr>
            <w:tcW w:w="5620" w:type="dxa"/>
            <w:vAlign w:val="bottom"/>
            <w:tcBorders>
              <w:right w:val="single" w:sz="8" w:color="auto"/>
            </w:tcBorders>
            <w:shd w:val="clear" w:color="auto" w:fill="D9D9D9"/>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Age and</w:t>
            </w: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Requirements</w:t>
            </w:r>
          </w:p>
        </w:tc>
        <w:tc>
          <w:tcPr>
            <w:tcW w:w="5620" w:type="dxa"/>
            <w:vAlign w:val="bottom"/>
            <w:tcBorders>
              <w:right w:val="single" w:sz="8" w:color="auto"/>
            </w:tcBorders>
            <w:shd w:val="clear" w:color="auto" w:fill="D9D9D9"/>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4"/>
              </w:rPr>
              <w:t>Service</w:t>
            </w: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Must be</w:t>
            </w:r>
          </w:p>
        </w:tc>
        <w:tc>
          <w:tcPr>
            <w:tcW w:w="5620" w:type="dxa"/>
            <w:vAlign w:val="bottom"/>
            <w:tcBorders>
              <w:right w:val="single" w:sz="8" w:color="auto"/>
            </w:tcBorders>
            <w:shd w:val="clear" w:color="auto" w:fill="D9D9D9"/>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4"/>
              </w:rPr>
              <w:t>Requirements</w:t>
            </w:r>
          </w:p>
        </w:tc>
        <w:tc>
          <w:tcPr>
            <w:tcW w:w="10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Satisfied</w:t>
            </w:r>
          </w:p>
        </w:tc>
        <w:tc>
          <w:tcPr>
            <w:tcW w:w="5620" w:type="dxa"/>
            <w:vAlign w:val="bottom"/>
            <w:tcBorders>
              <w:bottom w:val="single" w:sz="8" w:color="auto"/>
              <w:right w:val="single" w:sz="8" w:color="auto"/>
            </w:tcBorders>
            <w:shd w:val="clear" w:color="auto" w:fill="D9D9D9"/>
          </w:tcPr>
          <w:p>
            <w:pPr>
              <w:ind w:left="2400"/>
              <w:spacing w:after="0"/>
              <w:rPr>
                <w:sz w:val="20"/>
                <w:szCs w:val="20"/>
                <w:color w:val="auto"/>
              </w:rPr>
            </w:pPr>
            <w:r>
              <w:rPr>
                <w:rFonts w:ascii="Arial" w:cs="Arial" w:eastAsia="Arial" w:hAnsi="Arial"/>
                <w:sz w:val="18"/>
                <w:szCs w:val="18"/>
                <w:b w:val="1"/>
                <w:bCs w:val="1"/>
                <w:color w:val="auto"/>
              </w:rPr>
              <w:t>Treatment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Legacy</w:t>
            </w:r>
          </w:p>
        </w:tc>
        <w:tc>
          <w:tcPr>
            <w:tcW w:w="10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December 31,</w:t>
            </w:r>
          </w:p>
        </w:tc>
        <w:tc>
          <w:tcPr>
            <w:tcW w:w="5620" w:type="dxa"/>
            <w:vAlign w:val="bottom"/>
            <w:tcBorders>
              <w:right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Retirement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2014</w:t>
            </w:r>
          </w:p>
        </w:tc>
        <w:tc>
          <w:tcPr>
            <w:tcW w:w="56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Eligibility</w:t>
            </w:r>
          </w:p>
        </w:tc>
        <w:tc>
          <w:tcPr>
            <w:tcW w:w="10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1"/>
              </w:rPr>
              <w:t>A pro-rated portion of your Target PSUs will vest as follows: the product of (i)</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78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5620" w:type="dxa"/>
            <w:vAlign w:val="bottom"/>
            <w:tcBorders>
              <w:right w:val="single" w:sz="8" w:color="auto"/>
            </w:tcBorders>
            <w:vMerge w:val="continue"/>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(see definition</w:t>
            </w:r>
          </w:p>
        </w:tc>
        <w:tc>
          <w:tcPr>
            <w:tcW w:w="10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 xml:space="preserve">the total number of Target PSUs </w:t>
            </w:r>
            <w:r>
              <w:rPr>
                <w:rFonts w:ascii="Arial" w:cs="Arial" w:eastAsia="Arial" w:hAnsi="Arial"/>
                <w:sz w:val="18"/>
                <w:szCs w:val="18"/>
                <w:i w:val="1"/>
                <w:iCs w:val="1"/>
                <w:color w:val="auto"/>
                <w:w w:val="92"/>
              </w:rPr>
              <w:t>multiplied by</w:t>
            </w:r>
            <w:r>
              <w:rPr>
                <w:rFonts w:ascii="Arial" w:cs="Arial" w:eastAsia="Arial" w:hAnsi="Arial"/>
                <w:sz w:val="18"/>
                <w:szCs w:val="18"/>
                <w:color w:val="auto"/>
                <w:w w:val="92"/>
              </w:rPr>
              <w:t xml:space="preserve"> (ii) the quotient of (A) the total</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4"/>
              </w:rPr>
              <w:t>number  of  months  you  were  employed  with  the  Company  during  the</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of “Legacy</w:t>
            </w:r>
          </w:p>
        </w:tc>
        <w:tc>
          <w:tcPr>
            <w:tcW w:w="106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0"/>
              </w:rPr>
              <w:t xml:space="preserve">Performance Period (rounding up partial months) </w:t>
            </w:r>
            <w:r>
              <w:rPr>
                <w:rFonts w:ascii="Arial" w:cs="Arial" w:eastAsia="Arial" w:hAnsi="Arial"/>
                <w:sz w:val="18"/>
                <w:szCs w:val="18"/>
                <w:i w:val="1"/>
                <w:iCs w:val="1"/>
                <w:color w:val="auto"/>
                <w:w w:val="90"/>
              </w:rPr>
              <w:t>divided by</w:t>
            </w:r>
            <w:r>
              <w:rPr>
                <w:rFonts w:ascii="Arial" w:cs="Arial" w:eastAsia="Arial" w:hAnsi="Arial"/>
                <w:sz w:val="18"/>
                <w:szCs w:val="18"/>
                <w:color w:val="auto"/>
                <w:w w:val="90"/>
              </w:rPr>
              <w:t xml:space="preserve"> (B) 36. Such pro-</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Retirement</w:t>
            </w:r>
          </w:p>
        </w:tc>
        <w:tc>
          <w:tcPr>
            <w:tcW w:w="106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89"/>
              </w:rPr>
              <w:t>rated Target PSUs will vest and convert into Shares on the Adjustment Date in</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Eligibility”)</w:t>
            </w:r>
          </w:p>
        </w:tc>
        <w:tc>
          <w:tcPr>
            <w:tcW w:w="106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780" w:type="dxa"/>
            <w:vAlign w:val="bottom"/>
            <w:tcBorders>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5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2"/>
              </w:rPr>
              <w:t>accordance with Section 2 and shall not be subject to the Post-Vest Holding</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78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Age 55 and 10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December 31,</w:t>
            </w:r>
          </w:p>
        </w:tc>
        <w:tc>
          <w:tcPr>
            <w:tcW w:w="5620" w:type="dxa"/>
            <w:vAlign w:val="bottom"/>
            <w:tcBorders>
              <w:right w:val="single" w:sz="8" w:color="auto"/>
            </w:tcBorders>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78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vMerge w:val="continue"/>
          </w:tcPr>
          <w:p>
            <w:pPr>
              <w:spacing w:after="0"/>
              <w:rPr>
                <w:sz w:val="14"/>
                <w:szCs w:val="14"/>
                <w:color w:val="auto"/>
              </w:rPr>
            </w:pPr>
          </w:p>
        </w:tc>
        <w:tc>
          <w:tcPr>
            <w:tcW w:w="1060" w:type="dxa"/>
            <w:vAlign w:val="bottom"/>
            <w:tcBorders>
              <w:right w:val="single" w:sz="8" w:color="auto"/>
            </w:tcBorders>
            <w:vMerge w:val="continue"/>
          </w:tcPr>
          <w:p>
            <w:pPr>
              <w:spacing w:after="0"/>
              <w:rPr>
                <w:sz w:val="14"/>
                <w:szCs w:val="14"/>
                <w:color w:val="auto"/>
              </w:rPr>
            </w:pPr>
          </w:p>
        </w:tc>
        <w:tc>
          <w:tcPr>
            <w:tcW w:w="56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Period.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8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8"/>
                <w:szCs w:val="18"/>
                <w:color w:val="auto"/>
                <w:w w:val="87"/>
              </w:rPr>
              <w:t>years of</w:t>
            </w:r>
          </w:p>
        </w:tc>
        <w:tc>
          <w:tcPr>
            <w:tcW w:w="10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8"/>
                <w:szCs w:val="18"/>
                <w:color w:val="auto"/>
                <w:w w:val="84"/>
              </w:rPr>
              <w:t>2019</w:t>
            </w:r>
          </w:p>
        </w:tc>
        <w:tc>
          <w:tcPr>
            <w:tcW w:w="562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78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service</w:t>
            </w:r>
          </w:p>
        </w:tc>
        <w:tc>
          <w:tcPr>
            <w:tcW w:w="10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3"/>
              </w:rPr>
              <w:t>All other PSUs that do not vest and convert into Shares shall be forfeited in</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178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5620" w:type="dxa"/>
            <w:vAlign w:val="bottom"/>
            <w:tcBorders>
              <w:right w:val="single" w:sz="8" w:color="auto"/>
            </w:tcBorders>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78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(see definition</w:t>
            </w:r>
          </w:p>
        </w:tc>
        <w:tc>
          <w:tcPr>
            <w:tcW w:w="10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their entirety.</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7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of “55/10</w:t>
            </w:r>
          </w:p>
        </w:tc>
        <w:tc>
          <w:tcPr>
            <w:tcW w:w="10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Retirement</w:t>
            </w:r>
          </w:p>
        </w:tc>
        <w:tc>
          <w:tcPr>
            <w:tcW w:w="10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Eligibility”)</w:t>
            </w:r>
          </w:p>
        </w:tc>
        <w:tc>
          <w:tcPr>
            <w:tcW w:w="106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20" w:type="dxa"/>
            <w:vAlign w:val="bottom"/>
          </w:tcPr>
          <w:p>
            <w:pPr>
              <w:ind w:left="1580"/>
              <w:spacing w:after="0"/>
              <w:rPr>
                <w:sz w:val="20"/>
                <w:szCs w:val="20"/>
                <w:color w:val="auto"/>
              </w:rPr>
            </w:pPr>
            <w:r>
              <w:rPr>
                <w:rFonts w:ascii="Arial" w:cs="Arial" w:eastAsia="Arial" w:hAnsi="Arial"/>
                <w:sz w:val="18"/>
                <w:szCs w:val="18"/>
                <w:color w:val="auto"/>
              </w:rPr>
              <w:t>A-3</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5620" w:type="dxa"/>
            <w:vAlign w:val="bottom"/>
            <w:tcBorders>
              <w:bottom w:val="single" w:sz="8" w:color="9A9A9A"/>
            </w:tcBorders>
          </w:tcPr>
          <w:p>
            <w:pPr>
              <w:spacing w:after="0"/>
              <w:rPr>
                <w:sz w:val="21"/>
                <w:szCs w:val="21"/>
                <w:color w:val="auto"/>
              </w:rPr>
            </w:pPr>
          </w:p>
        </w:tc>
        <w:tc>
          <w:tcPr>
            <w:tcW w:w="174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995" w:right="319" w:bottom="1440" w:gutter="0" w:footer="0" w:header="0"/>
        </w:sectPr>
      </w:pPr>
    </w:p>
    <w:bookmarkStart w:id="154" w:name="page155"/>
    <w:bookmarkEnd w:id="154"/>
    <w:tbl>
      <w:tblPr>
        <w:tblLayout w:type="fixed"/>
        <w:tblInd w:w="1770" w:type="dxa"/>
        <w:tblCellMar>
          <w:top w:w="0" w:type="dxa"/>
          <w:left w:w="0" w:type="dxa"/>
          <w:bottom w:w="0" w:type="dxa"/>
          <w:right w:w="0" w:type="dxa"/>
        </w:tblCellMar>
      </w:tblPr>
      <w:tr>
        <w:trPr>
          <w:trHeight w:val="211"/>
        </w:trPr>
        <w:tc>
          <w:tcPr>
            <w:tcW w:w="1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Age 62 and 10</w:t>
            </w:r>
          </w:p>
        </w:tc>
        <w:tc>
          <w:tcPr>
            <w:tcW w:w="21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Vesting Date</w:t>
            </w:r>
          </w:p>
        </w:tc>
        <w:tc>
          <w:tcPr>
            <w:tcW w:w="42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All of your Target PSUs will vest and convert into Shares</w:t>
            </w: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years of service</w:t>
            </w:r>
          </w:p>
        </w:tc>
        <w:tc>
          <w:tcPr>
            <w:tcW w:w="210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in accordance with Section 2 and shall not be subject to the</w:t>
            </w:r>
          </w:p>
        </w:tc>
        <w:tc>
          <w:tcPr>
            <w:tcW w:w="0" w:type="dxa"/>
            <w:vAlign w:val="bottom"/>
          </w:tcPr>
          <w:p>
            <w:pPr>
              <w:spacing w:after="0"/>
              <w:rPr>
                <w:sz w:val="1"/>
                <w:szCs w:val="1"/>
                <w:color w:val="auto"/>
              </w:rPr>
            </w:pPr>
          </w:p>
        </w:tc>
      </w:tr>
      <w:tr>
        <w:trPr>
          <w:trHeight w:val="222"/>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(see definition of</w:t>
            </w:r>
          </w:p>
        </w:tc>
        <w:tc>
          <w:tcPr>
            <w:tcW w:w="210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Post-Vest Holding Period.</w:t>
            </w:r>
          </w:p>
        </w:tc>
        <w:tc>
          <w:tcPr>
            <w:tcW w:w="0" w:type="dxa"/>
            <w:vAlign w:val="bottom"/>
          </w:tcPr>
          <w:p>
            <w:pPr>
              <w:spacing w:after="0"/>
              <w:rPr>
                <w:sz w:val="1"/>
                <w:szCs w:val="1"/>
                <w:color w:val="auto"/>
              </w:rPr>
            </w:pPr>
          </w:p>
        </w:tc>
      </w:tr>
      <w:tr>
        <w:trPr>
          <w:trHeight w:val="198"/>
        </w:trPr>
        <w:tc>
          <w:tcPr>
            <w:tcW w:w="1440" w:type="dxa"/>
            <w:vAlign w:val="bottom"/>
            <w:tcBorders>
              <w:left w:val="single" w:sz="8" w:color="auto"/>
              <w:right w:val="single" w:sz="8" w:color="auto"/>
            </w:tcBorders>
            <w:vMerge w:val="continue"/>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“62/10 Retirement</w:t>
            </w:r>
          </w:p>
        </w:tc>
        <w:tc>
          <w:tcPr>
            <w:tcW w:w="210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Eligibility”)</w:t>
            </w:r>
          </w:p>
        </w:tc>
        <w:tc>
          <w:tcPr>
            <w:tcW w:w="210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060" w:hanging="838"/>
        <w:spacing w:after="0"/>
        <w:tabs>
          <w:tab w:leader="none" w:pos="206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Other Resignations from Employment</w:t>
      </w:r>
      <w:r>
        <w:rPr>
          <w:rFonts w:ascii="Arial" w:cs="Arial" w:eastAsia="Arial" w:hAnsi="Arial"/>
          <w:sz w:val="16"/>
          <w:szCs w:val="16"/>
          <w:color w:val="auto"/>
        </w:rPr>
        <w:t>. All other resignations from employment must comply with the Notice Requirements.</w:t>
      </w:r>
    </w:p>
    <w:p>
      <w:pPr>
        <w:spacing w:after="0" w:line="236" w:lineRule="exact"/>
        <w:rPr>
          <w:rFonts w:ascii="Arial" w:cs="Arial" w:eastAsia="Arial" w:hAnsi="Arial"/>
          <w:sz w:val="16"/>
          <w:szCs w:val="16"/>
          <w:color w:val="auto"/>
        </w:rPr>
      </w:pPr>
    </w:p>
    <w:p>
      <w:pPr>
        <w:jc w:val="both"/>
        <w:ind w:left="940" w:firstLine="1289"/>
        <w:spacing w:after="0" w:line="290" w:lineRule="auto"/>
        <w:tabs>
          <w:tab w:leader="none" w:pos="3024"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you resign from your employment with the Company under circumstances which are not in accordance with the provisions above in this Section 4, you will forfeit any PSUs that have not vested as of your last day of employment with the Company. For the avoidance of doubt, any Shares underlying your PSUs (or rights thereto) that vested and converted prior to your resignation remain subject to the Post-Vest Holding Period following your last day of employment with the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and</w:t>
      </w:r>
    </w:p>
    <w:p>
      <w:pPr>
        <w:spacing w:after="0" w:line="162" w:lineRule="exact"/>
        <w:rPr>
          <w:rFonts w:ascii="Arial" w:cs="Arial" w:eastAsia="Arial" w:hAnsi="Arial"/>
          <w:sz w:val="16"/>
          <w:szCs w:val="16"/>
          <w:color w:val="auto"/>
        </w:rPr>
      </w:pPr>
    </w:p>
    <w:p>
      <w:pPr>
        <w:jc w:val="both"/>
        <w:ind w:left="940" w:firstLine="1289"/>
        <w:spacing w:after="0" w:line="248" w:lineRule="auto"/>
        <w:tabs>
          <w:tab w:leader="none" w:pos="3073"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If, prior to the Vesting Date, you give MSCI notice of your intention to resign from your employment with the Company as of a date following the Vesting Date, your PSUs will vest and settle in accordance with Section 2 and will be subject to the Post-Vest Holding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you do not subsequently comply with the Notice Requirements or Post-Vest Holding Period, the Committee may, in its discretion, require that the gross cash value of the PSUs delivered to you in accordance with this Section 4(d)(ii) be subject to recoupment or payback.</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avoidance of doubt, (A) revocation of a notice of intention to resign may, in the Company’s sole discretion or if required to comply with Section 409A, be deemed to be noncompliant with the Notice Requirements and, in connection with such revocation, your PSUs may be forfeited and (A) if, after you have given notice of your intention to resign or retire, as applicable, from your employment with the Company, the Company involuntarily terminates your employment without Cause prior to the expiration of your notice period, your outstanding PSUs will be treated in accordance with Section 4(b) or Section 4(c), as applicable.</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Notwithstanding anything to the contrary contained herein, the Adjusted PSUs shall only vest pursuant to this Section 4 provided that you have complied with all applicable provisions of the HSR Act.</w:t>
      </w:r>
    </w:p>
    <w:p>
      <w:pPr>
        <w:spacing w:after="0" w:line="181" w:lineRule="exact"/>
        <w:rPr>
          <w:sz w:val="20"/>
          <w:szCs w:val="20"/>
          <w:color w:val="auto"/>
        </w:rPr>
      </w:pPr>
    </w:p>
    <w:p>
      <w:pPr>
        <w:jc w:val="both"/>
        <w:ind w:firstLine="1222"/>
        <w:spacing w:after="0" w:line="277" w:lineRule="auto"/>
        <w:tabs>
          <w:tab w:leader="none" w:pos="2042"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Unless otherwise provided in this Section 4 or Section 5(b), your employment relationship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terminated as of the date you are no longer actively providing services to the Company</w:t>
      </w:r>
      <w:r>
        <w:rPr>
          <w:rFonts w:ascii="Arial" w:cs="Arial" w:eastAsia="Arial" w:hAnsi="Arial"/>
          <w:sz w:val="19"/>
          <w:szCs w:val="19"/>
          <w:i w:val="1"/>
          <w:iCs w:val="1"/>
          <w:color w:val="auto"/>
        </w:rPr>
        <w:t>,</w:t>
      </w:r>
      <w:r>
        <w:rPr>
          <w:rFonts w:ascii="Arial" w:cs="Arial" w:eastAsia="Arial" w:hAnsi="Arial"/>
          <w:sz w:val="16"/>
          <w:szCs w:val="16"/>
          <w:color w:val="auto"/>
        </w:rPr>
        <w:t xml:space="preserve"> for any reason, regardless of whether your services were terminated by you or by the Company or your applicable employer and voluntarily or involuntarily (whether or not later found to be invalid or in breach of employment laws in the jurisdiction where you are employed or the terms of your employment agreement, if any), and such date will not be extended by any notice period (i.e., your period of employment would not include any contractual notice period or any period of “garden leave” or similar period mandated under employment laws in the jurisdiction where you are employed or the terms of your employment agreement, if any). Notwithstanding anything to the contrary herein or in the Plan, the Committee shall have the exclusive discretion to determine whether and when you are no longer actively providing services for all purposes of your PSUs (including, without limitation, for purposes of this Section 4 and determining whether you are a Retirement Eligible Participant), including whether you may still be considered to be providing services (i) while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8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of your employment to any such entity will constitute a termination of your employment for purposes of your PSUs).</w:t>
      </w:r>
    </w:p>
    <w:p>
      <w:pPr>
        <w:spacing w:after="0" w:line="200" w:lineRule="exact"/>
        <w:rPr>
          <w:sz w:val="20"/>
          <w:szCs w:val="20"/>
          <w:color w:val="auto"/>
        </w:rPr>
      </w:pPr>
    </w:p>
    <w:p>
      <w:pPr>
        <w:spacing w:after="0" w:line="224"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214" w:lineRule="exact"/>
        <w:rPr>
          <w:sz w:val="20"/>
          <w:szCs w:val="20"/>
          <w:color w:val="auto"/>
        </w:rPr>
      </w:pPr>
    </w:p>
    <w:p>
      <w:pPr>
        <w:jc w:val="both"/>
        <w:ind w:firstLine="1222"/>
        <w:spacing w:after="0" w:line="281" w:lineRule="auto"/>
        <w:tabs>
          <w:tab w:leader="none" w:pos="2042"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In the event of a Change in Control, the Committee, in its sole discretion, may provide for (i) the continuation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assumption of your outstanding PSUs under the Plan by the Company (if it is the surviving corporation) or by the surviving corporation or its parent, in which case your PSUs will continue to be subject to the terms of this Award Agreement, or (i) the lapse of restrictions relating to and the settlement of your outstanding PSUs immediately prior to such Change in Control in the event a buyer will not continue or assume the PSUs;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each case, the Performance Metric targets relating to any outstanding Target PSUs will be deemed to have been achieved at the greater of (x) the actual achievement of the Performance Metrics for the period (A) commencing on the first day of the Performance Period and (B) ending on the date immediately prior to such Change in Control and (y) [•]. Following a Change in Control in which your outstanding PSUs are continued or assumed pursuant to clause (i) above, such PSUs may be settled in cash, Shares or a combination thereof.</w:t>
      </w:r>
    </w:p>
    <w:p>
      <w:pPr>
        <w:spacing w:after="0" w:line="169" w:lineRule="exact"/>
        <w:rPr>
          <w:rFonts w:ascii="Arial" w:cs="Arial" w:eastAsia="Arial" w:hAnsi="Arial"/>
          <w:sz w:val="16"/>
          <w:szCs w:val="16"/>
          <w:color w:val="auto"/>
        </w:rPr>
      </w:pPr>
    </w:p>
    <w:p>
      <w:pPr>
        <w:jc w:val="both"/>
        <w:ind w:firstLine="1222"/>
        <w:spacing w:after="0" w:line="282" w:lineRule="auto"/>
        <w:tabs>
          <w:tab w:leader="none" w:pos="2052"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Qualifying Termination</w:t>
      </w:r>
      <w:r>
        <w:rPr>
          <w:rFonts w:ascii="Arial" w:cs="Arial" w:eastAsia="Arial" w:hAnsi="Arial"/>
          <w:sz w:val="16"/>
          <w:szCs w:val="16"/>
          <w:color w:val="auto"/>
        </w:rPr>
        <w:t>. In the event of a Qualifying Termination (as defined below), your PSUs will vest and convert into Shares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60 days following such Qualifying Termination. If such 60-day period begins in one taxable year and ends in a subsequent taxable year, such vesting and conversion shall occur in the second taxable year. “</w:t>
      </w:r>
      <w:r>
        <w:rPr>
          <w:rFonts w:ascii="Arial" w:cs="Arial" w:eastAsia="Arial" w:hAnsi="Arial"/>
          <w:sz w:val="16"/>
          <w:szCs w:val="16"/>
          <w:b w:val="1"/>
          <w:bCs w:val="1"/>
          <w:color w:val="auto"/>
        </w:rPr>
        <w:t>Qualifying Termination</w:t>
      </w:r>
      <w:r>
        <w:rPr>
          <w:rFonts w:ascii="Arial" w:cs="Arial" w:eastAsia="Arial" w:hAnsi="Arial"/>
          <w:sz w:val="16"/>
          <w:szCs w:val="16"/>
          <w:color w:val="auto"/>
        </w:rPr>
        <w:t>” means a termination of employment by the Company without Cause or by you for Good Reason (which shall be deemed an involuntary termination of employment by the Company without Cause), in each case within 24 months following the effective date of the Change in Control in which the PSUs are continued or assumed. Notwithstanding anything to the contrary contained herein, the PSUs shall only vest pursuant to this Section 5(b) provided that you have complied with all applicable provisions of the HSR Act and shall not be subject to the Post-Vest Holding Period.</w:t>
      </w:r>
    </w:p>
    <w:p>
      <w:pPr>
        <w:spacing w:after="0" w:line="169" w:lineRule="exact"/>
        <w:rPr>
          <w:sz w:val="20"/>
          <w:szCs w:val="20"/>
          <w:color w:val="auto"/>
        </w:rPr>
      </w:pPr>
    </w:p>
    <w:p>
      <w:pPr>
        <w:jc w:val="both"/>
        <w:ind w:firstLine="936"/>
        <w:spacing w:after="0" w:line="28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Restrictive Covenants</w:t>
      </w:r>
      <w:r>
        <w:rPr>
          <w:rFonts w:ascii="Arial" w:cs="Arial" w:eastAsia="Arial" w:hAnsi="Arial"/>
          <w:sz w:val="16"/>
          <w:szCs w:val="16"/>
          <w:color w:val="auto"/>
        </w:rPr>
        <w:t xml:space="preserve">. In consideration of the grant of PSUs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Award Agreement. In the event you violate any of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 prior to or on the Adjustment Date, you will forfeit the PSUs (whether or not they are Adjusted PSUs) outstanding as of the date of such violation or (b) after the Adjustment Date, but prior to or on the expiry date of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you will promptly deliver to the Company all Shares acquired upon conversion of the Adjusted PSUs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71" w:lineRule="exact"/>
        <w:rPr>
          <w:sz w:val="20"/>
          <w:szCs w:val="20"/>
          <w:color w:val="auto"/>
        </w:rPr>
      </w:pPr>
    </w:p>
    <w:p>
      <w:pPr>
        <w:jc w:val="both"/>
        <w:ind w:firstLine="936"/>
        <w:spacing w:after="0" w:line="24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Cancellation of Awards</w:t>
      </w:r>
      <w:r>
        <w:rPr>
          <w:rFonts w:ascii="Arial" w:cs="Arial" w:eastAsia="Arial" w:hAnsi="Arial"/>
          <w:sz w:val="18"/>
          <w:szCs w:val="18"/>
          <w:color w:val="auto"/>
        </w:rPr>
        <w:t>. Notwithstanding any other terms of this Award Agreement, your PSUs will be canceled prior to 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or Section 5(b), upon a termination of your employment by you or by the Company for any reason, any of your PSUs that have not vested pursuant to Section 2 as of the date of your termination of employment with the Company will be canceled and forfeited in full as of such date.</w:t>
      </w:r>
    </w:p>
    <w:p>
      <w:pPr>
        <w:spacing w:after="0" w:line="194"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Tax and Other Withholding Obligations</w:t>
      </w:r>
      <w:r>
        <w:rPr>
          <w:rFonts w:ascii="Arial" w:cs="Arial" w:eastAsia="Arial" w:hAnsi="Arial"/>
          <w:sz w:val="18"/>
          <w:szCs w:val="18"/>
          <w:color w:val="auto"/>
        </w:rPr>
        <w:t>. Pursuant to Section 15(d) of the Plan and the rules and procedures that the Committee may establish from time to time, tax or other withholding obligations arising upon vesting and conversion (as applicable) of your PSUs and irrespective of any Post-Vest Holding Period may be satisfied, in the Committee’s sole discretion, by having MSCI withhold Shares, tendering Shares or by having MSCI withhold cash if MSCI provides for a cash withholding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8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6" w:name="page157"/>
    <w:bookmarkEnd w:id="156"/>
    <w:p>
      <w:pPr>
        <w:jc w:val="both"/>
        <w:spacing w:after="0" w:line="248" w:lineRule="auto"/>
        <w:rPr>
          <w:sz w:val="20"/>
          <w:szCs w:val="20"/>
          <w:color w:val="auto"/>
        </w:rPr>
      </w:pPr>
      <w:r>
        <w:rPr>
          <w:rFonts w:ascii="Arial" w:cs="Arial" w:eastAsia="Arial" w:hAnsi="Arial"/>
          <w:sz w:val="18"/>
          <w:szCs w:val="18"/>
          <w:color w:val="auto"/>
        </w:rPr>
        <w:t>option, in each case in an amount necessary to satisfy the tax or other withholding obligations. Shares withheld or tendered will be valued using the Fair Market Value of the Shares on the date your PSUs convert. In order to comply with applicable accounting standards or the Company’s policies in effect from time to time, the Committee may limit the amount of Shares that you may have withheld or that you may tender. You acknowledge that, if you are subject to Tax-Related Items (as defined below) in more than one jurisdiction, the Company (including any former employer) may be required to withhold or account for Tax-Related Items in more than one jurisdiction.</w:t>
      </w:r>
    </w:p>
    <w:p>
      <w:pPr>
        <w:spacing w:after="0" w:line="192" w:lineRule="exact"/>
        <w:rPr>
          <w:sz w:val="20"/>
          <w:szCs w:val="20"/>
          <w:color w:val="auto"/>
        </w:rPr>
      </w:pPr>
    </w:p>
    <w:p>
      <w:pPr>
        <w:ind w:right="80" w:firstLine="936"/>
        <w:spacing w:after="0" w:line="290"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Nontransferability</w:t>
      </w:r>
      <w:r>
        <w:rPr>
          <w:rFonts w:ascii="Arial" w:cs="Arial" w:eastAsia="Arial" w:hAnsi="Arial"/>
          <w:sz w:val="16"/>
          <w:szCs w:val="16"/>
          <w:color w:val="auto"/>
        </w:rPr>
        <w:t>. You may not Transfer your PSUs or the Shares underlying your PSUs (or your rights to the foregoing), including during the Post-Vest Holding Period or with respect to Shares subject to the retention requirements under the Stock Ownership Guidelines (including the Covered Award Share Retention Requirements set forth therein, as in effect as of the Grant Date), if applicable, other than as provided in Section 2(d) or Section 10 or by will or the laws of descent and distribution or otherwise as provided for by the Committee.</w:t>
      </w:r>
    </w:p>
    <w:p>
      <w:pPr>
        <w:spacing w:after="0" w:line="162" w:lineRule="exact"/>
        <w:rPr>
          <w:sz w:val="20"/>
          <w:szCs w:val="20"/>
          <w:color w:val="auto"/>
        </w:rPr>
      </w:pPr>
    </w:p>
    <w:p>
      <w:pPr>
        <w:jc w:val="both"/>
        <w:ind w:firstLine="936"/>
        <w:spacing w:after="0" w:line="284"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Designation of a Beneficiary</w:t>
      </w:r>
      <w:r>
        <w:rPr>
          <w:rFonts w:ascii="Arial" w:cs="Arial" w:eastAsia="Arial" w:hAnsi="Arial"/>
          <w:sz w:val="16"/>
          <w:szCs w:val="16"/>
          <w:color w:val="auto"/>
        </w:rPr>
        <w:t>.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 law rules. You may replace or revoke your beneficiary designation at any time. If there is any question as to the legal right of any beneficiary(ies)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66" w:lineRule="exact"/>
        <w:rPr>
          <w:sz w:val="20"/>
          <w:szCs w:val="20"/>
          <w:color w:val="auto"/>
        </w:rPr>
      </w:pPr>
    </w:p>
    <w:p>
      <w:pPr>
        <w:jc w:val="both"/>
        <w:ind w:firstLine="936"/>
        <w:spacing w:after="0" w:line="32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Ownership and Possession</w:t>
      </w:r>
      <w:r>
        <w:rPr>
          <w:rFonts w:ascii="Arial" w:cs="Arial" w:eastAsia="Arial" w:hAnsi="Arial"/>
          <w:sz w:val="16"/>
          <w:szCs w:val="16"/>
          <w:color w:val="auto"/>
        </w:rPr>
        <w:t>. Except as set forth herein, you will not have any rights as a stockholder in the Shares corresponding to your PSUs prior to conversion of your PSUs. Following conversion of your PSUs, you will be subject to the Post-Vest Holding Period.</w:t>
      </w:r>
    </w:p>
    <w:p>
      <w:pPr>
        <w:spacing w:after="0" w:line="134" w:lineRule="exact"/>
        <w:rPr>
          <w:sz w:val="20"/>
          <w:szCs w:val="20"/>
          <w:color w:val="auto"/>
        </w:rPr>
      </w:pPr>
    </w:p>
    <w:p>
      <w:pPr>
        <w:jc w:val="both"/>
        <w:ind w:firstLine="936"/>
        <w:spacing w:after="0" w:line="29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Securities Law Compliance Matters</w:t>
      </w:r>
      <w:r>
        <w:rPr>
          <w:rFonts w:ascii="Arial" w:cs="Arial" w:eastAsia="Arial" w:hAnsi="Arial"/>
          <w:sz w:val="16"/>
          <w:szCs w:val="16"/>
          <w:color w:val="auto"/>
        </w:rPr>
        <w:t>. MSCI may, if it determines it is appropriate, affix any legend to the stock certificates representing Shares issued upon conversion of your PSUs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54" w:lineRule="exact"/>
        <w:rPr>
          <w:sz w:val="20"/>
          <w:szCs w:val="20"/>
          <w:color w:val="auto"/>
        </w:rPr>
      </w:pPr>
    </w:p>
    <w:p>
      <w:pPr>
        <w:jc w:val="both"/>
        <w:ind w:firstLine="936"/>
        <w:spacing w:after="0" w:line="24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Any sale, assignment, transfer, pledge, mortgage, encumbrance or other disposition of Shares issued upon conversion of your PSUs and following the expiration of the Post-Vest Holding Period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92"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No Entitlements</w:t>
      </w:r>
      <w:r>
        <w:rPr>
          <w:rFonts w:ascii="Arial" w:cs="Arial" w:eastAsia="Arial" w:hAnsi="Arial"/>
          <w:sz w:val="16"/>
          <w:szCs w:val="16"/>
          <w:color w:val="auto"/>
        </w:rPr>
        <w:t>.</w:t>
      </w:r>
    </w:p>
    <w:p>
      <w:pPr>
        <w:spacing w:after="0" w:line="214" w:lineRule="exact"/>
        <w:rPr>
          <w:sz w:val="20"/>
          <w:szCs w:val="20"/>
          <w:color w:val="auto"/>
        </w:rPr>
      </w:pPr>
    </w:p>
    <w:p>
      <w:pPr>
        <w:ind w:firstLine="1222"/>
        <w:spacing w:after="0" w:line="261" w:lineRule="auto"/>
        <w:tabs>
          <w:tab w:leader="none" w:pos="2042"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No Right to Continued Employment</w:t>
      </w:r>
      <w:r>
        <w:rPr>
          <w:rFonts w:ascii="Arial" w:cs="Arial" w:eastAsia="Arial" w:hAnsi="Arial"/>
          <w:sz w:val="18"/>
          <w:szCs w:val="18"/>
          <w:color w:val="auto"/>
        </w:rPr>
        <w:t>. This PSU award is not an employment agreement, and nothing in this Award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shall alter your status as an “at-will” employee of the Company.</w:t>
      </w:r>
    </w:p>
    <w:p>
      <w:pPr>
        <w:spacing w:after="0" w:line="180" w:lineRule="exact"/>
        <w:rPr>
          <w:rFonts w:ascii="Arial" w:cs="Arial" w:eastAsia="Arial" w:hAnsi="Arial"/>
          <w:sz w:val="18"/>
          <w:szCs w:val="18"/>
          <w:color w:val="auto"/>
        </w:rPr>
      </w:pPr>
    </w:p>
    <w:p>
      <w:pPr>
        <w:jc w:val="both"/>
        <w:ind w:firstLine="1222"/>
        <w:spacing w:after="0" w:line="249" w:lineRule="auto"/>
        <w:tabs>
          <w:tab w:leader="none" w:pos="2052"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No Right to Future Awards</w:t>
      </w:r>
      <w:r>
        <w:rPr>
          <w:rFonts w:ascii="Arial" w:cs="Arial" w:eastAsia="Arial" w:hAnsi="Arial"/>
          <w:sz w:val="18"/>
          <w:szCs w:val="18"/>
          <w:color w:val="auto"/>
        </w:rPr>
        <w:t>. This award, and all other awards of PSUs and other equity-based awards, are discretionary. This</w:t>
      </w:r>
      <w:r>
        <w:rPr>
          <w:rFonts w:ascii="Arial" w:cs="Arial" w:eastAsia="Arial" w:hAnsi="Arial"/>
          <w:sz w:val="18"/>
          <w:szCs w:val="18"/>
          <w:i w:val="1"/>
          <w:iCs w:val="1"/>
          <w:color w:val="auto"/>
        </w:rPr>
        <w:t xml:space="preserve"> </w:t>
      </w:r>
      <w:r>
        <w:rPr>
          <w:rFonts w:ascii="Arial" w:cs="Arial" w:eastAsia="Arial" w:hAnsi="Arial"/>
          <w:sz w:val="18"/>
          <w:szCs w:val="18"/>
          <w:color w:val="auto"/>
        </w:rPr>
        <w:t>award does not confer on you any right or entitlement to receive another award of PSUs or any other equity-based award at any time in the future or in respect of any future period. You agree that any release required under Section 4 of this Award Agreement is in exchange for the grant of PSUs hereunder, for which you have no current entitlement.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8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7" w:name="page158"/>
    <w:bookmarkEnd w:id="157"/>
    <w:p>
      <w:pPr>
        <w:jc w:val="both"/>
        <w:ind w:firstLine="1222"/>
        <w:spacing w:after="0" w:line="299" w:lineRule="auto"/>
        <w:tabs>
          <w:tab w:leader="none" w:pos="2042"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No Effect on Future Employment Compensation</w:t>
      </w:r>
      <w:r>
        <w:rPr>
          <w:rFonts w:ascii="Arial" w:cs="Arial" w:eastAsia="Arial" w:hAnsi="Arial"/>
          <w:sz w:val="16"/>
          <w:szCs w:val="16"/>
          <w:color w:val="auto"/>
        </w:rPr>
        <w:t>. MSCI has made this award to you in its sole discretion. This award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confer on you any right or entitlement to 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54" w:lineRule="exact"/>
        <w:rPr>
          <w:sz w:val="20"/>
          <w:szCs w:val="20"/>
          <w:color w:val="auto"/>
        </w:rPr>
      </w:pPr>
    </w:p>
    <w:p>
      <w:pPr>
        <w:jc w:val="both"/>
        <w:ind w:firstLine="936"/>
        <w:spacing w:after="0" w:line="299"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54" w:lineRule="exact"/>
        <w:rPr>
          <w:sz w:val="20"/>
          <w:szCs w:val="20"/>
          <w:color w:val="auto"/>
        </w:rPr>
      </w:pPr>
    </w:p>
    <w:p>
      <w:pPr>
        <w:jc w:val="both"/>
        <w:ind w:firstLine="936"/>
        <w:spacing w:after="0" w:line="261"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Consents under Local Law</w:t>
      </w:r>
      <w:r>
        <w:rPr>
          <w:rFonts w:ascii="Arial" w:cs="Arial" w:eastAsia="Arial" w:hAnsi="Arial"/>
          <w:sz w:val="18"/>
          <w:szCs w:val="18"/>
          <w:color w:val="auto"/>
        </w:rPr>
        <w:t>. Your award is conditioned upon the making of all filings and the receipt of all consents or authorizations required to comply with, or to be obtained under, applicable local law.</w:t>
      </w:r>
    </w:p>
    <w:p>
      <w:pPr>
        <w:spacing w:after="0" w:line="181"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Award Modification and Section 409A</w:t>
      </w:r>
      <w:r>
        <w:rPr>
          <w:rFonts w:ascii="Arial" w:cs="Arial" w:eastAsia="Arial" w:hAnsi="Arial"/>
          <w:sz w:val="16"/>
          <w:szCs w:val="16"/>
          <w:color w:val="auto"/>
        </w:rPr>
        <w:t>.</w:t>
      </w:r>
    </w:p>
    <w:p>
      <w:pPr>
        <w:spacing w:after="0" w:line="214" w:lineRule="exact"/>
        <w:rPr>
          <w:sz w:val="20"/>
          <w:szCs w:val="20"/>
          <w:color w:val="auto"/>
        </w:rPr>
      </w:pPr>
    </w:p>
    <w:p>
      <w:pPr>
        <w:jc w:val="both"/>
        <w:ind w:firstLine="1222"/>
        <w:spacing w:after="0" w:line="281" w:lineRule="auto"/>
        <w:tabs>
          <w:tab w:leader="none" w:pos="2042"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Modification. </w:t>
      </w:r>
      <w:r>
        <w:rPr>
          <w:rFonts w:ascii="Arial" w:cs="Arial" w:eastAsia="Arial" w:hAnsi="Arial"/>
          <w:sz w:val="16"/>
          <w:szCs w:val="16"/>
          <w:color w:val="auto"/>
        </w:rPr>
        <w:t>MSCI reserves the right to modify or amend unilaterally the terms and conditions of your PSUs, without first asking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your consent, or to waive any terms and conditions that operate in favor of MSCI. MSCI may not modify your PSUs in a manner that would materially impair your rights in your PSUs without your consent;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MSCI may, without your consent, amend or modify your PSUs in any manner that MSCI considers necessary or advisable to comply with applicable law, stock market or exchange rules and regulations or accounting or tax rules and regulations or to ensure that your PSUs are not subject to tax prior to payment. MSCI will notify you of any amendment of your PSUs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69" w:lineRule="exact"/>
        <w:rPr>
          <w:rFonts w:ascii="Arial" w:cs="Arial" w:eastAsia="Arial" w:hAnsi="Arial"/>
          <w:sz w:val="16"/>
          <w:szCs w:val="16"/>
          <w:color w:val="auto"/>
        </w:rPr>
      </w:pPr>
    </w:p>
    <w:p>
      <w:pPr>
        <w:ind w:left="2060" w:hanging="838"/>
        <w:spacing w:after="0"/>
        <w:tabs>
          <w:tab w:leader="none" w:pos="20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940" w:firstLine="1289"/>
        <w:spacing w:after="0" w:line="290" w:lineRule="auto"/>
        <w:tabs>
          <w:tab w:leader="none" w:pos="3024" w:val="left"/>
        </w:tabs>
        <w:numPr>
          <w:ilvl w:val="1"/>
          <w:numId w:val="96"/>
        </w:numPr>
        <w:rPr>
          <w:rFonts w:ascii="Arial" w:cs="Arial" w:eastAsia="Arial" w:hAnsi="Arial"/>
          <w:sz w:val="16"/>
          <w:szCs w:val="16"/>
          <w:color w:val="auto"/>
        </w:rPr>
      </w:pPr>
      <w:r>
        <w:rPr>
          <w:rFonts w:ascii="Arial" w:cs="Arial" w:eastAsia="Arial" w:hAnsi="Arial"/>
          <w:sz w:val="16"/>
          <w:szCs w:val="16"/>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w:t>
      </w:r>
    </w:p>
    <w:p>
      <w:pPr>
        <w:spacing w:after="0" w:line="162" w:lineRule="exact"/>
        <w:rPr>
          <w:rFonts w:ascii="Arial" w:cs="Arial" w:eastAsia="Arial" w:hAnsi="Arial"/>
          <w:sz w:val="16"/>
          <w:szCs w:val="16"/>
          <w:color w:val="auto"/>
        </w:rPr>
      </w:pPr>
    </w:p>
    <w:p>
      <w:pPr>
        <w:jc w:val="both"/>
        <w:ind w:left="940" w:firstLine="1289"/>
        <w:spacing w:after="0" w:line="279" w:lineRule="auto"/>
        <w:tabs>
          <w:tab w:leader="none" w:pos="3073" w:val="left"/>
        </w:tabs>
        <w:numPr>
          <w:ilvl w:val="1"/>
          <w:numId w:val="96"/>
        </w:numPr>
        <w:rPr>
          <w:rFonts w:ascii="Arial" w:cs="Arial" w:eastAsia="Arial" w:hAnsi="Arial"/>
          <w:sz w:val="16"/>
          <w:szCs w:val="16"/>
          <w:color w:val="auto"/>
        </w:rPr>
      </w:pPr>
      <w:r>
        <w:rPr>
          <w:rFonts w:ascii="Arial" w:cs="Arial" w:eastAsia="Arial" w:hAnsi="Arial"/>
          <w:sz w:val="16"/>
          <w:szCs w:val="16"/>
          <w:color w:val="auto"/>
        </w:rPr>
        <w:t>Notwithstanding the other provisions of this Award Agreement, to the extent necessary to comply with Section 409A, no conversion specified hereunder shall occur unless permissible under Section 409A. If MSCI considers you to be one of its “specified employees” and you are a U.S. taxpayer, in each case, at the time of your “separation from service” (as such terms are defined in the Code) from the Company, no conversion specified hereunder shall occur prior to the expiration of the six-month period measured from the date of your separation from service from the Company (such period, the “</w:t>
      </w:r>
      <w:r>
        <w:rPr>
          <w:rFonts w:ascii="Arial" w:cs="Arial" w:eastAsia="Arial" w:hAnsi="Arial"/>
          <w:sz w:val="16"/>
          <w:szCs w:val="16"/>
          <w:b w:val="1"/>
          <w:bCs w:val="1"/>
          <w:color w:val="auto"/>
        </w:rPr>
        <w:t>Specified Employee Period</w:t>
      </w:r>
      <w:r>
        <w:rPr>
          <w:rFonts w:ascii="Arial" w:cs="Arial" w:eastAsia="Arial" w:hAnsi="Arial"/>
          <w:sz w:val="16"/>
          <w:szCs w:val="16"/>
          <w:color w:val="auto"/>
        </w:rPr>
        <w:t xml:space="preserve">”). Any conversion of Adjusted PSUs into Shares that would have occurred during the Specified Employee Period but for the fact that you are deemed to be a specified employee shall be satisfied either by (A) conversion of such Adjusted PSUs into Shares on the first business day following the Specified Employee Period or (A) a cash payment on the first business day following the Specified Employee Period equal to the value of such Adjusted PSUs on the scheduled conversion date (based on the value of the Shares on such date) plus accrued interest as determined by MSCI;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this Section 17(b)(ii) is applicable, in the event of your death after the date of your separation from service from the Company, any conversion or payment delayed pursuant to this Section 17(b)(ii) shall occur or be made immediately. For the avoidance of doubt,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8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8" w:name="page159"/>
    <w:bookmarkEnd w:id="158"/>
    <w:p>
      <w:pPr>
        <w:ind w:left="940"/>
        <w:spacing w:after="0"/>
        <w:rPr>
          <w:sz w:val="20"/>
          <w:szCs w:val="20"/>
          <w:color w:val="auto"/>
        </w:rPr>
      </w:pPr>
      <w:r>
        <w:rPr>
          <w:rFonts w:ascii="Arial" w:cs="Arial" w:eastAsia="Arial" w:hAnsi="Arial"/>
          <w:sz w:val="18"/>
          <w:szCs w:val="18"/>
          <w:color w:val="auto"/>
        </w:rPr>
        <w:t>any determination as to form of payment provided in this Section 17(b)(ii) will be in the sole discretion of MSCI.</w:t>
      </w:r>
    </w:p>
    <w:p>
      <w:pPr>
        <w:spacing w:after="0" w:line="214" w:lineRule="exact"/>
        <w:rPr>
          <w:sz w:val="20"/>
          <w:szCs w:val="20"/>
          <w:color w:val="auto"/>
        </w:rPr>
      </w:pPr>
    </w:p>
    <w:p>
      <w:pPr>
        <w:jc w:val="both"/>
        <w:ind w:left="940" w:firstLine="1289"/>
        <w:spacing w:after="0" w:line="252" w:lineRule="auto"/>
        <w:tabs>
          <w:tab w:leader="none" w:pos="3121"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any provision of this Award Agreement providing for the payment of any amounts of nonqualified deferred compensation upon or following a termination of employment from the Company, references to your “termination of employment” (and corollary terms) shall be construed to refer to your “separation from service” from the Company.</w:t>
      </w:r>
    </w:p>
    <w:p>
      <w:pPr>
        <w:spacing w:after="0" w:line="189" w:lineRule="exact"/>
        <w:rPr>
          <w:rFonts w:ascii="Arial" w:cs="Arial" w:eastAsia="Arial" w:hAnsi="Arial"/>
          <w:sz w:val="18"/>
          <w:szCs w:val="18"/>
          <w:color w:val="auto"/>
        </w:rPr>
      </w:pPr>
    </w:p>
    <w:p>
      <w:pPr>
        <w:jc w:val="both"/>
        <w:ind w:left="940" w:firstLine="1289"/>
        <w:spacing w:after="0" w:line="299" w:lineRule="auto"/>
        <w:tabs>
          <w:tab w:leader="none" w:pos="3111" w:val="left"/>
        </w:tabs>
        <w:numPr>
          <w:ilvl w:val="0"/>
          <w:numId w:val="97"/>
        </w:numPr>
        <w:rPr>
          <w:rFonts w:ascii="Arial" w:cs="Arial" w:eastAsia="Arial" w:hAnsi="Arial"/>
          <w:sz w:val="16"/>
          <w:szCs w:val="16"/>
          <w:color w:val="auto"/>
        </w:rPr>
      </w:pPr>
      <w:r>
        <w:rPr>
          <w:rFonts w:ascii="Arial" w:cs="Arial" w:eastAsia="Arial" w:hAnsi="Arial"/>
          <w:sz w:val="16"/>
          <w:szCs w:val="16"/>
          <w:color w:val="auto"/>
        </w:rPr>
        <w:t>MSCI reserves the right to modify the terms of this Award Agreement, including, without limitation, the payment provisions applicable to your PSUs, to the extent necessary or advisable to comply with Section 409A and reserves the right to make any changes to your PSU award so that it does not become subject to Section 409A or become subject to a Specified Employee Period.</w:t>
      </w:r>
    </w:p>
    <w:p>
      <w:pPr>
        <w:spacing w:after="0" w:line="154"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MSCI determines that any provision of this Award Agreement would cause you to be in constructive receipt for United States federal or state income tax purposes of any portion of your award, then such provision will be considered null and void, and this Award Agreement will be construed and enforced as if the provision had not been included in this Award Agreement as of the date such provision was determined to cause you to be in constructive receipt of any portion of your award.</w:t>
      </w:r>
    </w:p>
    <w:p>
      <w:pPr>
        <w:spacing w:after="0" w:line="192" w:lineRule="exact"/>
        <w:rPr>
          <w:sz w:val="20"/>
          <w:szCs w:val="20"/>
          <w:color w:val="auto"/>
        </w:rPr>
      </w:pPr>
    </w:p>
    <w:p>
      <w:pPr>
        <w:jc w:val="both"/>
        <w:ind w:firstLine="936"/>
        <w:spacing w:after="0" w:line="324"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Successors</w:t>
      </w:r>
      <w:r>
        <w:rPr>
          <w:rFonts w:ascii="Arial" w:cs="Arial" w:eastAsia="Arial" w:hAnsi="Arial"/>
          <w:sz w:val="16"/>
          <w:szCs w:val="16"/>
          <w:color w:val="auto"/>
        </w:rPr>
        <w:t>.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34" w:lineRule="exact"/>
        <w:rPr>
          <w:sz w:val="20"/>
          <w:szCs w:val="20"/>
          <w:color w:val="auto"/>
        </w:rPr>
      </w:pPr>
    </w:p>
    <w:p>
      <w:pPr>
        <w:jc w:val="both"/>
        <w:ind w:firstLine="936"/>
        <w:spacing w:after="0" w:line="24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Rule of Construction for Timing of Conversion</w:t>
      </w:r>
      <w:r>
        <w:rPr>
          <w:rFonts w:ascii="Arial" w:cs="Arial" w:eastAsia="Arial" w:hAnsi="Arial"/>
          <w:sz w:val="18"/>
          <w:szCs w:val="18"/>
          <w:color w:val="auto"/>
        </w:rPr>
        <w:t>. With respect to each provision of this Award Agreement that provides for your PSUs to convert into Shares, or your dividend equivalents to be paid, on a specified event or date, such conversion or payment will be considered to have been timely made, and neither you nor any of your beneficiaries or your estate shall have any claim against the Company for damages based on a delay in conversion or payment, and the Company shall have no liability to you (or to any of your beneficiaries or your estate) in respect of any such delay, as long as payment is made by December 31 of the year in which the applicable Vesting Date or such other specified event or date occurs, or if later, by March 15</w:t>
      </w:r>
      <w:r>
        <w:rPr>
          <w:rFonts w:ascii="Arial" w:cs="Arial" w:eastAsia="Arial" w:hAnsi="Arial"/>
          <w:sz w:val="14"/>
          <w:szCs w:val="14"/>
          <w:color w:val="auto"/>
        </w:rPr>
        <w:t>th</w:t>
      </w:r>
      <w:r>
        <w:rPr>
          <w:rFonts w:ascii="Arial" w:cs="Arial" w:eastAsia="Arial" w:hAnsi="Arial"/>
          <w:sz w:val="18"/>
          <w:szCs w:val="18"/>
          <w:color w:val="auto"/>
        </w:rPr>
        <w:t xml:space="preserve"> of the year following such specified event or date.</w:t>
      </w:r>
    </w:p>
    <w:p>
      <w:pPr>
        <w:spacing w:after="0" w:line="194" w:lineRule="exact"/>
        <w:rPr>
          <w:sz w:val="20"/>
          <w:szCs w:val="20"/>
          <w:color w:val="auto"/>
        </w:rPr>
      </w:pPr>
    </w:p>
    <w:p>
      <w:pPr>
        <w:jc w:val="both"/>
        <w:ind w:firstLine="936"/>
        <w:spacing w:after="0" w:line="290"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Non-U.S. Participants</w:t>
      </w:r>
      <w:r>
        <w:rPr>
          <w:rFonts w:ascii="Arial" w:cs="Arial" w:eastAsia="Arial" w:hAnsi="Arial"/>
          <w:sz w:val="16"/>
          <w:szCs w:val="16"/>
          <w:color w:val="auto"/>
        </w:rPr>
        <w:t>.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62" w:lineRule="exact"/>
        <w:rPr>
          <w:sz w:val="20"/>
          <w:szCs w:val="20"/>
          <w:color w:val="auto"/>
        </w:rPr>
      </w:pPr>
    </w:p>
    <w:p>
      <w:pPr>
        <w:jc w:val="both"/>
        <w:ind w:firstLine="1222"/>
        <w:spacing w:after="0" w:line="281" w:lineRule="auto"/>
        <w:tabs>
          <w:tab w:leader="none" w:pos="2042"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Tax and Other Withholding Obligations. </w:t>
      </w:r>
      <w:r>
        <w:rPr>
          <w:rFonts w:ascii="Arial" w:cs="Arial" w:eastAsia="Arial" w:hAnsi="Arial"/>
          <w:sz w:val="16"/>
          <w:szCs w:val="16"/>
          <w:color w:val="auto"/>
        </w:rPr>
        <w:t>You acknowledge that, regardless of any action taken by the Company, the ultimate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for all income tax, social insurance, payroll tax, fringe benefits tax, payment on account or other tax-related items related to your participation in the Plan and legally applicable or deemed applicable to you (“</w:t>
      </w:r>
      <w:r>
        <w:rPr>
          <w:rFonts w:ascii="Arial" w:cs="Arial" w:eastAsia="Arial" w:hAnsi="Arial"/>
          <w:sz w:val="16"/>
          <w:szCs w:val="16"/>
          <w:b w:val="1"/>
          <w:bCs w:val="1"/>
          <w:color w:val="auto"/>
        </w:rPr>
        <w:t>Tax-Related Items</w:t>
      </w:r>
      <w:r>
        <w:rPr>
          <w:rFonts w:ascii="Arial" w:cs="Arial" w:eastAsia="Arial" w:hAnsi="Arial"/>
          <w:sz w:val="16"/>
          <w:szCs w:val="16"/>
          <w:color w:val="auto"/>
        </w:rPr>
        <w:t>”) is and remains your responsibility and may exceed the amount, if any, actually withheld by the Company. You further acknowledge that the Company (i) makes no representations or undertaking regarding the treatment of any Tax-Related Items in connection with any aspect of the PSUs or the underlying Shares, including, but not limited to, the grant, vesting or settlement of the PSUs, the subsequent sale of Shares acquired pursuant to such settlement and the lapse of the Post-Vest Holding Period, and the receipt of any dividend equivalents and/or dividends; and (i) does not commit to and is under no obligation to structure the terms of the grant or any aspect of the PSUs to reduce or eliminate your liability for Tax-Related Items or achieve any particular tax result.</w:t>
      </w:r>
    </w:p>
    <w:p>
      <w:pPr>
        <w:spacing w:after="0" w:line="169" w:lineRule="exact"/>
        <w:rPr>
          <w:sz w:val="20"/>
          <w:szCs w:val="20"/>
          <w:color w:val="auto"/>
        </w:rPr>
      </w:pPr>
    </w:p>
    <w:p>
      <w:pPr>
        <w:ind w:firstLine="936"/>
        <w:spacing w:after="0" w:line="324" w:lineRule="auto"/>
        <w:rPr>
          <w:sz w:val="20"/>
          <w:szCs w:val="20"/>
          <w:color w:val="auto"/>
        </w:rPr>
      </w:pPr>
      <w:r>
        <w:rPr>
          <w:rFonts w:ascii="Arial" w:cs="Arial" w:eastAsia="Arial" w:hAnsi="Arial"/>
          <w:sz w:val="16"/>
          <w:szCs w:val="16"/>
          <w:color w:val="auto"/>
        </w:rPr>
        <w:t>If the obligation for Tax-Related Items is satisfied by withholding in Shares, for tax purposes, you are deemed to have been issued the full number of Shares subject to the vested PSUs, notwithstanding that a number of the Shares are held back solely for the purpose of paying the Tax-Related Items.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8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9" w:name="page160"/>
    <w:bookmarkEnd w:id="159"/>
    <w:p>
      <w:pPr>
        <w:jc w:val="both"/>
        <w:ind w:firstLine="936"/>
        <w:spacing w:after="0" w:line="282" w:lineRule="auto"/>
        <w:rPr>
          <w:sz w:val="20"/>
          <w:szCs w:val="20"/>
          <w:color w:val="auto"/>
        </w:rPr>
      </w:pPr>
      <w:r>
        <w:rPr>
          <w:rFonts w:ascii="Arial" w:cs="Arial" w:eastAsia="Arial" w:hAnsi="Arial"/>
          <w:sz w:val="16"/>
          <w:szCs w:val="16"/>
          <w:color w:val="auto"/>
        </w:rPr>
        <w:t>In the event that withholding in and/or tendering Shares is problematic under applicable tax or securities law or has materially adverse accounting consequences, by your acceptance of the PSUs,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authorities. In the event of under-withholding, you may be required to pay any additional Tax-Related Items directly to the applicable tax authority or to the Company and/or your employer.</w:t>
      </w:r>
    </w:p>
    <w:p>
      <w:pPr>
        <w:spacing w:after="0" w:line="169"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 refuse to issue or deliver the Shares or the proceeds of the sale of Shares if you fail to comply with your obligations in connection with the Tax-Related Items.</w:t>
      </w:r>
    </w:p>
    <w:p>
      <w:pPr>
        <w:spacing w:after="0" w:line="192" w:lineRule="exact"/>
        <w:rPr>
          <w:sz w:val="20"/>
          <w:szCs w:val="20"/>
          <w:color w:val="auto"/>
        </w:rPr>
      </w:pPr>
    </w:p>
    <w:p>
      <w:pPr>
        <w:ind w:left="2060" w:hanging="838"/>
        <w:spacing w:after="0"/>
        <w:tabs>
          <w:tab w:leader="none" w:pos="20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Nature of Grant</w:t>
      </w:r>
      <w:r>
        <w:rPr>
          <w:rFonts w:ascii="Arial" w:cs="Arial" w:eastAsia="Arial" w:hAnsi="Arial"/>
          <w:sz w:val="18"/>
          <w:szCs w:val="18"/>
          <w:color w:val="auto"/>
        </w:rPr>
        <w:t>. In accepting the PSUs, you acknowledge, understand and agree that:</w:t>
      </w:r>
    </w:p>
    <w:p>
      <w:pPr>
        <w:spacing w:after="0" w:line="213" w:lineRule="exact"/>
        <w:rPr>
          <w:rFonts w:ascii="Arial" w:cs="Arial" w:eastAsia="Arial" w:hAnsi="Arial"/>
          <w:sz w:val="18"/>
          <w:szCs w:val="18"/>
          <w:color w:val="auto"/>
        </w:rPr>
      </w:pPr>
    </w:p>
    <w:p>
      <w:pPr>
        <w:ind w:left="940" w:firstLine="1289"/>
        <w:spacing w:after="0" w:line="261" w:lineRule="auto"/>
        <w:tabs>
          <w:tab w:leader="none" w:pos="30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Plan is established voluntarily by MSCI, it is discretionary in nature and it may be modified, amended, suspended or terminated by MSCI at any time, to the extent permitted by the Plan;</w:t>
      </w:r>
    </w:p>
    <w:p>
      <w:pPr>
        <w:spacing w:after="0" w:line="180" w:lineRule="exact"/>
        <w:rPr>
          <w:rFonts w:ascii="Arial" w:cs="Arial" w:eastAsia="Arial" w:hAnsi="Arial"/>
          <w:sz w:val="18"/>
          <w:szCs w:val="18"/>
          <w:color w:val="auto"/>
        </w:rPr>
      </w:pPr>
    </w:p>
    <w:p>
      <w:pPr>
        <w:jc w:val="both"/>
        <w:ind w:left="940" w:firstLine="1289"/>
        <w:spacing w:after="0" w:line="252" w:lineRule="auto"/>
        <w:tabs>
          <w:tab w:leader="none" w:pos="307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this PSU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89" w:lineRule="exact"/>
        <w:rPr>
          <w:rFonts w:ascii="Arial" w:cs="Arial" w:eastAsia="Arial" w:hAnsi="Arial"/>
          <w:sz w:val="18"/>
          <w:szCs w:val="18"/>
          <w:color w:val="auto"/>
        </w:rPr>
      </w:pPr>
    </w:p>
    <w:p>
      <w:pPr>
        <w:jc w:val="both"/>
        <w:ind w:left="940" w:firstLine="1289"/>
        <w:spacing w:after="0" w:line="290" w:lineRule="auto"/>
        <w:tabs>
          <w:tab w:leader="none" w:pos="3121"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this award, and all other awards of PSUs and other equity-based awards, are exceptional, discretionary, voluntary and occasional. This award does not confer on you any contractual or other right or entitlement to receive another award of PSUs, any other equity-based award or benefits in lieu of PSUs at any time in the future or in respect of any future period. You agree that any release required under Section 4 of this Award Agreement is in exchange for the grant of PSUs hereunder, for which you have no current entitlement;</w:t>
      </w:r>
    </w:p>
    <w:p>
      <w:pPr>
        <w:spacing w:after="0" w:line="162" w:lineRule="exact"/>
        <w:rPr>
          <w:rFonts w:ascii="Arial" w:cs="Arial" w:eastAsia="Arial" w:hAnsi="Arial"/>
          <w:sz w:val="16"/>
          <w:szCs w:val="16"/>
          <w:color w:val="auto"/>
        </w:rPr>
      </w:pPr>
    </w:p>
    <w:p>
      <w:pPr>
        <w:ind w:left="940" w:firstLine="1289"/>
        <w:spacing w:after="0" w:line="261" w:lineRule="auto"/>
        <w:tabs>
          <w:tab w:leader="none" w:pos="31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MSCI has made this award to you in its sole discretion. All decisions with respect to future PSU or other grants, if any, will be at the sole discretion of MSCI;</w:t>
      </w:r>
    </w:p>
    <w:p>
      <w:pPr>
        <w:spacing w:after="0" w:line="180" w:lineRule="exact"/>
        <w:rPr>
          <w:rFonts w:ascii="Arial" w:cs="Arial" w:eastAsia="Arial" w:hAnsi="Arial"/>
          <w:sz w:val="18"/>
          <w:szCs w:val="18"/>
          <w:color w:val="auto"/>
        </w:rPr>
      </w:pPr>
    </w:p>
    <w:p>
      <w:pPr>
        <w:ind w:left="3060" w:hanging="831"/>
        <w:spacing w:after="0"/>
        <w:tabs>
          <w:tab w:leader="none" w:pos="30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13" w:lineRule="exact"/>
        <w:rPr>
          <w:rFonts w:ascii="Arial" w:cs="Arial" w:eastAsia="Arial" w:hAnsi="Arial"/>
          <w:sz w:val="18"/>
          <w:szCs w:val="18"/>
          <w:color w:val="auto"/>
        </w:rPr>
      </w:pPr>
    </w:p>
    <w:p>
      <w:pPr>
        <w:ind w:left="940" w:firstLine="1289"/>
        <w:spacing w:after="0" w:line="261" w:lineRule="auto"/>
        <w:tabs>
          <w:tab w:leader="none" w:pos="31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grant of PSUs and the Shares subject to the PSUs, and the income and value of the same, are not intended to replace any pension rights or compensation;</w:t>
      </w:r>
    </w:p>
    <w:p>
      <w:pPr>
        <w:spacing w:after="0" w:line="180" w:lineRule="exact"/>
        <w:rPr>
          <w:rFonts w:ascii="Arial" w:cs="Arial" w:eastAsia="Arial" w:hAnsi="Arial"/>
          <w:sz w:val="18"/>
          <w:szCs w:val="18"/>
          <w:color w:val="auto"/>
        </w:rPr>
      </w:pPr>
    </w:p>
    <w:p>
      <w:pPr>
        <w:jc w:val="both"/>
        <w:ind w:left="940" w:firstLine="1289"/>
        <w:spacing w:after="0" w:line="286" w:lineRule="auto"/>
        <w:tabs>
          <w:tab w:leader="none" w:pos="31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this award does not confer on you any right or entitlement to receive compensation in any specific amount. In addition, the PSUs and the Shares subject to the PSUs, and the income from and value of the same, are not part of normal or expected compensation for purposes of, including, but not limited to, calculating any severance, resignation, termination, redundancy, dismissal, end-of-service payments, bonuses, long-service awards, holiday pay, leave pay, pension or retirement or welfare benefits or similar payments, and in no event should be considered as compensation for, or relating in any way to, past services for the Company, the employer, or any Subsidiary;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8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0" w:name="page161"/>
    <w:bookmarkEnd w:id="160"/>
    <w:p>
      <w:pPr>
        <w:ind w:left="940" w:firstLine="1289"/>
        <w:spacing w:after="0" w:line="324" w:lineRule="auto"/>
        <w:tabs>
          <w:tab w:leader="none" w:pos="3209" w:val="left"/>
        </w:tabs>
        <w:numPr>
          <w:ilvl w:val="1"/>
          <w:numId w:val="100"/>
        </w:numPr>
        <w:rPr>
          <w:rFonts w:ascii="Arial" w:cs="Arial" w:eastAsia="Arial" w:hAnsi="Arial"/>
          <w:sz w:val="16"/>
          <w:szCs w:val="16"/>
          <w:color w:val="auto"/>
        </w:rPr>
      </w:pPr>
      <w:r>
        <w:rPr>
          <w:rFonts w:ascii="Arial" w:cs="Arial" w:eastAsia="Arial" w:hAnsi="Arial"/>
          <w:sz w:val="16"/>
          <w:szCs w:val="16"/>
          <w:color w:val="auto"/>
        </w:rPr>
        <w:t>unless otherwise agreed with MSCI in writing, the PSUs and the Shares subject to the PSUs, and the income from and value of the same, are not granted as consideration for, or in connection with, the service you may provide as a director of a Subsidiary;</w:t>
      </w:r>
    </w:p>
    <w:p>
      <w:pPr>
        <w:spacing w:after="0" w:line="134" w:lineRule="exact"/>
        <w:rPr>
          <w:rFonts w:ascii="Arial" w:cs="Arial" w:eastAsia="Arial" w:hAnsi="Arial"/>
          <w:sz w:val="16"/>
          <w:szCs w:val="16"/>
          <w:color w:val="auto"/>
        </w:rPr>
      </w:pPr>
    </w:p>
    <w:p>
      <w:pPr>
        <w:ind w:left="3120" w:hanging="891"/>
        <w:spacing w:after="0"/>
        <w:tabs>
          <w:tab w:leader="none" w:pos="31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future value of the underlying Shares is unknown, indeterminable and cannot be predicted with certainty;</w:t>
      </w:r>
    </w:p>
    <w:p>
      <w:pPr>
        <w:spacing w:after="0" w:line="236" w:lineRule="exact"/>
        <w:rPr>
          <w:rFonts w:ascii="Arial" w:cs="Arial" w:eastAsia="Arial" w:hAnsi="Arial"/>
          <w:sz w:val="16"/>
          <w:szCs w:val="16"/>
          <w:color w:val="auto"/>
        </w:rPr>
      </w:pPr>
    </w:p>
    <w:p>
      <w:pPr>
        <w:jc w:val="both"/>
        <w:ind w:left="940" w:firstLine="1289"/>
        <w:spacing w:after="0" w:line="252" w:lineRule="auto"/>
        <w:tabs>
          <w:tab w:leader="none" w:pos="306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PSUs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89" w:lineRule="exact"/>
        <w:rPr>
          <w:rFonts w:ascii="Arial" w:cs="Arial" w:eastAsia="Arial" w:hAnsi="Arial"/>
          <w:sz w:val="18"/>
          <w:szCs w:val="18"/>
          <w:color w:val="auto"/>
        </w:rPr>
      </w:pPr>
    </w:p>
    <w:p>
      <w:pPr>
        <w:jc w:val="both"/>
        <w:ind w:left="940" w:firstLine="1289"/>
        <w:spacing w:after="0" w:line="252" w:lineRule="auto"/>
        <w:tabs>
          <w:tab w:leader="none" w:pos="311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you acknowledge and agree that the Company shall not be liable for any foreign exchange rate fluctuation between your local currency and the U.S. Dollar that may affect the value of the PSU or of any amounts due to you pursuant to the settlement of the PSU or the subsequent sale of any Shares acquired upon settlement.</w:t>
      </w:r>
    </w:p>
    <w:p>
      <w:pPr>
        <w:spacing w:after="0" w:line="189" w:lineRule="exact"/>
        <w:rPr>
          <w:rFonts w:ascii="Arial" w:cs="Arial" w:eastAsia="Arial" w:hAnsi="Arial"/>
          <w:sz w:val="18"/>
          <w:szCs w:val="18"/>
          <w:color w:val="auto"/>
        </w:rPr>
      </w:pPr>
    </w:p>
    <w:p>
      <w:pPr>
        <w:jc w:val="both"/>
        <w:ind w:firstLine="1222"/>
        <w:spacing w:after="0" w:line="290" w:lineRule="auto"/>
        <w:tabs>
          <w:tab w:leader="none" w:pos="2042"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Retirement Treatment</w:t>
      </w:r>
      <w:r>
        <w:rPr>
          <w:rFonts w:ascii="Arial" w:cs="Arial" w:eastAsia="Arial" w:hAnsi="Arial"/>
          <w:sz w:val="16"/>
          <w:szCs w:val="16"/>
          <w:color w:val="auto"/>
        </w:rPr>
        <w:t>. Notwithstanding anything to the contrary in this Section 21(c) of this Award Agreement, if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receives a legal opinion that there has been a legal judgment and/or legal development in your jurisdiction that likely would result in the favorable treatment that applies to the PSUs in the event of your retirement being deemed unlawful and/or discriminatory, the provisions of Section 4 of this Award Agreement regarding the treatment of the PSUs in the event of your retirement shall not be applicable to you.</w:t>
      </w:r>
    </w:p>
    <w:p>
      <w:pPr>
        <w:spacing w:after="0" w:line="162" w:lineRule="exact"/>
        <w:rPr>
          <w:rFonts w:ascii="Arial" w:cs="Arial" w:eastAsia="Arial" w:hAnsi="Arial"/>
          <w:sz w:val="16"/>
          <w:szCs w:val="16"/>
          <w:color w:val="auto"/>
        </w:rPr>
      </w:pPr>
    </w:p>
    <w:p>
      <w:pPr>
        <w:ind w:left="2060" w:hanging="838"/>
        <w:spacing w:after="0"/>
        <w:tabs>
          <w:tab w:leader="none" w:pos="206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Data Privacy.</w:t>
      </w:r>
    </w:p>
    <w:p>
      <w:pPr>
        <w:spacing w:after="0" w:line="214" w:lineRule="exact"/>
        <w:rPr>
          <w:sz w:val="20"/>
          <w:szCs w:val="20"/>
          <w:color w:val="auto"/>
        </w:rPr>
      </w:pPr>
    </w:p>
    <w:p>
      <w:pPr>
        <w:jc w:val="both"/>
        <w:ind w:firstLine="936"/>
        <w:spacing w:after="0" w:line="252" w:lineRule="auto"/>
        <w:rPr>
          <w:sz w:val="20"/>
          <w:szCs w:val="20"/>
          <w:color w:val="auto"/>
        </w:rPr>
      </w:pPr>
      <w:r>
        <w:rPr>
          <w:rFonts w:ascii="Arial" w:cs="Arial" w:eastAsia="Arial" w:hAnsi="Arial"/>
          <w:sz w:val="18"/>
          <w:szCs w:val="18"/>
          <w:b w:val="1"/>
          <w:bCs w:val="1"/>
          <w:i w:val="1"/>
          <w:iCs w:val="1"/>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89" w:lineRule="exact"/>
        <w:rPr>
          <w:sz w:val="20"/>
          <w:szCs w:val="20"/>
          <w:color w:val="auto"/>
        </w:rPr>
      </w:pPr>
    </w:p>
    <w:p>
      <w:pPr>
        <w:jc w:val="both"/>
        <w:ind w:left="940" w:firstLine="1289"/>
        <w:spacing w:after="0" w:line="252" w:lineRule="auto"/>
        <w:tabs>
          <w:tab w:leader="none" w:pos="3024" w:val="left"/>
        </w:tabs>
        <w:numPr>
          <w:ilvl w:val="1"/>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89" w:lineRule="exact"/>
        <w:rPr>
          <w:rFonts w:ascii="Arial" w:cs="Arial" w:eastAsia="Arial" w:hAnsi="Arial"/>
          <w:sz w:val="18"/>
          <w:szCs w:val="18"/>
          <w:color w:val="auto"/>
        </w:rPr>
      </w:pPr>
    </w:p>
    <w:p>
      <w:pPr>
        <w:jc w:val="both"/>
        <w:ind w:left="940" w:firstLine="1289"/>
        <w:spacing w:after="0" w:line="252" w:lineRule="auto"/>
        <w:tabs>
          <w:tab w:leader="none" w:pos="3073" w:val="left"/>
        </w:tabs>
        <w:numPr>
          <w:ilvl w:val="1"/>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399" w:lineRule="exact"/>
        <w:rPr>
          <w:rFonts w:ascii="Arial" w:cs="Arial" w:eastAsia="Arial" w:hAnsi="Arial"/>
          <w:sz w:val="18"/>
          <w:szCs w:val="18"/>
          <w:color w:val="auto"/>
        </w:rPr>
      </w:pPr>
    </w:p>
    <w:p>
      <w:pPr>
        <w:ind w:right="120" w:firstLine="1222"/>
        <w:spacing w:after="0" w:line="284" w:lineRule="auto"/>
        <w:tabs>
          <w:tab w:leader="none" w:pos="204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Language</w:t>
      </w:r>
      <w:r>
        <w:rPr>
          <w:rFonts w:ascii="Arial" w:cs="Arial" w:eastAsia="Arial" w:hAnsi="Arial"/>
          <w:sz w:val="16"/>
          <w:szCs w:val="16"/>
          <w:color w:val="auto"/>
        </w:rPr>
        <w:t>. If you are a resident in a country where English is not an official language, you acknowledge that you are sufficiently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proficient in English to understand the terms and conditions of the Award Agreement or have had the ability to consult with an advisor who is sufficiently proficient in the English language. You further acknowledge and agree that it is your express intent that the Award Agreement,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the Plan and all other documents, notices and legal proceedings entered into, given or instituted pursuant to the PSUs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65" w:lineRule="exact"/>
        <w:rPr>
          <w:rFonts w:ascii="Arial" w:cs="Arial" w:eastAsia="Arial" w:hAnsi="Arial"/>
          <w:sz w:val="16"/>
          <w:szCs w:val="16"/>
          <w:color w:val="auto"/>
        </w:rPr>
      </w:pPr>
    </w:p>
    <w:p>
      <w:pPr>
        <w:jc w:val="both"/>
        <w:ind w:firstLine="1222"/>
        <w:spacing w:after="0" w:line="299" w:lineRule="auto"/>
        <w:tabs>
          <w:tab w:leader="none" w:pos="2023"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Electronic Delivery and Participation</w:t>
      </w:r>
      <w:r>
        <w:rPr>
          <w:rFonts w:ascii="Arial" w:cs="Arial" w:eastAsia="Arial" w:hAnsi="Arial"/>
          <w:sz w:val="16"/>
          <w:szCs w:val="16"/>
          <w:color w:val="auto"/>
        </w:rPr>
        <w:t>. MSCI may, in its sole discretion, decide to deliver any documents related to current or</w:t>
      </w:r>
      <w:r>
        <w:rPr>
          <w:rFonts w:ascii="Arial" w:cs="Arial" w:eastAsia="Arial" w:hAnsi="Arial"/>
          <w:sz w:val="16"/>
          <w:szCs w:val="16"/>
          <w:i w:val="1"/>
          <w:iCs w:val="1"/>
          <w:color w:val="auto"/>
        </w:rPr>
        <w:t xml:space="preserve"> </w:t>
      </w:r>
      <w:r>
        <w:rPr>
          <w:rFonts w:ascii="Arial" w:cs="Arial" w:eastAsia="Arial" w:hAnsi="Arial"/>
          <w:sz w:val="16"/>
          <w:szCs w:val="16"/>
          <w:color w:val="auto"/>
        </w:rPr>
        <w:t>future participation in the Plan by electronic means. You hereby consent to receive such documents by electronic delivery and agree to participate in the Plan through an online or electronic system established and maintained by MSCI or a third party designated by MSCI.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9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1" w:name="page162"/>
    <w:bookmarkEnd w:id="161"/>
    <w:p>
      <w:pPr>
        <w:jc w:val="both"/>
        <w:ind w:firstLine="1222"/>
        <w:spacing w:after="0" w:line="290" w:lineRule="auto"/>
        <w:tabs>
          <w:tab w:leader="none" w:pos="2052"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Exhibit C</w:t>
      </w:r>
      <w:r>
        <w:rPr>
          <w:rFonts w:ascii="Arial" w:cs="Arial" w:eastAsia="Arial" w:hAnsi="Arial"/>
          <w:sz w:val="16"/>
          <w:szCs w:val="16"/>
          <w:color w:val="auto"/>
        </w:rPr>
        <w:t>. Notwithstanding any provisions in this Award Agreement, the PSUs shall be subject to any additional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this Award Agreement for your country. Moreover, if you relocate to one of the countries included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additional terms and conditions for such country will apply to you, to the extent MSCI determines that the application of such terms and conditions is necessary or advisable for legal or administrative reasons.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constitutes part of this Award Agreement.</w:t>
      </w:r>
    </w:p>
    <w:p>
      <w:pPr>
        <w:spacing w:after="0" w:line="162" w:lineRule="exact"/>
        <w:rPr>
          <w:rFonts w:ascii="Arial" w:cs="Arial" w:eastAsia="Arial" w:hAnsi="Arial"/>
          <w:sz w:val="16"/>
          <w:szCs w:val="16"/>
          <w:color w:val="auto"/>
        </w:rPr>
      </w:pPr>
    </w:p>
    <w:p>
      <w:pPr>
        <w:jc w:val="both"/>
        <w:ind w:firstLine="1222"/>
        <w:spacing w:after="0" w:line="279" w:lineRule="auto"/>
        <w:tabs>
          <w:tab w:leader="none" w:pos="2052"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Insider Trading Restrictions/Market Abuse Laws</w:t>
      </w:r>
      <w:r>
        <w:rPr>
          <w:rFonts w:ascii="Arial" w:cs="Arial" w:eastAsia="Arial" w:hAnsi="Arial"/>
          <w:sz w:val="16"/>
          <w:szCs w:val="16"/>
          <w:color w:val="auto"/>
        </w:rPr>
        <w:t>. By accepting the PSUs, you acknowledge that you are bound by all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of any MSCI insider 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w:t>
      </w:r>
      <w:r>
        <w:rPr>
          <w:rFonts w:ascii="Arial" w:cs="Arial" w:eastAsia="Arial" w:hAnsi="Arial"/>
          <w:sz w:val="16"/>
          <w:szCs w:val="16"/>
          <w:i w:val="1"/>
          <w:iCs w:val="1"/>
          <w:color w:val="auto"/>
        </w:rPr>
        <w:t>e.g.</w:t>
      </w:r>
      <w:r>
        <w:rPr>
          <w:rFonts w:ascii="Arial" w:cs="Arial" w:eastAsia="Arial" w:hAnsi="Arial"/>
          <w:sz w:val="16"/>
          <w:szCs w:val="16"/>
          <w:color w:val="auto"/>
        </w:rPr>
        <w:t>, PSUs) or rights linked to the value of Shares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74" w:lineRule="exact"/>
        <w:rPr>
          <w:rFonts w:ascii="Arial" w:cs="Arial" w:eastAsia="Arial" w:hAnsi="Arial"/>
          <w:sz w:val="16"/>
          <w:szCs w:val="16"/>
          <w:color w:val="auto"/>
        </w:rPr>
      </w:pPr>
    </w:p>
    <w:p>
      <w:pPr>
        <w:jc w:val="both"/>
        <w:ind w:firstLine="1222"/>
        <w:spacing w:after="0" w:line="284" w:lineRule="auto"/>
        <w:tabs>
          <w:tab w:leader="none" w:pos="2013"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 xml:space="preserve">Foreign Asset/Account, Exchange Control Reporting. </w:t>
      </w:r>
      <w:r>
        <w:rPr>
          <w:rFonts w:ascii="Arial" w:cs="Arial" w:eastAsia="Arial" w:hAnsi="Arial"/>
          <w:sz w:val="16"/>
          <w:szCs w:val="16"/>
          <w:color w:val="auto"/>
        </w:rPr>
        <w:t>Your country may have certain exchange control and/or foreign asset/account</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requirements which 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66" w:lineRule="exact"/>
        <w:rPr>
          <w:sz w:val="20"/>
          <w:szCs w:val="20"/>
          <w:color w:val="auto"/>
        </w:rPr>
      </w:pPr>
    </w:p>
    <w:p>
      <w:pPr>
        <w:jc w:val="both"/>
        <w:ind w:firstLine="936"/>
        <w:spacing w:after="0" w:line="24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PSU grant and provisions of this Award Agreement are governed by, and subject to, the laws of the State of Delaware, United States of America, without regard to the conflict of law provisions, as provided in the Plan. For purposes of litigating any dispute that arises under this grant or the Award,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92"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For purposes of this Award Agreement, the following terms shall have the meanings set forth below:</w:t>
      </w:r>
    </w:p>
    <w:p>
      <w:pPr>
        <w:spacing w:after="0" w:line="208"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55/10 Retirement Eligibility</w:t>
      </w:r>
      <w:r>
        <w:rPr>
          <w:rFonts w:ascii="Arial" w:cs="Arial" w:eastAsia="Arial" w:hAnsi="Arial"/>
          <w:sz w:val="18"/>
          <w:szCs w:val="18"/>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88"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55/10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9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2" w:name="page163"/>
    <w:bookmarkEnd w:id="162"/>
    <w:p>
      <w:pPr>
        <w:jc w:val="both"/>
        <w:ind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62/10 Retirement Eligibility</w:t>
      </w:r>
      <w:r>
        <w:rPr>
          <w:rFonts w:ascii="Arial" w:cs="Arial" w:eastAsia="Arial" w:hAnsi="Arial"/>
          <w:sz w:val="18"/>
          <w:szCs w:val="18"/>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88"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62/10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4(b)(ii)) on or after the date that you attain 62/10 Retirement Eligibility.</w:t>
      </w:r>
    </w:p>
    <w:p>
      <w:pPr>
        <w:spacing w:after="0" w:line="1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Cancellation Event</w:t>
      </w:r>
      <w:r>
        <w:rPr>
          <w:rFonts w:ascii="Arial" w:cs="Arial" w:eastAsia="Arial" w:hAnsi="Arial"/>
          <w:sz w:val="18"/>
          <w:szCs w:val="18"/>
          <w:color w:val="auto"/>
        </w:rPr>
        <w:t>” will be deemed to have occurred under any one of the following circumstances:</w:t>
      </w:r>
    </w:p>
    <w:p>
      <w:pPr>
        <w:spacing w:after="0" w:line="220" w:lineRule="exact"/>
        <w:rPr>
          <w:sz w:val="20"/>
          <w:szCs w:val="20"/>
          <w:color w:val="auto"/>
        </w:rPr>
      </w:pPr>
    </w:p>
    <w:p>
      <w:pPr>
        <w:ind w:firstLine="1222"/>
        <w:spacing w:after="0" w:line="261" w:lineRule="auto"/>
        <w:tabs>
          <w:tab w:leader="none" w:pos="20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misuse of Confidential Information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Award Agreement) or the failure to comply with your obligations under MSCI’s Code of Conduct or otherwise with respect to Confidential Information;</w:t>
      </w:r>
    </w:p>
    <w:p>
      <w:pPr>
        <w:spacing w:after="0" w:line="180" w:lineRule="exact"/>
        <w:rPr>
          <w:rFonts w:ascii="Arial" w:cs="Arial" w:eastAsia="Arial" w:hAnsi="Arial"/>
          <w:sz w:val="18"/>
          <w:szCs w:val="18"/>
          <w:color w:val="auto"/>
        </w:rPr>
      </w:pPr>
    </w:p>
    <w:p>
      <w:pPr>
        <w:ind w:firstLine="1222"/>
        <w:spacing w:after="0" w:line="261" w:lineRule="auto"/>
        <w:tabs>
          <w:tab w:leader="none" w:pos="20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termination from the Company for Cause (or a later determination that you could have been terminated for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determination is made within six months of termination);</w:t>
      </w:r>
    </w:p>
    <w:p>
      <w:pPr>
        <w:spacing w:after="0" w:line="180" w:lineRule="exact"/>
        <w:rPr>
          <w:rFonts w:ascii="Arial" w:cs="Arial" w:eastAsia="Arial" w:hAnsi="Arial"/>
          <w:sz w:val="18"/>
          <w:szCs w:val="18"/>
          <w:color w:val="auto"/>
        </w:rPr>
      </w:pPr>
    </w:p>
    <w:p>
      <w:pPr>
        <w:ind w:left="2040" w:hanging="818"/>
        <w:spacing w:after="0"/>
        <w:tabs>
          <w:tab w:leader="none" w:pos="20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your commission of a fraudulent act or participation in misconduct which leads to a material restatement of the Company’s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financial statements; or</w:t>
      </w:r>
    </w:p>
    <w:p>
      <w:pPr>
        <w:spacing w:after="0" w:line="201" w:lineRule="exact"/>
        <w:rPr>
          <w:rFonts w:ascii="Arial" w:cs="Arial" w:eastAsia="Arial" w:hAnsi="Arial"/>
          <w:sz w:val="16"/>
          <w:szCs w:val="16"/>
          <w:color w:val="auto"/>
        </w:rPr>
      </w:pPr>
    </w:p>
    <w:p>
      <w:pPr>
        <w:ind w:left="2060" w:hanging="838"/>
        <w:spacing w:after="0"/>
        <w:tabs>
          <w:tab w:leader="none" w:pos="2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failure to affirmatively accept the terms of this Award Agreement by [•].</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w:t>
      </w:r>
    </w:p>
    <w:p>
      <w:pPr>
        <w:sectPr>
          <w:pgSz w:w="11900" w:h="16838" w:orient="portrait"/>
          <w:cols w:equalWidth="0" w:num="1">
            <w:col w:w="11240"/>
          </w:cols>
          <w:pgMar w:left="320" w:top="989" w:right="339" w:bottom="1440" w:gutter="0" w:footer="0" w:header="0"/>
        </w:sectPr>
      </w:pPr>
    </w:p>
    <w:p>
      <w:pPr>
        <w:spacing w:after="0" w:line="2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firstLine="858"/>
        <w:spacing w:after="0" w:line="284" w:lineRule="auto"/>
        <w:rPr>
          <w:sz w:val="20"/>
          <w:szCs w:val="20"/>
          <w:color w:val="auto"/>
        </w:rPr>
      </w:pPr>
      <w:r>
        <w:rPr>
          <w:rFonts w:ascii="Arial" w:cs="Arial" w:eastAsia="Arial" w:hAnsi="Arial"/>
          <w:sz w:val="16"/>
          <w:szCs w:val="16"/>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 or failure to act on your part shall be deemed willful unless done or omitted to be done by you not in good faith and without reasonable belief that your action or omission was in the best interest of the Company;</w:t>
      </w:r>
    </w:p>
    <w:p>
      <w:pPr>
        <w:spacing w:after="0" w:line="166" w:lineRule="exact"/>
        <w:rPr>
          <w:sz w:val="20"/>
          <w:szCs w:val="20"/>
          <w:color w:val="auto"/>
        </w:rPr>
      </w:pPr>
    </w:p>
    <w:p>
      <w:pPr>
        <w:sectPr>
          <w:pgSz w:w="11900" w:h="16838" w:orient="portrait"/>
          <w:cols w:equalWidth="0" w:num="2">
            <w:col w:w="280" w:space="660"/>
            <w:col w:w="10300"/>
          </w:cols>
          <w:pgMar w:left="320" w:top="989"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jc w:val="both"/>
        <w:ind w:firstLine="858"/>
        <w:spacing w:after="0" w:line="252" w:lineRule="auto"/>
        <w:rPr>
          <w:sz w:val="20"/>
          <w:szCs w:val="20"/>
          <w:color w:val="auto"/>
        </w:rPr>
      </w:pPr>
      <w:r>
        <w:rPr>
          <w:rFonts w:ascii="Arial" w:cs="Arial" w:eastAsia="Arial" w:hAnsi="Arial"/>
          <w:sz w:val="18"/>
          <w:szCs w:val="18"/>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89" w:lineRule="exact"/>
        <w:rPr>
          <w:sz w:val="20"/>
          <w:szCs w:val="20"/>
          <w:color w:val="auto"/>
        </w:rPr>
      </w:pPr>
    </w:p>
    <w:p>
      <w:pPr>
        <w:sectPr>
          <w:pgSz w:w="11900" w:h="16838" w:orient="portrait"/>
          <w:cols w:equalWidth="0" w:num="2">
            <w:col w:w="280" w:space="660"/>
            <w:col w:w="10300"/>
          </w:cols>
          <w:pgMar w:left="320" w:top="989"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ind w:firstLine="858"/>
        <w:spacing w:after="0" w:line="261" w:lineRule="auto"/>
        <w:rPr>
          <w:sz w:val="20"/>
          <w:szCs w:val="20"/>
          <w:color w:val="auto"/>
        </w:rPr>
      </w:pPr>
      <w:r>
        <w:rPr>
          <w:rFonts w:ascii="Arial" w:cs="Arial" w:eastAsia="Arial" w:hAnsi="Arial"/>
          <w:sz w:val="18"/>
          <w:szCs w:val="18"/>
          <w:color w:val="auto"/>
        </w:rPr>
        <w:t xml:space="preserve">your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or conviction of a felony under the laws of the United States or any state thereof or any other plea or confession of a similar crime in a jurisdiction in which the Company conducts business; or</w:t>
      </w:r>
    </w:p>
    <w:p>
      <w:pPr>
        <w:spacing w:after="0" w:line="181" w:lineRule="exact"/>
        <w:rPr>
          <w:sz w:val="20"/>
          <w:szCs w:val="20"/>
          <w:color w:val="auto"/>
        </w:rPr>
      </w:pPr>
    </w:p>
    <w:p>
      <w:pPr>
        <w:sectPr>
          <w:pgSz w:w="11900" w:h="16838" w:orient="portrait"/>
          <w:cols w:equalWidth="0" w:num="2">
            <w:col w:w="280" w:space="660"/>
            <w:col w:w="10300"/>
          </w:cols>
          <w:pgMar w:left="320" w:top="989"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your commission of a fraudulent act or participation in misconduct which leads to a material restatement of the Company’s financial</w:t>
      </w:r>
    </w:p>
    <w:p>
      <w:pPr>
        <w:spacing w:after="0" w:line="38" w:lineRule="exact"/>
        <w:rPr>
          <w:sz w:val="20"/>
          <w:szCs w:val="20"/>
          <w:color w:val="auto"/>
        </w:rPr>
      </w:pPr>
    </w:p>
    <w:p>
      <w:pPr>
        <w:sectPr>
          <w:pgSz w:w="11900" w:h="16838" w:orient="portrait"/>
          <w:cols w:equalWidth="0" w:num="2">
            <w:col w:w="1080" w:space="720"/>
            <w:col w:w="9440"/>
          </w:cols>
          <w:pgMar w:left="320" w:top="989" w:right="339" w:bottom="1440" w:gutter="0" w:footer="0" w:header="0"/>
          <w:type w:val="continuous"/>
        </w:sectPr>
      </w:pPr>
    </w:p>
    <w:p>
      <w:pPr>
        <w:ind w:left="940"/>
        <w:spacing w:after="0"/>
        <w:rPr>
          <w:sz w:val="20"/>
          <w:szCs w:val="20"/>
          <w:color w:val="auto"/>
        </w:rPr>
      </w:pPr>
      <w:r>
        <w:rPr>
          <w:rFonts w:ascii="Arial" w:cs="Arial" w:eastAsia="Arial" w:hAnsi="Arial"/>
          <w:sz w:val="18"/>
          <w:szCs w:val="18"/>
          <w:color w:val="auto"/>
        </w:rPr>
        <w:t>statements.</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amended.</w:t>
      </w:r>
    </w:p>
    <w:p>
      <w:pPr>
        <w:sectPr>
          <w:pgSz w:w="11900" w:h="16838" w:orient="portrait"/>
          <w:cols w:equalWidth="0" w:num="1">
            <w:col w:w="11240"/>
          </w:cols>
          <w:pgMar w:left="320" w:top="989" w:right="339" w:bottom="1440" w:gutter="0" w:footer="0" w:header="0"/>
          <w:type w:val="continuous"/>
        </w:sectPr>
      </w:pPr>
    </w:p>
    <w:p>
      <w:pPr>
        <w:spacing w:after="0" w:line="248" w:lineRule="exact"/>
        <w:rPr>
          <w:sz w:val="20"/>
          <w:szCs w:val="20"/>
          <w:color w:val="auto"/>
        </w:rPr>
      </w:pPr>
    </w:p>
    <w:p>
      <w:pPr>
        <w:ind w:firstLine="93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has the meaning ascribed to such term in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administering this Award with respect to participants who are not officers or directors of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9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63" w:name="page164"/>
    <w:bookmarkEnd w:id="163"/>
    <w:p>
      <w:pPr>
        <w:jc w:val="both"/>
        <w:spacing w:after="0" w:line="261" w:lineRule="auto"/>
        <w:rPr>
          <w:sz w:val="20"/>
          <w:szCs w:val="20"/>
          <w:color w:val="auto"/>
        </w:rPr>
      </w:pPr>
      <w:r>
        <w:rPr>
          <w:rFonts w:ascii="Arial" w:cs="Arial" w:eastAsia="Arial" w:hAnsi="Arial"/>
          <w:sz w:val="18"/>
          <w:szCs w:val="18"/>
          <w:color w:val="auto"/>
        </w:rPr>
        <w:t>Company subject to Section 16(b) of the Exchange Act, the Committee may delegate its authority to the Company’s Chief Executive Officer, Chief Human Resources Officer or Head of Compensation and Benefits.</w:t>
      </w:r>
    </w:p>
    <w:p>
      <w:pPr>
        <w:spacing w:after="0" w:line="175"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the occurrence of any of the following without your prior written consent:</w:t>
      </w:r>
    </w:p>
    <w:p>
      <w:pPr>
        <w:spacing w:after="0" w:line="220" w:lineRule="exact"/>
        <w:rPr>
          <w:sz w:val="20"/>
          <w:szCs w:val="20"/>
          <w:color w:val="auto"/>
        </w:rPr>
      </w:pPr>
    </w:p>
    <w:p>
      <w:pPr>
        <w:jc w:val="both"/>
        <w:ind w:left="940" w:hanging="855"/>
        <w:spacing w:after="0" w:line="299" w:lineRule="auto"/>
        <w:tabs>
          <w:tab w:leader="none" w:pos="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54" w:lineRule="exact"/>
        <w:rPr>
          <w:sz w:val="20"/>
          <w:szCs w:val="20"/>
          <w:color w:val="auto"/>
        </w:rPr>
      </w:pPr>
    </w:p>
    <w:p>
      <w:pPr>
        <w:jc w:val="both"/>
        <w:ind w:left="940" w:hanging="855"/>
        <w:spacing w:after="0" w:line="279" w:lineRule="auto"/>
        <w:tabs>
          <w:tab w:leader="none" w:pos="9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Arial" w:cs="Arial" w:eastAsia="Arial" w:hAnsi="Arial"/>
          <w:sz w:val="16"/>
          <w:szCs w:val="16"/>
          <w:b w:val="1"/>
          <w:bCs w:val="1"/>
          <w:color w:val="auto"/>
        </w:rPr>
        <w:t>Equity Value</w:t>
      </w:r>
      <w:r>
        <w:rPr>
          <w:rFonts w:ascii="Arial" w:cs="Arial" w:eastAsia="Arial" w:hAnsi="Arial"/>
          <w:sz w:val="16"/>
          <w:szCs w:val="16"/>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ectPr>
          <w:pgSz w:w="11900" w:h="16838" w:orient="portrait"/>
          <w:cols w:equalWidth="0" w:num="1">
            <w:col w:w="11240"/>
          </w:cols>
          <w:pgMar w:left="320" w:top="995" w:right="339" w:bottom="1440" w:gutter="0" w:footer="0" w:header="0"/>
        </w:sectPr>
      </w:pP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 relocation of more than 25 miles from the location of your principal job or office location prior to a Change in Control; or</w:t>
      </w:r>
    </w:p>
    <w:p>
      <w:pPr>
        <w:spacing w:after="0" w:line="200"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37" w:lineRule="exact"/>
        <w:rPr>
          <w:sz w:val="20"/>
          <w:szCs w:val="20"/>
          <w:color w:val="auto"/>
        </w:rPr>
      </w:pPr>
    </w:p>
    <w:p>
      <w:pPr>
        <w:ind w:left="940" w:hanging="855"/>
        <w:spacing w:after="0" w:line="261" w:lineRule="auto"/>
        <w:tabs>
          <w:tab w:leader="none" w:pos="9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any other action or inaction that constitutes a material breach by the Company of any agreement pursuant to which you provide services to the Company;</w:t>
      </w:r>
    </w:p>
    <w:p>
      <w:pPr>
        <w:sectPr>
          <w:pgSz w:w="11900" w:h="16838" w:orient="portrait"/>
          <w:cols w:equalWidth="0" w:num="1">
            <w:col w:w="11240"/>
          </w:cols>
          <w:pgMar w:left="320" w:top="995" w:right="339" w:bottom="1440" w:gutter="0" w:footer="0" w:header="0"/>
          <w:type w:val="continuous"/>
        </w:sectPr>
      </w:pPr>
    </w:p>
    <w:p>
      <w:pPr>
        <w:spacing w:after="0" w:line="181" w:lineRule="exact"/>
        <w:rPr>
          <w:sz w:val="20"/>
          <w:szCs w:val="20"/>
          <w:color w:val="auto"/>
        </w:rPr>
      </w:pPr>
    </w:p>
    <w:p>
      <w:pPr>
        <w:jc w:val="both"/>
        <w:ind w:firstLine="936"/>
        <w:spacing w:after="0" w:line="24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Good Reason shall not be deemed to exist unless (x) you provide the Company with written notice of your intent to terminate your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Good Reason within 90 days of your becoming 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 days following receipt of such notice and (z) you actually resign from employment with the Company within 60 days after the expiration of the cure period descried in clause (y).</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Retirement Eligibility</w:t>
      </w:r>
      <w:r>
        <w:rPr>
          <w:rFonts w:ascii="Arial" w:cs="Arial" w:eastAsia="Arial" w:hAnsi="Arial"/>
          <w:sz w:val="18"/>
          <w:szCs w:val="18"/>
          <w:color w:val="auto"/>
        </w:rPr>
        <w:t>” means your attainment, at any time on or prior to December 31, 2014, of any of the following criteria: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9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64" w:name="page165"/>
    <w:bookmarkEnd w:id="164"/>
    <w:p>
      <w:pPr>
        <w:ind w:left="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age 55 and 12 years of service with the Company as a Managing Director or comparable officer; or</w:t>
      </w:r>
    </w:p>
    <w:p>
      <w:pPr>
        <w:spacing w:after="0" w:line="211" w:lineRule="exact"/>
        <w:rPr>
          <w:sz w:val="20"/>
          <w:szCs w:val="20"/>
          <w:color w:val="auto"/>
        </w:rPr>
      </w:pPr>
    </w:p>
    <w:p>
      <w:pPr>
        <w:sectPr>
          <w:pgSz w:w="11900" w:h="16838" w:orient="portrait"/>
          <w:cols w:equalWidth="0" w:num="2">
            <w:col w:w="1080" w:space="720"/>
            <w:col w:w="9440"/>
          </w:cols>
          <w:pgMar w:left="320" w:top="995" w:right="339" w:bottom="1440" w:gutter="0" w:footer="0" w:header="0"/>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age 50 and 15 years as an officer of the Company; or</w:t>
      </w:r>
    </w:p>
    <w:p>
      <w:pPr>
        <w:spacing w:after="0" w:line="211"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age 55 with five years of service with the Company and age plus years of service equals or exceeds 65; or</w:t>
      </w:r>
    </w:p>
    <w:p>
      <w:pPr>
        <w:spacing w:after="0" w:line="211"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 years of service with the Company;</w:t>
      </w:r>
    </w:p>
    <w:p>
      <w:pPr>
        <w:spacing w:after="0" w:line="211"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37"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this definition, service with the Company will include any period of service with the following entities and any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predecessors:</w:t>
      </w:r>
    </w:p>
    <w:p>
      <w:pPr>
        <w:sectPr>
          <w:pgSz w:w="11900" w:h="16838" w:orient="portrait"/>
          <w:cols w:equalWidth="0" w:num="1">
            <w:col w:w="11240"/>
          </w:cols>
          <w:pgMar w:left="320" w:top="995" w:right="339" w:bottom="1440" w:gutter="0" w:footer="0" w:header="0"/>
          <w:type w:val="continuous"/>
        </w:sectPr>
      </w:pP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Barra Inc. and its subsidiaries, prior to the acquisition by the Company;</w:t>
      </w:r>
    </w:p>
    <w:p>
      <w:pPr>
        <w:spacing w:after="0" w:line="234"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Capital International Perspectives S.A., prior to the acquisition by the Company;</w:t>
      </w:r>
    </w:p>
    <w:p>
      <w:pPr>
        <w:spacing w:after="0" w:line="222"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Morgan Stanley;</w:t>
      </w:r>
    </w:p>
    <w:p>
      <w:pPr>
        <w:spacing w:after="0" w:line="234"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Morgan Stanley Group Inc. and its subsidiaries (“</w:t>
      </w:r>
      <w:r>
        <w:rPr>
          <w:rFonts w:ascii="Arial" w:cs="Arial" w:eastAsia="Arial" w:hAnsi="Arial"/>
          <w:sz w:val="16"/>
          <w:szCs w:val="16"/>
          <w:b w:val="1"/>
          <w:bCs w:val="1"/>
          <w:color w:val="auto"/>
        </w:rPr>
        <w:t>MS Group</w:t>
      </w:r>
      <w:r>
        <w:rPr>
          <w:rFonts w:ascii="Arial" w:cs="Arial" w:eastAsia="Arial" w:hAnsi="Arial"/>
          <w:sz w:val="16"/>
          <w:szCs w:val="16"/>
          <w:color w:val="auto"/>
        </w:rPr>
        <w:t>”) prior to the merger with and into Dean Witter, Discover &amp; Co.; and</w:t>
      </w:r>
    </w:p>
    <w:p>
      <w:pPr>
        <w:spacing w:after="0" w:line="228"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8" w:lineRule="exact"/>
        <w:rPr>
          <w:sz w:val="20"/>
          <w:szCs w:val="20"/>
          <w:color w:val="auto"/>
        </w:rPr>
      </w:pPr>
    </w:p>
    <w:p>
      <w:pPr>
        <w:jc w:val="both"/>
        <w:ind w:left="940" w:hanging="855"/>
        <w:spacing w:after="0" w:line="288" w:lineRule="auto"/>
        <w:tabs>
          <w:tab w:leader="none" w:pos="9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Dean Witter, Discover &amp; Co. and its subsidiaries (“</w:t>
      </w:r>
      <w:r>
        <w:rPr>
          <w:rFonts w:ascii="Arial" w:cs="Arial" w:eastAsia="Arial" w:hAnsi="Arial"/>
          <w:sz w:val="16"/>
          <w:szCs w:val="16"/>
          <w:b w:val="1"/>
          <w:bCs w:val="1"/>
          <w:color w:val="auto"/>
        </w:rPr>
        <w:t>DWD</w:t>
      </w:r>
      <w:r>
        <w:rPr>
          <w:rFonts w:ascii="Arial" w:cs="Arial" w:eastAsia="Arial" w:hAnsi="Arial"/>
          <w:sz w:val="16"/>
          <w:szCs w:val="16"/>
          <w:color w:val="auto"/>
        </w:rPr>
        <w:t xml:space="preserve">”) prior to the merger of Morgan Stanley Group Inc. with and into Dean Witter, Discover &amp; Co.;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ectPr>
          <w:pgSz w:w="11900" w:h="16838" w:orient="portrait"/>
          <w:cols w:equalWidth="0" w:num="1">
            <w:col w:w="11240"/>
          </w:cols>
          <w:pgMar w:left="320" w:top="995" w:right="339" w:bottom="1440" w:gutter="0" w:footer="0" w:header="0"/>
          <w:type w:val="continuous"/>
        </w:sectPr>
      </w:pPr>
    </w:p>
    <w:p>
      <w:pPr>
        <w:spacing w:after="0" w:line="164"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86"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Legacy Retirement Eligibility.</w:t>
      </w:r>
    </w:p>
    <w:p>
      <w:pPr>
        <w:spacing w:after="0" w:line="1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Requirements</w:t>
      </w:r>
      <w:r>
        <w:rPr>
          <w:rFonts w:ascii="Arial" w:cs="Arial" w:eastAsia="Arial" w:hAnsi="Arial"/>
          <w:sz w:val="18"/>
          <w:szCs w:val="18"/>
          <w:color w:val="auto"/>
        </w:rPr>
        <w:t>” means prior written notice to MSCI of at least:</w:t>
      </w:r>
    </w:p>
    <w:p>
      <w:pPr>
        <w:spacing w:after="0" w:line="220" w:lineRule="exact"/>
        <w:rPr>
          <w:sz w:val="20"/>
          <w:szCs w:val="20"/>
          <w:color w:val="auto"/>
        </w:rPr>
      </w:pPr>
    </w:p>
    <w:p>
      <w:pPr>
        <w:ind w:left="940" w:hanging="855"/>
        <w:spacing w:after="0" w:line="261" w:lineRule="auto"/>
        <w:tabs>
          <w:tab w:leader="none" w:pos="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180 days if you are a member of the MSCI Executive Committee (or a successor or equivalent committee) at the time of notice of resignation; or</w:t>
      </w:r>
    </w:p>
    <w:p>
      <w:pPr>
        <w:sectPr>
          <w:pgSz w:w="11900" w:h="16838" w:orient="portrait"/>
          <w:cols w:equalWidth="0" w:num="1">
            <w:col w:w="11240"/>
          </w:cols>
          <w:pgMar w:left="320" w:top="995" w:right="339" w:bottom="1440" w:gutter="0" w:footer="0" w:header="0"/>
          <w:type w:val="continuous"/>
        </w:sectPr>
      </w:pP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620"/>
        <w:spacing w:after="0"/>
        <w:rPr>
          <w:sz w:val="20"/>
          <w:szCs w:val="20"/>
          <w:color w:val="auto"/>
        </w:rPr>
      </w:pPr>
      <w:r>
        <w:rPr>
          <w:rFonts w:ascii="Arial" w:cs="Arial" w:eastAsia="Arial" w:hAnsi="Arial"/>
          <w:sz w:val="16"/>
          <w:szCs w:val="16"/>
          <w:color w:val="auto"/>
        </w:rPr>
        <w:t>90 days if you are a Managing Director of the Company (or equivalent title) at the time of notice of resignation.</w:t>
      </w:r>
    </w:p>
    <w:p>
      <w:pPr>
        <w:spacing w:after="0" w:line="200" w:lineRule="exact"/>
        <w:rPr>
          <w:sz w:val="20"/>
          <w:szCs w:val="20"/>
          <w:color w:val="auto"/>
        </w:rPr>
      </w:pPr>
    </w:p>
    <w:p>
      <w:pPr>
        <w:sectPr>
          <w:pgSz w:w="11900" w:h="16838" w:orient="portrait"/>
          <w:cols w:equalWidth="0" w:num="2">
            <w:col w:w="1080" w:space="720"/>
            <w:col w:w="9440"/>
          </w:cols>
          <w:pgMar w:left="320" w:top="995" w:right="339" w:bottom="1440" w:gutter="0" w:footer="0" w:header="0"/>
          <w:type w:val="continuous"/>
        </w:sectPr>
      </w:pPr>
    </w:p>
    <w:p>
      <w:pPr>
        <w:spacing w:after="0" w:line="3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9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65" w:name="page166"/>
    <w:bookmarkEnd w:id="165"/>
    <w:p>
      <w:pPr>
        <w:ind w:firstLine="93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 Eligible Participant</w:t>
      </w:r>
      <w:r>
        <w:rPr>
          <w:rFonts w:ascii="Arial" w:cs="Arial" w:eastAsia="Arial" w:hAnsi="Arial"/>
          <w:sz w:val="18"/>
          <w:szCs w:val="18"/>
          <w:color w:val="auto"/>
        </w:rPr>
        <w:t>” means any Participant who, as of the applicable date of determination, satisfies the requirements for Legacy Retirement Eligibility, 55/10 Retirement Eligibility or 62/10 Retirement Eligibility, as the case may be.</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 Termination</w:t>
      </w:r>
      <w:r>
        <w:rPr>
          <w:rFonts w:ascii="Arial" w:cs="Arial" w:eastAsia="Arial" w:hAnsi="Arial"/>
          <w:sz w:val="16"/>
          <w:szCs w:val="16"/>
          <w:color w:val="auto"/>
        </w:rPr>
        <w:t>” means a Legacy Retirement Termination, a 55/10 Retirement Termination or a 62/10 Retirement Termination,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Section 409A of the Code.</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9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APPENDIX 1</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PERFORMANCE METRICS</w:t>
      </w: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APPENDIX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64135</wp:posOffset>
            </wp:positionV>
            <wp:extent cx="717804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9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120"/>
          </w:cols>
          <w:pgMar w:left="1440" w:top="542"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200" w:lineRule="exact"/>
        <w:rPr>
          <w:sz w:val="20"/>
          <w:szCs w:val="20"/>
          <w:color w:val="auto"/>
        </w:rPr>
      </w:pPr>
    </w:p>
    <w:p>
      <w:pPr>
        <w:spacing w:after="0" w:line="230" w:lineRule="exact"/>
        <w:rPr>
          <w:sz w:val="20"/>
          <w:szCs w:val="20"/>
          <w:color w:val="auto"/>
        </w:rPr>
      </w:pPr>
    </w:p>
    <w:p>
      <w:pPr>
        <w:ind w:firstLine="936"/>
        <w:spacing w:after="0" w:line="261" w:lineRule="auto"/>
        <w:rPr>
          <w:sz w:val="20"/>
          <w:szCs w:val="20"/>
          <w:color w:val="auto"/>
        </w:rPr>
      </w:pPr>
      <w:r>
        <w:rPr>
          <w:rFonts w:ascii="Arial" w:cs="Arial" w:eastAsia="Arial" w:hAnsi="Arial"/>
          <w:sz w:val="18"/>
          <w:szCs w:val="18"/>
          <w:color w:val="auto"/>
        </w:rPr>
        <w:t xml:space="preserve">All Participants are subject to the provisions of this </w:t>
      </w:r>
      <w:r>
        <w:rPr>
          <w:rFonts w:ascii="Arial" w:cs="Arial" w:eastAsia="Arial" w:hAnsi="Arial"/>
          <w:sz w:val="18"/>
          <w:szCs w:val="18"/>
          <w:u w:val="single" w:color="auto"/>
          <w:color w:val="auto"/>
        </w:rPr>
        <w:t>Exhibit B</w:t>
      </w:r>
      <w:r>
        <w:rPr>
          <w:rFonts w:ascii="Arial" w:cs="Arial" w:eastAsia="Arial" w:hAnsi="Arial"/>
          <w:sz w:val="18"/>
          <w:szCs w:val="18"/>
          <w:color w:val="auto"/>
        </w:rPr>
        <w:t>. Capitalized terms used and not otherwise defined herein shall have the meanings ascribed to them in the Award Agreement.</w:t>
      </w:r>
    </w:p>
    <w:p>
      <w:pPr>
        <w:spacing w:after="0" w:line="181" w:lineRule="exact"/>
        <w:rPr>
          <w:sz w:val="20"/>
          <w:szCs w:val="20"/>
          <w:color w:val="auto"/>
        </w:rPr>
      </w:pPr>
    </w:p>
    <w:p>
      <w:pPr>
        <w:ind w:left="1880"/>
        <w:spacing w:after="0"/>
        <w:tabs>
          <w:tab w:leader="none" w:pos="44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Confidential Information; Assignment of Inventions</w:t>
      </w:r>
      <w:r>
        <w:rPr>
          <w:rFonts w:ascii="Arial" w:cs="Arial" w:eastAsia="Arial" w:hAnsi="Arial"/>
          <w:sz w:val="16"/>
          <w:szCs w:val="16"/>
          <w:color w:val="auto"/>
        </w:rPr>
        <w:t>.</w:t>
      </w:r>
    </w:p>
    <w:p>
      <w:pPr>
        <w:spacing w:after="0" w:line="214" w:lineRule="exact"/>
        <w:rPr>
          <w:sz w:val="20"/>
          <w:szCs w:val="20"/>
          <w:color w:val="auto"/>
        </w:rPr>
      </w:pPr>
    </w:p>
    <w:p>
      <w:pPr>
        <w:jc w:val="both"/>
        <w:ind w:firstLine="1878"/>
        <w:spacing w:after="0" w:line="252" w:lineRule="auto"/>
        <w:tabs>
          <w:tab w:leader="none" w:pos="269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89" w:lineRule="exact"/>
        <w:rPr>
          <w:sz w:val="20"/>
          <w:szCs w:val="20"/>
          <w:color w:val="auto"/>
        </w:rPr>
      </w:pPr>
    </w:p>
    <w:p>
      <w:pPr>
        <w:jc w:val="both"/>
        <w:ind w:firstLine="1873"/>
        <w:spacing w:after="0" w:line="248" w:lineRule="auto"/>
        <w:rPr>
          <w:sz w:val="20"/>
          <w:szCs w:val="20"/>
          <w:color w:val="auto"/>
        </w:rPr>
      </w:pPr>
      <w:r>
        <w:rPr>
          <w:rFonts w:ascii="Arial" w:cs="Arial" w:eastAsia="Arial" w:hAnsi="Arial"/>
          <w:sz w:val="18"/>
          <w:szCs w:val="18"/>
          <w:color w:val="auto"/>
        </w:rPr>
        <w:t xml:space="preserve">(b) 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prohibit you from disclosing Confidential Information if such disclosure is required by law, governmental process or valid legal process.</w:t>
      </w:r>
    </w:p>
    <w:p>
      <w:pPr>
        <w:spacing w:after="0" w:line="192" w:lineRule="exact"/>
        <w:rPr>
          <w:sz w:val="20"/>
          <w:szCs w:val="20"/>
          <w:color w:val="auto"/>
        </w:rPr>
      </w:pPr>
    </w:p>
    <w:p>
      <w:pPr>
        <w:jc w:val="both"/>
        <w:ind w:firstLine="1873"/>
        <w:spacing w:after="0" w:line="281" w:lineRule="auto"/>
        <w:rPr>
          <w:sz w:val="20"/>
          <w:szCs w:val="20"/>
          <w:color w:val="auto"/>
        </w:rPr>
      </w:pPr>
      <w:r>
        <w:rPr>
          <w:rFonts w:ascii="Arial" w:cs="Arial" w:eastAsia="Arial" w:hAnsi="Arial"/>
          <w:sz w:val="16"/>
          <w:szCs w:val="16"/>
          <w:color w:val="auto"/>
        </w:rPr>
        <w:t xml:space="preserve">(c) 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Arial" w:cs="Arial" w:eastAsia="Arial" w:hAnsi="Arial"/>
          <w:sz w:val="16"/>
          <w:szCs w:val="16"/>
          <w:u w:val="single" w:color="auto"/>
          <w:color w:val="auto"/>
        </w:rPr>
        <w:t>Exhibit B</w:t>
      </w:r>
      <w:r>
        <w:rPr>
          <w:rFonts w:ascii="Arial" w:cs="Arial" w:eastAsia="Arial" w:hAnsi="Arial"/>
          <w:sz w:val="16"/>
          <w:szCs w:val="16"/>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69" w:lineRule="exact"/>
        <w:rPr>
          <w:sz w:val="20"/>
          <w:szCs w:val="20"/>
          <w:color w:val="auto"/>
        </w:rPr>
      </w:pPr>
    </w:p>
    <w:p>
      <w:pPr>
        <w:jc w:val="both"/>
        <w:ind w:firstLine="1878"/>
        <w:spacing w:after="0" w:line="286" w:lineRule="auto"/>
        <w:tabs>
          <w:tab w:leader="none" w:pos="333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66" w:lineRule="exact"/>
        <w:rPr>
          <w:sz w:val="20"/>
          <w:szCs w:val="20"/>
          <w:color w:val="auto"/>
        </w:rPr>
      </w:pPr>
    </w:p>
    <w:p>
      <w:pPr>
        <w:jc w:val="both"/>
        <w:ind w:firstLine="1873"/>
        <w:spacing w:after="0" w:line="282" w:lineRule="auto"/>
        <w:rPr>
          <w:sz w:val="20"/>
          <w:szCs w:val="20"/>
          <w:color w:val="auto"/>
        </w:rPr>
      </w:pPr>
      <w:r>
        <w:rPr>
          <w:rFonts w:ascii="Arial" w:cs="Arial" w:eastAsia="Arial" w:hAnsi="Arial"/>
          <w:sz w:val="16"/>
          <w:szCs w:val="16"/>
          <w:color w:val="auto"/>
        </w:rPr>
        <w:t>(d) Without limiting the generality of the foregoing, nothing in this Award Agreement precludes or otherwise limits your ability to (i) communicate directly with and provide information, including documents, not otherwise protected from disclosure by any applicable law or privilege to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or any other federal, state or local governmental agency or commission (“</w:t>
      </w:r>
      <w:r>
        <w:rPr>
          <w:rFonts w:ascii="Arial" w:cs="Arial" w:eastAsia="Arial" w:hAnsi="Arial"/>
          <w:sz w:val="16"/>
          <w:szCs w:val="16"/>
          <w:b w:val="1"/>
          <w:bCs w:val="1"/>
          <w:color w:val="auto"/>
        </w:rPr>
        <w:t>Government Agency</w:t>
      </w:r>
      <w:r>
        <w:rPr>
          <w:rFonts w:ascii="Arial" w:cs="Arial" w:eastAsia="Arial" w:hAnsi="Arial"/>
          <w:sz w:val="16"/>
          <w:szCs w:val="16"/>
          <w:color w:val="auto"/>
        </w:rPr>
        <w:t>”) or self-regulatory organization regarding possible legal violations, without disclosure to the Company, or (i)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9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68" w:name="page169"/>
    <w:bookmarkEnd w:id="168"/>
    <w:p>
      <w:pPr>
        <w:spacing w:after="0" w:line="261" w:lineRule="auto"/>
        <w:rPr>
          <w:sz w:val="20"/>
          <w:szCs w:val="20"/>
          <w:color w:val="auto"/>
        </w:rPr>
      </w:pPr>
      <w:r>
        <w:rPr>
          <w:rFonts w:ascii="Arial" w:cs="Arial" w:eastAsia="Arial" w:hAnsi="Arial"/>
          <w:sz w:val="18"/>
          <w:szCs w:val="18"/>
          <w:color w:val="auto"/>
        </w:rPr>
        <w:t>Company in seeking a protective order or other appropriate protection of such information. The Company may not retaliate against you for any of these activities.</w:t>
      </w:r>
    </w:p>
    <w:p>
      <w:pPr>
        <w:spacing w:after="0" w:line="181" w:lineRule="exact"/>
        <w:rPr>
          <w:sz w:val="20"/>
          <w:szCs w:val="20"/>
          <w:color w:val="auto"/>
        </w:rPr>
      </w:pPr>
    </w:p>
    <w:p>
      <w:pPr>
        <w:jc w:val="both"/>
        <w:ind w:firstLine="1878"/>
        <w:spacing w:after="0" w:line="281" w:lineRule="auto"/>
        <w:tabs>
          <w:tab w:leader="none" w:pos="332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Pursuant to Section 7 of the Defend Trade Secrets Act of 2016 (which added 18 U.S.C. § 1833(b)), you and the Company acknowledge and agree that you shall not have criminal or civil liability under any federal or state trade secret law for the disclosure of a trade secret that (i) is made (A) in confidence to a federal, State, or local government official, either directly or indirectly, or to an attorney and (A) solely for the purpose of reporting or investigating a suspected violation of law; or (i)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Award Agreement is intended to conflict with 18 U.S.C. §1833(b) or create liability for disclosures of trade secrets that are expressly allowed by such Section.</w:t>
      </w:r>
    </w:p>
    <w:p>
      <w:pPr>
        <w:spacing w:after="0" w:line="169" w:lineRule="exact"/>
        <w:rPr>
          <w:sz w:val="20"/>
          <w:szCs w:val="20"/>
          <w:color w:val="auto"/>
        </w:rPr>
      </w:pPr>
    </w:p>
    <w:p>
      <w:pPr>
        <w:jc w:val="both"/>
        <w:ind w:firstLine="936"/>
        <w:spacing w:after="0" w:line="24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Non-Compete</w:t>
      </w:r>
      <w:r>
        <w:rPr>
          <w:rFonts w:ascii="Arial" w:cs="Arial" w:eastAsia="Arial" w:hAnsi="Arial"/>
          <w:sz w:val="18"/>
          <w:szCs w:val="18"/>
          <w:color w:val="auto"/>
        </w:rPr>
        <w:t>. During your employment or service with the Company and for a period of one year following the termination of your employment or service with the Company for any reason (the “</w:t>
      </w:r>
      <w:r>
        <w:rPr>
          <w:rFonts w:ascii="Arial" w:cs="Arial" w:eastAsia="Arial" w:hAnsi="Arial"/>
          <w:sz w:val="18"/>
          <w:szCs w:val="18"/>
          <w:b w:val="1"/>
          <w:bCs w:val="1"/>
          <w:color w:val="auto"/>
        </w:rPr>
        <w:t>Non-Compete Restricted Period</w:t>
      </w:r>
      <w:r>
        <w:rPr>
          <w:rFonts w:ascii="Arial" w:cs="Arial" w:eastAsia="Arial" w:hAnsi="Arial"/>
          <w:sz w:val="18"/>
          <w:szCs w:val="18"/>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97" w:lineRule="exact"/>
        <w:rPr>
          <w:sz w:val="20"/>
          <w:szCs w:val="20"/>
          <w:color w:val="auto"/>
        </w:rPr>
      </w:pPr>
    </w:p>
    <w:p>
      <w:pPr>
        <w:jc w:val="both"/>
        <w:ind w:firstLine="936"/>
        <w:spacing w:after="0" w:line="28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Non-Solicit and No-Hire</w:t>
      </w:r>
      <w:r>
        <w:rPr>
          <w:rFonts w:ascii="Arial" w:cs="Arial" w:eastAsia="Arial" w:hAnsi="Arial"/>
          <w:sz w:val="16"/>
          <w:szCs w:val="16"/>
          <w:color w:val="auto"/>
        </w:rPr>
        <w:t>. During your employment or service with the Company and for a period of two years following the termination of your employment or service with the Company for any reason (the “</w:t>
      </w:r>
      <w:r>
        <w:rPr>
          <w:rFonts w:ascii="Arial" w:cs="Arial" w:eastAsia="Arial" w:hAnsi="Arial"/>
          <w:sz w:val="16"/>
          <w:szCs w:val="16"/>
          <w:b w:val="1"/>
          <w:bCs w:val="1"/>
          <w:color w:val="auto"/>
        </w:rPr>
        <w:t>Non-Solicit Restricted Period</w:t>
      </w:r>
      <w:r>
        <w:rPr>
          <w:rFonts w:ascii="Arial" w:cs="Arial" w:eastAsia="Arial" w:hAnsi="Arial"/>
          <w:sz w:val="16"/>
          <w:szCs w:val="16"/>
          <w:color w:val="auto"/>
        </w:rPr>
        <w:t>”), you shall not, directly or indirectly,</w:t>
      </w:r>
    </w:p>
    <w:p>
      <w:pPr>
        <w:jc w:val="both"/>
        <w:ind w:firstLine="5"/>
        <w:spacing w:after="0" w:line="310" w:lineRule="auto"/>
        <w:tabs>
          <w:tab w:leader="none" w:pos="24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solicit or encourage any employee of the Company to terminate his or her employment with the Company, (b) hire any employee of the Company prior to the date on which such person has not been employed by the Company or any of its Subsidiaries for a period of at least one year or (c)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49" w:lineRule="exact"/>
        <w:rPr>
          <w:sz w:val="20"/>
          <w:szCs w:val="20"/>
          <w:color w:val="auto"/>
        </w:rPr>
      </w:pPr>
    </w:p>
    <w:p>
      <w:pPr>
        <w:jc w:val="both"/>
        <w:ind w:firstLine="936"/>
        <w:spacing w:after="0" w:line="29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Non-Disparagement</w:t>
      </w:r>
      <w:r>
        <w:rPr>
          <w:rFonts w:ascii="Arial" w:cs="Arial" w:eastAsia="Arial" w:hAnsi="Arial"/>
          <w:sz w:val="16"/>
          <w:szCs w:val="16"/>
          <w:color w:val="auto"/>
        </w:rPr>
        <w:t>.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162" w:lineRule="exact"/>
        <w:rPr>
          <w:sz w:val="20"/>
          <w:szCs w:val="20"/>
          <w:color w:val="auto"/>
        </w:rPr>
      </w:pPr>
    </w:p>
    <w:p>
      <w:pPr>
        <w:jc w:val="both"/>
        <w:ind w:firstLine="936"/>
        <w:spacing w:after="0" w:line="28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Certain Remedies</w:t>
      </w:r>
      <w:r>
        <w:rPr>
          <w:rFonts w:ascii="Arial" w:cs="Arial" w:eastAsia="Arial" w:hAnsi="Arial"/>
          <w:sz w:val="16"/>
          <w:szCs w:val="16"/>
          <w:color w:val="auto"/>
        </w:rPr>
        <w:t xml:space="preserve">. You acknowledge that the terms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Award Agreement shall be enforceable as so modified after the expiration of the time within which the judgment or decision may be appealed. You acknowledge that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9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9" w:name="page170"/>
    <w:bookmarkEnd w:id="169"/>
    <w:p>
      <w:pPr>
        <w:jc w:val="both"/>
        <w:spacing w:after="0" w:line="286" w:lineRule="auto"/>
        <w:rPr>
          <w:sz w:val="20"/>
          <w:szCs w:val="20"/>
          <w:color w:val="auto"/>
        </w:rPr>
      </w:pPr>
      <w:r>
        <w:rPr>
          <w:rFonts w:ascii="Arial" w:cs="Arial" w:eastAsia="Arial" w:hAnsi="Arial"/>
          <w:sz w:val="16"/>
          <w:szCs w:val="16"/>
          <w:color w:val="auto"/>
        </w:rPr>
        <w:t xml:space="preserve">Company and its shareholders would be irreparably harmed by any breach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ind w:left="940"/>
              <w:spacing w:after="0"/>
              <w:rPr>
                <w:sz w:val="20"/>
                <w:szCs w:val="20"/>
                <w:color w:val="auto"/>
              </w:rPr>
            </w:pPr>
            <w:r>
              <w:rPr>
                <w:rFonts w:ascii="Arial" w:cs="Arial" w:eastAsia="Arial" w:hAnsi="Arial"/>
                <w:sz w:val="18"/>
                <w:szCs w:val="18"/>
                <w:color w:val="auto"/>
              </w:rPr>
              <w:t>Section 6.</w:t>
            </w:r>
          </w:p>
        </w:tc>
        <w:tc>
          <w:tcPr>
            <w:tcW w:w="8220" w:type="dxa"/>
            <w:vAlign w:val="bottom"/>
            <w:gridSpan w:val="5"/>
          </w:tcPr>
          <w:p>
            <w:pPr>
              <w:ind w:left="880"/>
              <w:spacing w:after="0"/>
              <w:rPr>
                <w:sz w:val="20"/>
                <w:szCs w:val="20"/>
                <w:color w:val="auto"/>
              </w:rPr>
            </w:pPr>
            <w:r>
              <w:rPr>
                <w:rFonts w:ascii="Arial" w:cs="Arial" w:eastAsia="Arial" w:hAnsi="Arial"/>
                <w:sz w:val="18"/>
                <w:szCs w:val="18"/>
                <w:color w:val="auto"/>
                <w:w w:val="89"/>
              </w:rPr>
              <w:t>Definitions. For purposes of this Exhibit B and the Award Agreement, the following terms shall have the</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following meanings:</w:t>
            </w:r>
          </w:p>
        </w:tc>
        <w:tc>
          <w:tcPr>
            <w:tcW w:w="8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360" w:type="dxa"/>
            <w:vAlign w:val="bottom"/>
          </w:tcPr>
          <w:p>
            <w:pPr>
              <w:spacing w:after="0"/>
              <w:rPr>
                <w:sz w:val="19"/>
                <w:szCs w:val="19"/>
                <w:color w:val="auto"/>
              </w:rPr>
            </w:pPr>
          </w:p>
        </w:tc>
      </w:tr>
    </w:tbl>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any person, entity or business that is engaged in, or that owns a significant equity, voting, financial or other interest in an entity that is engaged in, one or more Competing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Competing Business</w:t>
      </w:r>
      <w:r>
        <w:rPr>
          <w:rFonts w:ascii="Arial" w:cs="Arial" w:eastAsia="Arial" w:hAnsi="Arial"/>
          <w:sz w:val="15"/>
          <w:szCs w:val="15"/>
          <w:color w:val="auto"/>
        </w:rPr>
        <w:t>” means any business or activity that competes with the MSCI Business or is reasonably anticipated to compete with the MSCI Business.</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Confidential Information shall in no event include (x) any Confidential Information which was generally available to the public at the 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Inventions</w:t>
      </w:r>
      <w:r>
        <w:rPr>
          <w:rFonts w:ascii="Arial" w:cs="Arial" w:eastAsia="Arial" w:hAnsi="Arial"/>
          <w:sz w:val="16"/>
          <w:szCs w:val="16"/>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53"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MSCI Business</w:t>
      </w:r>
      <w:r>
        <w:rPr>
          <w:rFonts w:ascii="Arial" w:cs="Arial" w:eastAsia="Arial" w:hAnsi="Arial"/>
          <w:sz w:val="16"/>
          <w:szCs w:val="16"/>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2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w:t>
      </w:r>
      <w:r>
        <w:rPr>
          <w:rFonts w:ascii="Arial" w:cs="Arial" w:eastAsia="Arial" w:hAnsi="Arial"/>
          <w:sz w:val="16"/>
          <w:szCs w:val="16"/>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Services</w:t>
      </w:r>
      <w:r>
        <w:rPr>
          <w:rFonts w:ascii="Arial" w:cs="Arial" w:eastAsia="Arial" w:hAnsi="Arial"/>
          <w:sz w:val="18"/>
          <w:szCs w:val="18"/>
          <w:color w:val="auto"/>
        </w:rPr>
        <w:t>” means employment, engagement or the provision of assistance or services that (i) are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9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0" w:name="page171"/>
    <w:bookmarkEnd w:id="170"/>
    <w:p>
      <w:pPr>
        <w:spacing w:after="0" w:line="290" w:lineRule="auto"/>
        <w:rPr>
          <w:sz w:val="20"/>
          <w:szCs w:val="20"/>
          <w:color w:val="auto"/>
        </w:rPr>
      </w:pPr>
      <w:r>
        <w:rPr>
          <w:rFonts w:ascii="Arial" w:cs="Arial" w:eastAsia="Arial" w:hAnsi="Arial"/>
          <w:sz w:val="16"/>
          <w:szCs w:val="16"/>
          <w:color w:val="auto"/>
        </w:rPr>
        <w:t>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7804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40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980"/>
          </w:cols>
          <w:pgMar w:left="320" w:top="995" w:right="5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C</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COUNTRY-SPECIFIC TERMS AND CONDITIONS</w:t>
      </w: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120"/>
          </w:cols>
          <w:pgMar w:left="1440" w:top="542"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 2016 OMNIBUS INCENTIVE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NON-QUALIFIED PERFORMANCE STOCK OPTION AWARD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GRANT NOTICE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MSCI Inc. (“</w:t>
      </w:r>
      <w:r>
        <w:rPr>
          <w:rFonts w:ascii="Arial" w:cs="Arial" w:eastAsia="Arial" w:hAnsi="Arial"/>
          <w:sz w:val="16"/>
          <w:szCs w:val="16"/>
          <w:b w:val="1"/>
          <w:bCs w:val="1"/>
          <w:color w:val="auto"/>
        </w:rPr>
        <w:t>MSCI</w:t>
      </w:r>
      <w:r>
        <w:rPr>
          <w:rFonts w:ascii="Arial" w:cs="Arial" w:eastAsia="Arial" w:hAnsi="Arial"/>
          <w:sz w:val="16"/>
          <w:szCs w:val="16"/>
          <w:color w:val="auto"/>
        </w:rPr>
        <w:t>,” and together with its Subsidiaries, the “</w:t>
      </w:r>
      <w:r>
        <w:rPr>
          <w:rFonts w:ascii="Arial" w:cs="Arial" w:eastAsia="Arial" w:hAnsi="Arial"/>
          <w:sz w:val="16"/>
          <w:szCs w:val="16"/>
          <w:b w:val="1"/>
          <w:bCs w:val="1"/>
          <w:color w:val="auto"/>
        </w:rPr>
        <w:t>Company</w:t>
      </w:r>
      <w:r>
        <w:rPr>
          <w:rFonts w:ascii="Arial" w:cs="Arial" w:eastAsia="Arial" w:hAnsi="Arial"/>
          <w:sz w:val="16"/>
          <w:szCs w:val="16"/>
          <w:color w:val="auto"/>
        </w:rPr>
        <w:t>”) hereby grants to you Performance Stock Options (“</w:t>
      </w:r>
      <w:r>
        <w:rPr>
          <w:rFonts w:ascii="Arial" w:cs="Arial" w:eastAsia="Arial" w:hAnsi="Arial"/>
          <w:sz w:val="16"/>
          <w:szCs w:val="16"/>
          <w:b w:val="1"/>
          <w:bCs w:val="1"/>
          <w:color w:val="auto"/>
        </w:rPr>
        <w:t>Options</w:t>
      </w:r>
      <w:r>
        <w:rPr>
          <w:rFonts w:ascii="Arial" w:cs="Arial" w:eastAsia="Arial" w:hAnsi="Arial"/>
          <w:sz w:val="16"/>
          <w:szCs w:val="16"/>
          <w:color w:val="auto"/>
        </w:rPr>
        <w:t>”) under the MSCI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2016 Omnibus Incentive Plan (as may be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subject to the terms and conditions set forth in (i) this grant notice (this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 Notice</w:t>
      </w:r>
      <w:r>
        <w:rPr>
          <w:rFonts w:ascii="Arial" w:cs="Arial" w:eastAsia="Arial" w:hAnsi="Arial"/>
          <w:sz w:val="16"/>
          <w:szCs w:val="16"/>
          <w:color w:val="auto"/>
        </w:rPr>
        <w:t xml:space="preserve">”), (ii) each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(including all annexes thereto) attached to this Grant Notice (collectively, and together with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this Grant Notice, this “</w:t>
      </w:r>
      <w:r>
        <w:rPr>
          <w:rFonts w:ascii="Arial" w:cs="Arial" w:eastAsia="Arial" w:hAnsi="Arial"/>
          <w:sz w:val="16"/>
          <w:szCs w:val="16"/>
          <w:b w:val="1"/>
          <w:bCs w:val="1"/>
          <w:color w:val="auto"/>
        </w:rPr>
        <w:t>Award Agreement</w:t>
      </w:r>
      <w:r>
        <w:rPr>
          <w:rFonts w:ascii="Arial" w:cs="Arial" w:eastAsia="Arial" w:hAnsi="Arial"/>
          <w:sz w:val="16"/>
          <w:szCs w:val="16"/>
          <w:color w:val="auto"/>
        </w:rPr>
        <w:t>”) and (iii) the Plan. The Options are intended to be Non-Qualified Stock Options, and are not intended to be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Options. Unless defined in this Award Agreement, capitalized terms shall have the meanings ascribed to them in the Plan.</w:t>
      </w:r>
    </w:p>
    <w:p>
      <w:pPr>
        <w:sectPr>
          <w:pgSz w:w="11900" w:h="16838" w:orient="portrait"/>
          <w:cols w:equalWidth="0" w:num="1">
            <w:col w:w="11240"/>
          </w:cols>
          <w:pgMar w:left="320" w:top="332"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0" w:lineRule="exact"/>
        <w:rPr>
          <w:sz w:val="20"/>
          <w:szCs w:val="20"/>
          <w:color w:val="auto"/>
        </w:rPr>
      </w:pPr>
    </w:p>
    <w:p>
      <w:pPr>
        <w:sectPr>
          <w:pgSz w:w="11900" w:h="16838" w:orient="portrait"/>
          <w:cols w:equalWidth="0" w:num="2">
            <w:col w:w="4060" w:space="720"/>
            <w:col w:w="6460"/>
          </w:cols>
          <w:pgMar w:left="320" w:top="332"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Target Number of Options: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 Options (the “</w:t>
      </w:r>
      <w:r>
        <w:rPr>
          <w:rFonts w:ascii="Arial" w:cs="Arial" w:eastAsia="Arial" w:hAnsi="Arial"/>
          <w:sz w:val="16"/>
          <w:szCs w:val="16"/>
          <w:b w:val="1"/>
          <w:bCs w:val="1"/>
          <w:color w:val="auto"/>
        </w:rPr>
        <w:t>Target Options</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4060" w:space="720"/>
            <w:col w:w="6460"/>
          </w:cols>
          <w:pgMar w:left="320" w:top="332"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Date: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060" w:space="720"/>
            <w:col w:w="6460"/>
          </w:cols>
          <w:pgMar w:left="320" w:top="332"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060" w:space="720"/>
            <w:col w:w="6460"/>
          </w:cols>
          <w:pgMar w:left="320" w:top="332"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060" w:space="720"/>
            <w:col w:w="6460"/>
          </w:cols>
          <w:pgMar w:left="320" w:top="332"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060" w:space="720"/>
            <w:col w:w="6460"/>
          </w:cols>
          <w:pgMar w:left="320" w:top="332"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060" w:space="720"/>
            <w:col w:w="6460"/>
          </w:cols>
          <w:pgMar w:left="320" w:top="332"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Maximum 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060" w:space="720"/>
            <w:col w:w="6460"/>
          </w:cols>
          <w:pgMar w:left="320" w:top="332" w:right="339" w:bottom="1440" w:gutter="0" w:footer="0" w:header="0"/>
          <w:type w:val="continuous"/>
        </w:sectPr>
      </w:pPr>
    </w:p>
    <w:p>
      <w:pPr>
        <w:spacing w:after="0" w:line="1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Your Options may be subject to forfeiture or recoupment if you terminate employment with the Company, fail to affirmatively accept the terms of this Award Agreement by [•], or do not comply with the notice requirements, as set forth in the Plan and this Award Agreement.</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You agree that this Award of Options is granted under the Plan and governed by the terms and conditions of the Plan and this Award Agreement. You also agree that Options granted to you pursuant to this Award Agreement and any Shares issued upon exercise thereof are subject to the MSCI Inc. Clawback Policy and any stock ownership guidelines of MSCI (including applicable retention requirements thereunder), as may be in effect from time to time, if on or after the Grant Date you are or become covered by such policies, as determined in accordance with the terms of such policies.</w:t>
      </w:r>
    </w:p>
    <w:p>
      <w:pPr>
        <w:spacing w:after="0" w:line="16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You will be able to access a prospectus and tax supplement that contains important information about this Award via the MSCI website or your brokerage account.</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 WITNESS WHEREOF, MSCI has duly executed and delivered this Award Agreement as of the Grant Date.</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414655</wp:posOffset>
            </wp:positionV>
            <wp:extent cx="35636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401">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823595</wp:posOffset>
            </wp:positionV>
            <wp:extent cx="717804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40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73" w:name="page174"/>
    <w:bookmarkEnd w:id="173"/>
    <w:p>
      <w:pPr>
        <w:jc w:val="center"/>
        <w:ind w:right="-3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1505585</wp:posOffset>
            </wp:positionV>
            <wp:extent cx="717804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40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A</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TERMS AND CONDITIONS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21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2022 NON-QUALIFIED PERFORMANCE STOCK OPTION AWARD</w:t>
      </w:r>
    </w:p>
    <w:p>
      <w:pPr>
        <w:spacing w:after="0" w:line="220"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Grant of Options.</w:t>
      </w:r>
    </w:p>
    <w:p>
      <w:pPr>
        <w:spacing w:after="0" w:line="214" w:lineRule="exact"/>
        <w:rPr>
          <w:sz w:val="20"/>
          <w:szCs w:val="20"/>
          <w:color w:val="auto"/>
        </w:rPr>
      </w:pPr>
    </w:p>
    <w:p>
      <w:pPr>
        <w:ind w:left="940" w:right="340" w:firstLine="967"/>
        <w:spacing w:after="0" w:line="299" w:lineRule="auto"/>
        <w:tabs>
          <w:tab w:leader="none" w:pos="2731"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Each Option gives you the right to purchase one share of MSCI common stock, par value $0.01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(each, a “</w:t>
      </w:r>
      <w:r>
        <w:rPr>
          <w:rFonts w:ascii="Arial" w:cs="Arial" w:eastAsia="Arial" w:hAnsi="Arial"/>
          <w:sz w:val="16"/>
          <w:szCs w:val="16"/>
          <w:b w:val="1"/>
          <w:bCs w:val="1"/>
          <w:color w:val="auto"/>
        </w:rPr>
        <w:t>Share</w:t>
      </w:r>
      <w:r>
        <w:rPr>
          <w:rFonts w:ascii="Arial" w:cs="Arial" w:eastAsia="Arial" w:hAnsi="Arial"/>
          <w:sz w:val="16"/>
          <w:szCs w:val="16"/>
          <w:color w:val="auto"/>
        </w:rPr>
        <w:t>”) at the Exercise Price set forth in the Grant Notice, subject to the satisfaction of the vesting conditions set forth in this Award Agreement. The Options are intended to be Non-Qualified Stock Options, and are not intended to be Incentive Stock Options.</w:t>
      </w:r>
    </w:p>
    <w:p>
      <w:pPr>
        <w:spacing w:after="0" w:line="153" w:lineRule="exact"/>
        <w:rPr>
          <w:rFonts w:ascii="Arial" w:cs="Arial" w:eastAsia="Arial" w:hAnsi="Arial"/>
          <w:sz w:val="16"/>
          <w:szCs w:val="16"/>
          <w:color w:val="auto"/>
        </w:rPr>
      </w:pPr>
    </w:p>
    <w:p>
      <w:pPr>
        <w:ind w:left="940" w:right="260" w:firstLine="967"/>
        <w:spacing w:after="0" w:line="299" w:lineRule="auto"/>
        <w:tabs>
          <w:tab w:leader="none" w:pos="2741"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No Rights as a Stockholder. </w:t>
      </w:r>
      <w:r>
        <w:rPr>
          <w:rFonts w:ascii="Arial" w:cs="Arial" w:eastAsia="Arial" w:hAnsi="Arial"/>
          <w:sz w:val="16"/>
          <w:szCs w:val="16"/>
          <w:color w:val="auto"/>
        </w:rPr>
        <w:t>You will not be a stockholder with respect to the Shares underlying your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you will not have any voting rights, rights to dividends or any other rights as a stockholder with respect to such Shares) unless and until you exercise your Options as set forth herein and you become the record owner of such Shares.</w:t>
      </w:r>
    </w:p>
    <w:p>
      <w:pPr>
        <w:spacing w:after="0" w:line="153" w:lineRule="exact"/>
        <w:rPr>
          <w:rFonts w:ascii="Arial" w:cs="Arial" w:eastAsia="Arial" w:hAnsi="Arial"/>
          <w:sz w:val="16"/>
          <w:szCs w:val="16"/>
          <w:color w:val="auto"/>
        </w:rPr>
      </w:pPr>
    </w:p>
    <w:p>
      <w:pPr>
        <w:ind w:left="940" w:right="100" w:firstLine="967"/>
        <w:spacing w:after="0" w:line="299" w:lineRule="auto"/>
        <w:tabs>
          <w:tab w:leader="none" w:pos="2731"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Maximum Option Shares. </w:t>
      </w:r>
      <w:r>
        <w:rPr>
          <w:rFonts w:ascii="Arial" w:cs="Arial" w:eastAsia="Arial" w:hAnsi="Arial"/>
          <w:sz w:val="16"/>
          <w:szCs w:val="16"/>
          <w:color w:val="auto"/>
        </w:rPr>
        <w:t>Notwithstanding anything to the contrary herein, the maximum number of Shares that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under this Award of Options will in no event exceed the number of Maximum Option Shares set forth in the Grant Notice (which, for the avoidance of doubt, assumes achievement of the Performance Condition at the maximum performance level).</w:t>
      </w:r>
    </w:p>
    <w:p>
      <w:pPr>
        <w:spacing w:after="0" w:line="154"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u w:val="single" w:color="auto"/>
          <w:color w:val="auto"/>
        </w:rPr>
        <w:t>Vesting.</w:t>
      </w:r>
    </w:p>
    <w:p>
      <w:pPr>
        <w:spacing w:after="0" w:line="200" w:lineRule="exact"/>
        <w:rPr>
          <w:sz w:val="20"/>
          <w:szCs w:val="20"/>
          <w:color w:val="auto"/>
        </w:rPr>
      </w:pPr>
    </w:p>
    <w:p>
      <w:pPr>
        <w:ind w:left="2740" w:hanging="833"/>
        <w:spacing w:after="0"/>
        <w:tabs>
          <w:tab w:leader="none" w:pos="274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Options will vest and become exercisable upon (and to the extent of) the satisfaction of both</w:t>
      </w:r>
      <w:r>
        <w:rPr>
          <w:rFonts w:ascii="Arial" w:cs="Arial" w:eastAsia="Arial" w:hAnsi="Arial"/>
          <w:sz w:val="17"/>
          <w:szCs w:val="17"/>
          <w:i w:val="1"/>
          <w:iCs w:val="1"/>
          <w:color w:val="auto"/>
        </w:rPr>
        <w:t xml:space="preserve"> </w:t>
      </w:r>
      <w:r>
        <w:rPr>
          <w:rFonts w:ascii="Arial" w:cs="Arial" w:eastAsia="Arial" w:hAnsi="Arial"/>
          <w:sz w:val="21"/>
          <w:szCs w:val="21"/>
          <w:color w:val="auto"/>
        </w:rPr>
        <w:t>(i)</w:t>
      </w:r>
      <w:r>
        <w:rPr>
          <w:rFonts w:ascii="Arial" w:cs="Arial" w:eastAsia="Arial" w:hAnsi="Arial"/>
          <w:sz w:val="17"/>
          <w:szCs w:val="17"/>
          <w:i w:val="1"/>
          <w:iCs w:val="1"/>
          <w:color w:val="auto"/>
        </w:rPr>
        <w:t xml:space="preserve"> </w:t>
      </w:r>
      <w:r>
        <w:rPr>
          <w:rFonts w:ascii="Arial" w:cs="Arial" w:eastAsia="Arial" w:hAnsi="Arial"/>
          <w:sz w:val="17"/>
          <w:szCs w:val="17"/>
          <w:color w:val="auto"/>
        </w:rPr>
        <w:t>the</w:t>
      </w:r>
    </w:p>
    <w:p>
      <w:pPr>
        <w:spacing w:after="0" w:line="41" w:lineRule="exact"/>
        <w:rPr>
          <w:sz w:val="20"/>
          <w:szCs w:val="20"/>
          <w:color w:val="auto"/>
        </w:rPr>
      </w:pPr>
    </w:p>
    <w:p>
      <w:pPr>
        <w:ind w:left="940" w:right="100"/>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 Condition</w:t>
      </w:r>
      <w:r>
        <w:rPr>
          <w:rFonts w:ascii="Arial" w:cs="Arial" w:eastAsia="Arial" w:hAnsi="Arial"/>
          <w:sz w:val="16"/>
          <w:szCs w:val="16"/>
          <w:color w:val="auto"/>
        </w:rPr>
        <w:t xml:space="preserve">” and </w:t>
      </w:r>
      <w:r>
        <w:rPr>
          <w:rFonts w:ascii="Arial" w:cs="Arial" w:eastAsia="Arial" w:hAnsi="Arial"/>
          <w:sz w:val="20"/>
          <w:szCs w:val="20"/>
          <w:color w:val="auto"/>
        </w:rPr>
        <w:t>(i)</w:t>
      </w:r>
      <w:r>
        <w:rPr>
          <w:rFonts w:ascii="Arial" w:cs="Arial" w:eastAsia="Arial" w:hAnsi="Arial"/>
          <w:sz w:val="16"/>
          <w:szCs w:val="16"/>
          <w:color w:val="auto"/>
        </w:rPr>
        <w:t xml:space="preserve"> the “</w:t>
      </w:r>
      <w:r>
        <w:rPr>
          <w:rFonts w:ascii="Arial" w:cs="Arial" w:eastAsia="Arial" w:hAnsi="Arial"/>
          <w:sz w:val="16"/>
          <w:szCs w:val="16"/>
          <w:b w:val="1"/>
          <w:bCs w:val="1"/>
          <w:color w:val="auto"/>
        </w:rPr>
        <w:t>Performance Condition</w:t>
      </w:r>
      <w:r>
        <w:rPr>
          <w:rFonts w:ascii="Arial" w:cs="Arial" w:eastAsia="Arial" w:hAnsi="Arial"/>
          <w:sz w:val="16"/>
          <w:szCs w:val="16"/>
          <w:color w:val="auto"/>
        </w:rPr>
        <w:t xml:space="preserve">”, each as defined below. For purposes of this Award Agreement, as of any applicable date of determination, the Options (or any portion thereof) that </w:t>
      </w:r>
      <w:r>
        <w:rPr>
          <w:rFonts w:ascii="Arial" w:cs="Arial" w:eastAsia="Arial" w:hAnsi="Arial"/>
          <w:sz w:val="20"/>
          <w:szCs w:val="20"/>
          <w:color w:val="auto"/>
        </w:rPr>
        <w:t>(A)</w:t>
      </w:r>
      <w:r>
        <w:rPr>
          <w:rFonts w:ascii="Arial" w:cs="Arial" w:eastAsia="Arial" w:hAnsi="Arial"/>
          <w:sz w:val="16"/>
          <w:szCs w:val="16"/>
          <w:color w:val="auto"/>
        </w:rPr>
        <w:t xml:space="preserve"> have satisfied both the Service Condition and the Performance Condition are</w:t>
      </w:r>
    </w:p>
    <w:p>
      <w:pPr>
        <w:spacing w:after="0" w:line="1" w:lineRule="exact"/>
        <w:rPr>
          <w:sz w:val="20"/>
          <w:szCs w:val="20"/>
          <w:color w:val="auto"/>
        </w:rPr>
      </w:pPr>
    </w:p>
    <w:p>
      <w:pPr>
        <w:ind w:left="940" w:right="540"/>
        <w:spacing w:after="0" w:line="261" w:lineRule="auto"/>
        <w:rPr>
          <w:sz w:val="20"/>
          <w:szCs w:val="20"/>
          <w:color w:val="auto"/>
        </w:rPr>
      </w:pPr>
      <w:r>
        <w:rPr>
          <w:rFonts w:ascii="Arial" w:cs="Arial" w:eastAsia="Arial" w:hAnsi="Arial"/>
          <w:sz w:val="18"/>
          <w:szCs w:val="18"/>
          <w:color w:val="auto"/>
        </w:rPr>
        <w:t>referred to as “</w:t>
      </w:r>
      <w:r>
        <w:rPr>
          <w:rFonts w:ascii="Arial" w:cs="Arial" w:eastAsia="Arial" w:hAnsi="Arial"/>
          <w:sz w:val="18"/>
          <w:szCs w:val="18"/>
          <w:b w:val="1"/>
          <w:bCs w:val="1"/>
          <w:color w:val="auto"/>
        </w:rPr>
        <w:t>Vested Options</w:t>
      </w:r>
      <w:r>
        <w:rPr>
          <w:rFonts w:ascii="Arial" w:cs="Arial" w:eastAsia="Arial" w:hAnsi="Arial"/>
          <w:sz w:val="18"/>
          <w:szCs w:val="18"/>
          <w:color w:val="auto"/>
        </w:rPr>
        <w:t xml:space="preserve">” and </w:t>
      </w:r>
      <w:r>
        <w:rPr>
          <w:rFonts w:ascii="Arial" w:cs="Arial" w:eastAsia="Arial" w:hAnsi="Arial"/>
          <w:sz w:val="22"/>
          <w:szCs w:val="22"/>
          <w:color w:val="auto"/>
        </w:rPr>
        <w:t>(A)</w:t>
      </w:r>
      <w:r>
        <w:rPr>
          <w:rFonts w:ascii="Arial" w:cs="Arial" w:eastAsia="Arial" w:hAnsi="Arial"/>
          <w:sz w:val="18"/>
          <w:szCs w:val="18"/>
          <w:color w:val="auto"/>
        </w:rPr>
        <w:t xml:space="preserve"> have not satisfied both of the Service Condition and the Performance Condition are referred to as “</w:t>
      </w:r>
      <w:r>
        <w:rPr>
          <w:rFonts w:ascii="Arial" w:cs="Arial" w:eastAsia="Arial" w:hAnsi="Arial"/>
          <w:sz w:val="18"/>
          <w:szCs w:val="18"/>
          <w:b w:val="1"/>
          <w:bCs w:val="1"/>
          <w:color w:val="auto"/>
        </w:rPr>
        <w:t>Unvested Options</w:t>
      </w:r>
      <w:r>
        <w:rPr>
          <w:rFonts w:ascii="Arial" w:cs="Arial" w:eastAsia="Arial" w:hAnsi="Arial"/>
          <w:sz w:val="18"/>
          <w:szCs w:val="18"/>
          <w:color w:val="auto"/>
        </w:rPr>
        <w:t>”.</w:t>
      </w:r>
    </w:p>
    <w:p>
      <w:pPr>
        <w:spacing w:after="0" w:line="171" w:lineRule="exact"/>
        <w:rPr>
          <w:sz w:val="20"/>
          <w:szCs w:val="20"/>
          <w:color w:val="auto"/>
        </w:rPr>
      </w:pPr>
    </w:p>
    <w:p>
      <w:pPr>
        <w:ind w:left="940" w:right="100" w:firstLine="967"/>
        <w:spacing w:after="0" w:line="252" w:lineRule="auto"/>
        <w:tabs>
          <w:tab w:leader="none" w:pos="2741"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Service Condition</w:t>
      </w:r>
      <w:r>
        <w:rPr>
          <w:rFonts w:ascii="Arial" w:cs="Arial" w:eastAsia="Arial" w:hAnsi="Arial"/>
          <w:sz w:val="18"/>
          <w:szCs w:val="18"/>
          <w:color w:val="auto"/>
        </w:rPr>
        <w:t>. Except as otherwise provided in this Award Agreement, the “</w:t>
      </w:r>
      <w:r>
        <w:rPr>
          <w:rFonts w:ascii="Arial" w:cs="Arial" w:eastAsia="Arial" w:hAnsi="Arial"/>
          <w:sz w:val="18"/>
          <w:szCs w:val="18"/>
          <w:b w:val="1"/>
          <w:bCs w:val="1"/>
          <w:color w:val="auto"/>
        </w:rPr>
        <w:t>Service Condition</w:t>
      </w:r>
      <w:r>
        <w:rPr>
          <w:rFonts w:ascii="Arial" w:cs="Arial" w:eastAsia="Arial" w:hAnsi="Arial"/>
          <w:sz w:val="18"/>
          <w:szCs w:val="18"/>
          <w:color w:val="auto"/>
        </w:rPr>
        <w:t>” will be satisfied in</w:t>
      </w:r>
      <w:r>
        <w:rPr>
          <w:rFonts w:ascii="Arial" w:cs="Arial" w:eastAsia="Arial" w:hAnsi="Arial"/>
          <w:sz w:val="18"/>
          <w:szCs w:val="18"/>
          <w:i w:val="1"/>
          <w:iCs w:val="1"/>
          <w:color w:val="auto"/>
        </w:rPr>
        <w:t xml:space="preserve"> </w:t>
      </w:r>
      <w:r>
        <w:rPr>
          <w:rFonts w:ascii="Arial" w:cs="Arial" w:eastAsia="Arial" w:hAnsi="Arial"/>
          <w:sz w:val="18"/>
          <w:szCs w:val="18"/>
          <w:color w:val="auto"/>
        </w:rPr>
        <w:t>full on [•] (the “</w:t>
      </w:r>
      <w:r>
        <w:rPr>
          <w:rFonts w:ascii="Arial" w:cs="Arial" w:eastAsia="Arial" w:hAnsi="Arial"/>
          <w:sz w:val="18"/>
          <w:szCs w:val="18"/>
          <w:b w:val="1"/>
          <w:bCs w:val="1"/>
          <w:color w:val="auto"/>
        </w:rPr>
        <w:t>Service Vesting Date</w:t>
      </w:r>
      <w:r>
        <w:rPr>
          <w:rFonts w:ascii="Arial" w:cs="Arial" w:eastAsia="Arial" w:hAnsi="Arial"/>
          <w:sz w:val="18"/>
          <w:szCs w:val="18"/>
          <w:color w:val="auto"/>
        </w:rPr>
        <w:t>”), subject to your continuous employment with the Company through the Service Vesting Date. For purposes of this Award Agreement, the [•] service vesting period between the Grant Date and the Service Vesting Date shall be referred to herein as the “</w:t>
      </w:r>
      <w:r>
        <w:rPr>
          <w:rFonts w:ascii="Arial" w:cs="Arial" w:eastAsia="Arial" w:hAnsi="Arial"/>
          <w:sz w:val="18"/>
          <w:szCs w:val="18"/>
          <w:b w:val="1"/>
          <w:bCs w:val="1"/>
          <w:color w:val="auto"/>
        </w:rPr>
        <w:t>Service Vesting Period</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740" w:hanging="833"/>
        <w:spacing w:after="0"/>
        <w:tabs>
          <w:tab w:leader="none" w:pos="274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Performance Condition</w:t>
      </w:r>
      <w:r>
        <w:rPr>
          <w:rFonts w:ascii="Arial" w:cs="Arial" w:eastAsia="Arial" w:hAnsi="Arial"/>
          <w:sz w:val="16"/>
          <w:szCs w:val="16"/>
          <w:color w:val="auto"/>
        </w:rPr>
        <w:t>. Subject to the terms and conditions set forth in this Award Agreement and in the Plan, the</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Condition</w:t>
      </w:r>
      <w:r>
        <w:rPr>
          <w:rFonts w:ascii="Arial" w:cs="Arial" w:eastAsia="Arial" w:hAnsi="Arial"/>
          <w:sz w:val="18"/>
          <w:szCs w:val="18"/>
          <w:color w:val="auto"/>
        </w:rPr>
        <w:t>” will be satisfied (if at all) on the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-22225</wp:posOffset>
            </wp:positionV>
            <wp:extent cx="279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404">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82" w:lineRule="exact"/>
        <w:rPr>
          <w:sz w:val="20"/>
          <w:szCs w:val="20"/>
          <w:color w:val="auto"/>
        </w:rPr>
      </w:pPr>
    </w:p>
    <w:p>
      <w:pPr>
        <w:ind w:right="60" w:firstLine="936"/>
        <w:spacing w:after="0" w:line="25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The term of the Options shall expire at close of the principal stock market or exchange on which the Shares are quoted or traded on the tenth anniversary of the Grant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unless terminated earlier in accordance with this Award Agreement or the Plan. In no event may any Options (or any portion thereof) be exercised after the Expiration 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289560</wp:posOffset>
            </wp:positionV>
            <wp:extent cx="717804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40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75" w:name="page176"/>
    <w:bookmarkEnd w:id="175"/>
    <w:p>
      <w:pPr>
        <w:spacing w:after="0"/>
        <w:tabs>
          <w:tab w:leader="none" w:pos="13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Exercise of Options.</w:t>
      </w:r>
    </w:p>
    <w:p>
      <w:pPr>
        <w:spacing w:after="0" w:line="214" w:lineRule="exact"/>
        <w:rPr>
          <w:sz w:val="20"/>
          <w:szCs w:val="20"/>
          <w:color w:val="auto"/>
        </w:rPr>
      </w:pPr>
    </w:p>
    <w:p>
      <w:pPr>
        <w:ind w:right="120" w:firstLine="967"/>
        <w:spacing w:after="0" w:line="316" w:lineRule="auto"/>
        <w:tabs>
          <w:tab w:leader="none" w:pos="1791"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Subject to the terms of the Plan and this Award Agreement, to the extent that any Options become Vested</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you may thereafter exercise such Vested Options, in whole or in part, at any time or from time to time prior to the Expiration Date (or, if earlier, the applicable date determined in accordance with Section 5). You may exercise your Options only for whole Shares.</w:t>
      </w:r>
    </w:p>
    <w:p>
      <w:pPr>
        <w:spacing w:after="0" w:line="140" w:lineRule="exact"/>
        <w:rPr>
          <w:rFonts w:ascii="Arial" w:cs="Arial" w:eastAsia="Arial" w:hAnsi="Arial"/>
          <w:sz w:val="16"/>
          <w:szCs w:val="16"/>
          <w:color w:val="auto"/>
        </w:rPr>
      </w:pPr>
    </w:p>
    <w:p>
      <w:pPr>
        <w:ind w:firstLine="967"/>
        <w:spacing w:after="0" w:line="284" w:lineRule="auto"/>
        <w:tabs>
          <w:tab w:leader="none" w:pos="1801"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Manner of Exercise</w:t>
      </w:r>
      <w:r>
        <w:rPr>
          <w:rFonts w:ascii="Arial" w:cs="Arial" w:eastAsia="Arial" w:hAnsi="Arial"/>
          <w:sz w:val="16"/>
          <w:szCs w:val="16"/>
          <w:color w:val="auto"/>
        </w:rPr>
        <w:t>. In order to exercise any Vested Options, you must (i) deliver to the Company a written notice</w:t>
      </w:r>
      <w:r>
        <w:rPr>
          <w:rFonts w:ascii="Arial" w:cs="Arial" w:eastAsia="Arial" w:hAnsi="Arial"/>
          <w:sz w:val="16"/>
          <w:szCs w:val="16"/>
          <w:i w:val="1"/>
          <w:iCs w:val="1"/>
          <w:color w:val="auto"/>
        </w:rPr>
        <w:t xml:space="preserve"> </w:t>
      </w:r>
      <w:r>
        <w:rPr>
          <w:rFonts w:ascii="Arial" w:cs="Arial" w:eastAsia="Arial" w:hAnsi="Arial"/>
          <w:sz w:val="16"/>
          <w:szCs w:val="16"/>
          <w:color w:val="auto"/>
        </w:rPr>
        <w:t>specifying the number of Vested Options to be exercised, in such manner and pursuant to such procedures as the Company may determine from time to time (the “</w:t>
      </w:r>
      <w:r>
        <w:rPr>
          <w:rFonts w:ascii="Arial" w:cs="Arial" w:eastAsia="Arial" w:hAnsi="Arial"/>
          <w:sz w:val="16"/>
          <w:szCs w:val="16"/>
          <w:b w:val="1"/>
          <w:bCs w:val="1"/>
          <w:color w:val="auto"/>
        </w:rPr>
        <w:t>Exercise Notice</w:t>
      </w:r>
      <w:r>
        <w:rPr>
          <w:rFonts w:ascii="Arial" w:cs="Arial" w:eastAsia="Arial" w:hAnsi="Arial"/>
          <w:sz w:val="16"/>
          <w:szCs w:val="16"/>
          <w:color w:val="auto"/>
        </w:rPr>
        <w:t>”) and (i) remit to the Company in full (A) the aggregate Exercise Price applicable to such Vested Options being exercised and (A) an amount sufficient to satisfy all applicable income, payroll, employment and similar taxes the Company is required to withhold on your behalf in respect of such exercise (clauses (A) and (B), collectively, the “</w:t>
      </w:r>
      <w:r>
        <w:rPr>
          <w:rFonts w:ascii="Arial" w:cs="Arial" w:eastAsia="Arial" w:hAnsi="Arial"/>
          <w:sz w:val="16"/>
          <w:szCs w:val="16"/>
          <w:b w:val="1"/>
          <w:bCs w:val="1"/>
          <w:color w:val="auto"/>
        </w:rPr>
        <w:t>Payment Amount</w:t>
      </w:r>
      <w:r>
        <w:rPr>
          <w:rFonts w:ascii="Arial" w:cs="Arial" w:eastAsia="Arial" w:hAnsi="Arial"/>
          <w:sz w:val="16"/>
          <w:szCs w:val="16"/>
          <w:color w:val="auto"/>
        </w:rPr>
        <w:t>”). The date on which you deliver the Exercise Notice pursuant to this Section 4(b) shall be referred to herein as the “</w:t>
      </w:r>
      <w:r>
        <w:rPr>
          <w:rFonts w:ascii="Arial" w:cs="Arial" w:eastAsia="Arial" w:hAnsi="Arial"/>
          <w:sz w:val="16"/>
          <w:szCs w:val="16"/>
          <w:b w:val="1"/>
          <w:bCs w:val="1"/>
          <w:color w:val="auto"/>
        </w:rPr>
        <w:t>Exercise Date</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firstLine="967"/>
        <w:spacing w:after="0" w:line="281" w:lineRule="auto"/>
        <w:tabs>
          <w:tab w:leader="none" w:pos="1791"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Method of Exercise</w:t>
      </w:r>
      <w:r>
        <w:rPr>
          <w:rFonts w:ascii="Arial" w:cs="Arial" w:eastAsia="Arial" w:hAnsi="Arial"/>
          <w:sz w:val="16"/>
          <w:szCs w:val="16"/>
          <w:color w:val="auto"/>
        </w:rPr>
        <w:t>. You may satisfy the Payment Amount in respect of the Vested Options being exercised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manner determined by the Committee from time to time in its sole discretion, which may include: (i) in cash or by check, bank draft or money order payable to the order of the Company; (i) by a “net exercise” under which the Company shall reduce the number of Shares otherwise issuable to you upon such exercise by a whole number of Shares having an aggregate Fair Market Value as of the Exercise Date equal to the Payment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only whole Shares may be so used for payment of the Payment Amount and any portion of the Payment Amount which cannot be satisfied with whole Shares must be paid to the Company by you in cash and (A) in order to comply with applicable accounting standards or the Company’s policies in effect from time to time, the Committee may limit the amount of Shares that you may be withheld pursuant to this “net exercise” feature); or (i) any other method permitted by the Committee from time to time.</w:t>
      </w:r>
    </w:p>
    <w:p>
      <w:pPr>
        <w:spacing w:after="0" w:line="169" w:lineRule="exact"/>
        <w:rPr>
          <w:rFonts w:ascii="Arial" w:cs="Arial" w:eastAsia="Arial" w:hAnsi="Arial"/>
          <w:sz w:val="16"/>
          <w:szCs w:val="16"/>
          <w:color w:val="auto"/>
        </w:rPr>
      </w:pPr>
    </w:p>
    <w:p>
      <w:pPr>
        <w:ind w:right="160" w:firstLine="967"/>
        <w:spacing w:after="0" w:line="247" w:lineRule="auto"/>
        <w:tabs>
          <w:tab w:leader="none" w:pos="1801"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Automatic Exercise</w:t>
      </w:r>
      <w:r>
        <w:rPr>
          <w:rFonts w:ascii="Arial" w:cs="Arial" w:eastAsia="Arial" w:hAnsi="Arial"/>
          <w:sz w:val="18"/>
          <w:szCs w:val="18"/>
          <w:color w:val="auto"/>
        </w:rPr>
        <w:t>. If, as of the last trading day immediately prior to the Expiration Date,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any outstanding and unexercised Vested Options exceeds the Exercise Price, then such outstanding and unexercised Vested Options shall be automatically exercised on a “net exercise” basis in the manner described in Section 4(c)(ii) above to satisfy the aggregate Payment Amount in respect of such Vested Options and pursuant to such other terms and procedures as determined by the Committee). For the avoidance of doubt, the automatic exercise of Vested Options pursuant to this Section 4(d) shall not apply at any time on or following your Termination of Service.</w:t>
      </w:r>
    </w:p>
    <w:p>
      <w:pPr>
        <w:spacing w:after="0" w:line="193" w:lineRule="exact"/>
        <w:rPr>
          <w:rFonts w:ascii="Arial" w:cs="Arial" w:eastAsia="Arial" w:hAnsi="Arial"/>
          <w:sz w:val="18"/>
          <w:szCs w:val="18"/>
          <w:color w:val="auto"/>
        </w:rPr>
      </w:pPr>
    </w:p>
    <w:p>
      <w:pPr>
        <w:ind w:right="180" w:firstLine="967"/>
        <w:spacing w:after="0" w:line="268" w:lineRule="auto"/>
        <w:tabs>
          <w:tab w:leader="none" w:pos="1791"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Regulatory Filings; HSR Act</w:t>
      </w:r>
      <w:r>
        <w:rPr>
          <w:rFonts w:ascii="Arial" w:cs="Arial" w:eastAsia="Arial" w:hAnsi="Arial"/>
          <w:sz w:val="17"/>
          <w:szCs w:val="17"/>
          <w:color w:val="auto"/>
        </w:rPr>
        <w:t>. Notwithstanding anything to the contrary herein, in no event shall any Vested Options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exercisable by you (including pursuant to Section 4(d) unless and until </w:t>
      </w:r>
      <w:r>
        <w:rPr>
          <w:rFonts w:ascii="Arial" w:cs="Arial" w:eastAsia="Arial" w:hAnsi="Arial"/>
          <w:sz w:val="21"/>
          <w:szCs w:val="21"/>
          <w:color w:val="auto"/>
        </w:rPr>
        <w:t>(i)</w:t>
      </w:r>
      <w:r>
        <w:rPr>
          <w:rFonts w:ascii="Arial" w:cs="Arial" w:eastAsia="Arial" w:hAnsi="Arial"/>
          <w:sz w:val="17"/>
          <w:szCs w:val="17"/>
          <w:color w:val="auto"/>
        </w:rPr>
        <w:t xml:space="preserve"> any and all required regulatory filings, including, without limitation, any filings that may be required pursuant to the HSR Act in connection with the exercise of any Vested Options (or portion thereof) have been timely filed and any required waiting period under the HSR Act has expired or been terminated or </w:t>
      </w:r>
      <w:r>
        <w:rPr>
          <w:rFonts w:ascii="Arial" w:cs="Arial" w:eastAsia="Arial" w:hAnsi="Arial"/>
          <w:sz w:val="21"/>
          <w:szCs w:val="21"/>
          <w:color w:val="auto"/>
        </w:rPr>
        <w:t>(i)</w:t>
      </w:r>
      <w:r>
        <w:rPr>
          <w:rFonts w:ascii="Arial" w:cs="Arial" w:eastAsia="Arial" w:hAnsi="Arial"/>
          <w:sz w:val="17"/>
          <w:szCs w:val="17"/>
          <w:color w:val="auto"/>
        </w:rPr>
        <w:t xml:space="preserve"> the exercise of the Vested Option does not require any such regulatory filings (including any filings under the HSR Act).</w:t>
      </w:r>
    </w:p>
    <w:p>
      <w:pPr>
        <w:spacing w:after="0" w:line="172" w:lineRule="exact"/>
        <w:rPr>
          <w:rFonts w:ascii="Arial" w:cs="Arial" w:eastAsia="Arial" w:hAnsi="Arial"/>
          <w:sz w:val="17"/>
          <w:szCs w:val="17"/>
          <w:color w:val="auto"/>
        </w:rPr>
      </w:pPr>
    </w:p>
    <w:p>
      <w:pPr>
        <w:ind w:firstLine="967"/>
        <w:spacing w:after="0" w:line="284" w:lineRule="auto"/>
        <w:tabs>
          <w:tab w:leader="none" w:pos="1772"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 xml:space="preserve">Stock Ownership Guidelines and Retention Requirements. </w:t>
      </w:r>
      <w:r>
        <w:rPr>
          <w:rFonts w:ascii="Arial" w:cs="Arial" w:eastAsia="Arial" w:hAnsi="Arial"/>
          <w:sz w:val="16"/>
          <w:szCs w:val="16"/>
          <w:color w:val="auto"/>
        </w:rPr>
        <w:t>To the extent that you are subject to MSCI’s Stock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(the “</w:t>
      </w:r>
      <w:r>
        <w:rPr>
          <w:rFonts w:ascii="Arial" w:cs="Arial" w:eastAsia="Arial" w:hAnsi="Arial"/>
          <w:sz w:val="16"/>
          <w:szCs w:val="16"/>
          <w:b w:val="1"/>
          <w:bCs w:val="1"/>
          <w:color w:val="auto"/>
        </w:rPr>
        <w:t>Ownership Guidelines</w:t>
      </w:r>
      <w:r>
        <w:rPr>
          <w:rFonts w:ascii="Arial" w:cs="Arial" w:eastAsia="Arial" w:hAnsi="Arial"/>
          <w:sz w:val="16"/>
          <w:szCs w:val="16"/>
          <w:color w:val="auto"/>
        </w:rPr>
        <w:t>”) as of the Grant Date, the Shares (or any applicable portion thereof) issuable to you upon the exercise of any Vested Options granted under this Award Agreement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 foregoing, to the extent you are as of the Grant Date, or become following the Grant Date, subject to the Ownership Guidelines, you agree</w:t>
      </w: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690245</wp:posOffset>
            </wp:positionV>
            <wp:extent cx="717804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0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300"/>
          </w:cols>
          <w:pgMar w:left="1260" w:top="548" w:right="339" w:bottom="1440" w:gutter="0" w:footer="0" w:header="0"/>
        </w:sectPr>
      </w:pPr>
    </w:p>
    <w:bookmarkStart w:id="176" w:name="page177"/>
    <w:bookmarkEnd w:id="176"/>
    <w:p>
      <w:pPr>
        <w:ind w:left="940" w:right="100"/>
        <w:spacing w:after="0" w:line="290" w:lineRule="auto"/>
        <w:rPr>
          <w:sz w:val="20"/>
          <w:szCs w:val="20"/>
          <w:color w:val="auto"/>
        </w:rPr>
      </w:pPr>
      <w:r>
        <w:rPr>
          <w:rFonts w:ascii="Arial" w:cs="Arial" w:eastAsia="Arial" w:hAnsi="Arial"/>
          <w:sz w:val="16"/>
          <w:szCs w:val="16"/>
          <w:color w:val="auto"/>
        </w:rPr>
        <w:t>and acknowledge that the Shares issuable to you upon the exercise of the Vested Options granted to you under this Award Agreement shall be subject to the other terms and conditions (including other applicable retention requirements) under the Ownership Guidelines, as may be in effect from time to time. You agree and acknowledge that that a copy of the Ownership Guidelines has been previously made available to you and that you understand and acknowledge the terms of such Ownership Guidelines and the terms of this Section 4(f).</w:t>
      </w:r>
    </w:p>
    <w:p>
      <w:pPr>
        <w:spacing w:after="0" w:line="162" w:lineRule="exact"/>
        <w:rPr>
          <w:sz w:val="20"/>
          <w:szCs w:val="20"/>
          <w:color w:val="auto"/>
        </w:rPr>
      </w:pPr>
    </w:p>
    <w:p>
      <w:pPr>
        <w:ind w:right="280" w:firstLine="936"/>
        <w:spacing w:after="0" w:line="32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xml:space="preserve"> Subject to the terms of this Award Agreement (including, without limitation, Sections 6, 7 and 8), upon your Termination of Service with the Company pursuant to this Section 5, the following special vesting and exercise terms will apply to your Options:</w:t>
      </w:r>
    </w:p>
    <w:p>
      <w:pPr>
        <w:spacing w:after="0" w:line="134" w:lineRule="exact"/>
        <w:rPr>
          <w:sz w:val="20"/>
          <w:szCs w:val="20"/>
          <w:color w:val="auto"/>
        </w:rPr>
      </w:pPr>
    </w:p>
    <w:p>
      <w:pPr>
        <w:ind w:left="2740" w:hanging="833"/>
        <w:spacing w:after="0"/>
        <w:tabs>
          <w:tab w:leader="none" w:pos="27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Termination of Service Due to Death or Disability</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1880" w:firstLine="778"/>
        <w:spacing w:after="0" w:line="290" w:lineRule="auto"/>
        <w:tabs>
          <w:tab w:leader="none" w:pos="3456"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In the event of your Termination of Service due to your death or Disability, (A) the Service Condition will be deemed fully satisfied on the date of your Termination of Service (such date, the “</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and (A) the number of such Options that become Vested Options (if any) will be determined based on actual achievement of the Performance Condition during the Performance Period, as determined by the Committee on the Certification Date in accordance with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1880" w:firstLine="778"/>
        <w:spacing w:after="0" w:line="290" w:lineRule="auto"/>
        <w:tabs>
          <w:tab w:leader="none" w:pos="350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Any Options that are Unvested Options on the Termination Date that become Vested Options in accordance with Section 5(a)(i) above will remain exercisable until the earlier of (A) one year following the Certification Date (or, if later, the Termination Date) and (A) the Expiration Date. Any Options that are Vested Options on the Termination Date will remain exercisable until the earlier of (x) one (1) year following the Termination Date and (y) the Expiration Date.</w:t>
      </w:r>
    </w:p>
    <w:p>
      <w:pPr>
        <w:spacing w:after="0" w:line="162" w:lineRule="exact"/>
        <w:rPr>
          <w:rFonts w:ascii="Arial" w:cs="Arial" w:eastAsia="Arial" w:hAnsi="Arial"/>
          <w:sz w:val="16"/>
          <w:szCs w:val="16"/>
          <w:color w:val="auto"/>
        </w:rPr>
      </w:pPr>
    </w:p>
    <w:p>
      <w:pPr>
        <w:ind w:left="2740" w:hanging="833"/>
        <w:spacing w:after="0"/>
        <w:tabs>
          <w:tab w:leader="none" w:pos="27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Involuntary Termination of Service by the Company without Cause</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880" w:right="60" w:firstLine="778"/>
        <w:spacing w:after="0" w:line="281" w:lineRule="auto"/>
        <w:tabs>
          <w:tab w:leader="none" w:pos="3456"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Vesting—Involuntary Termination Prior to 62/10 Retirement Eligibility</w:t>
      </w:r>
      <w:r>
        <w:rPr>
          <w:rFonts w:ascii="Arial" w:cs="Arial" w:eastAsia="Arial" w:hAnsi="Arial"/>
          <w:sz w:val="16"/>
          <w:szCs w:val="16"/>
          <w:color w:val="auto"/>
        </w:rPr>
        <w:t xml:space="preserve">. In the event of your involuntary Termination of Service by the Company without Cause prior to your 62/10 Retirement Eligibility,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you execute and do not revoke an agreement and release of claims satisfactory to the Company, which will contain restrictive covenants substantially in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that is executed by you and becomes irrevocable within 60 days of your Termination Date, a prorated portion of the Service Condition will be deemed satisfied, determined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(A) the number of months you are employed by the Company during the Service Vesting Period (rounded up for partial months) </w:t>
      </w:r>
      <w:r>
        <w:rPr>
          <w:rFonts w:ascii="Arial" w:cs="Arial" w:eastAsia="Arial" w:hAnsi="Arial"/>
          <w:sz w:val="16"/>
          <w:szCs w:val="16"/>
          <w:i w:val="1"/>
          <w:iCs w:val="1"/>
          <w:color w:val="auto"/>
        </w:rPr>
        <w:t>by</w:t>
      </w:r>
      <w:r>
        <w:rPr>
          <w:rFonts w:ascii="Arial" w:cs="Arial" w:eastAsia="Arial" w:hAnsi="Arial"/>
          <w:sz w:val="16"/>
          <w:szCs w:val="16"/>
          <w:color w:val="auto"/>
        </w:rPr>
        <w:t xml:space="preserve"> (A) (y) 36. The number of such prorated Options that become Vested Options (if any) will be determined based on actual achievement of the Performance Condition during the Performance Period, as determined by the Committee on the Certification Date in accordance with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1880" w:right="60" w:firstLine="778"/>
        <w:spacing w:after="0" w:line="282" w:lineRule="auto"/>
        <w:tabs>
          <w:tab w:leader="none" w:pos="350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Vesting—Involuntary Termination Following 62/10 Retirement Eligibility</w:t>
      </w:r>
      <w:r>
        <w:rPr>
          <w:rFonts w:ascii="Arial" w:cs="Arial" w:eastAsia="Arial" w:hAnsi="Arial"/>
          <w:sz w:val="16"/>
          <w:szCs w:val="16"/>
          <w:color w:val="auto"/>
        </w:rPr>
        <w:t xml:space="preserve">. In the event of your involuntary Termination of Service by the Company without Cause following your 62/10 Retirement Eligibility, provided that you execute and do not revoke an agreement and release of claims satisfactory to the Company, which will contain restrictive covenants substantially in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that is executed by you and becomes irrevocable within 60 days of your Termination Date, (A) the Service Condition will be deemed fully satisfied on your Termination Date and (A) the number of such Options that become Vested Options (if any) will be determined based on actual achievement of the Performance Condition during the Performance Period, as determined by the Committee on the Certification Date in accordance with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1880" w:right="700" w:firstLine="778"/>
        <w:spacing w:after="0" w:line="261" w:lineRule="auto"/>
        <w:tabs>
          <w:tab w:leader="none" w:pos="3553"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Exercisability—Involuntary Termination Prior to 62/10 Retirement Eligibility</w:t>
      </w:r>
      <w:r>
        <w:rPr>
          <w:rFonts w:ascii="Arial" w:cs="Arial" w:eastAsia="Arial" w:hAnsi="Arial"/>
          <w:sz w:val="18"/>
          <w:szCs w:val="18"/>
          <w:color w:val="auto"/>
        </w:rPr>
        <w:t>. In the event of your involuntary Termination of Service by the Company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40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177" w:name="page178"/>
    <w:bookmarkEnd w:id="177"/>
    <w:p>
      <w:pPr>
        <w:ind w:left="760" w:right="20"/>
        <w:spacing w:after="0" w:line="290" w:lineRule="auto"/>
        <w:rPr>
          <w:sz w:val="20"/>
          <w:szCs w:val="20"/>
          <w:color w:val="auto"/>
        </w:rPr>
      </w:pPr>
      <w:r>
        <w:rPr>
          <w:rFonts w:ascii="Arial" w:cs="Arial" w:eastAsia="Arial" w:hAnsi="Arial"/>
          <w:sz w:val="16"/>
          <w:szCs w:val="16"/>
          <w:color w:val="auto"/>
        </w:rPr>
        <w:t>without Cause prior to your 62/10 Retirement Eligibility, (A) any Options that are Unvested Options on the Termination Date that become Vested Options in accordance with Section 5(b)(i) above will remain exercisable until the earlier of (x) 90 days following the Certification Date (or, if later, the Termination Date) and (y) the Expiration Date, and (A) any Options that are Vested Options on the Termination Date will remain exercisable until the earlier of (x) 90 days following the Termination Date and (y) the Expiration Date.</w:t>
      </w:r>
    </w:p>
    <w:p>
      <w:pPr>
        <w:spacing w:after="0" w:line="162" w:lineRule="exact"/>
        <w:rPr>
          <w:sz w:val="20"/>
          <w:szCs w:val="20"/>
          <w:color w:val="auto"/>
        </w:rPr>
      </w:pPr>
    </w:p>
    <w:p>
      <w:pPr>
        <w:ind w:left="760" w:right="40" w:firstLine="778"/>
        <w:spacing w:after="0" w:line="282" w:lineRule="auto"/>
        <w:tabs>
          <w:tab w:leader="none" w:pos="2424"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Exercisability—Involuntary Termination Following to 62/10 Retirement Eligibility</w:t>
      </w:r>
      <w:r>
        <w:rPr>
          <w:rFonts w:ascii="Arial" w:cs="Arial" w:eastAsia="Arial" w:hAnsi="Arial"/>
          <w:sz w:val="16"/>
          <w:szCs w:val="16"/>
          <w:color w:val="auto"/>
        </w:rPr>
        <w:t>. In the event of your involuntary Termination of Service by the Company without Cause following your 62/10 Retirement Eligibility, any Options that are</w:t>
      </w:r>
    </w:p>
    <w:p>
      <w:pPr>
        <w:ind w:left="760" w:right="380" w:hanging="2"/>
        <w:spacing w:after="0" w:line="308" w:lineRule="auto"/>
        <w:tabs>
          <w:tab w:leader="none" w:pos="104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Unvested Options on the Termination Date that become Vested Options in accordance with Section 5(b)(ii) above or (A) are Vested Options on the Termination Date, in each case will remain exercisable until the Expiration Date.</w:t>
      </w:r>
    </w:p>
    <w:p>
      <w:pPr>
        <w:spacing w:after="0" w:line="147" w:lineRule="exact"/>
        <w:rPr>
          <w:sz w:val="20"/>
          <w:szCs w:val="20"/>
          <w:color w:val="auto"/>
        </w:rPr>
      </w:pPr>
    </w:p>
    <w:p>
      <w:pPr>
        <w:ind w:left="-180" w:right="160" w:firstLine="967"/>
        <w:spacing w:after="0" w:line="248" w:lineRule="auto"/>
        <w:tabs>
          <w:tab w:leader="none" w:pos="1611"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Retirement Terminations. </w:t>
      </w:r>
      <w:r>
        <w:rPr>
          <w:rFonts w:ascii="Arial" w:cs="Arial" w:eastAsia="Arial" w:hAnsi="Arial"/>
          <w:sz w:val="18"/>
          <w:szCs w:val="18"/>
          <w:color w:val="auto"/>
        </w:rPr>
        <w:t>In the event of your applicable Retirement Termination, your Options shall be eligible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treatment specified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you are in compliance with the Notice Requirements and all of the restrictive covenants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(y) you execute and do not revoke an agreement and release of claims satisfactory to the Company, which will contain restrictive covenants substantially in the form as those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which is executed by you and becomes irrevocable within 60 days following your Termination Date:</w:t>
      </w:r>
    </w:p>
    <w:p>
      <w:pPr>
        <w:spacing w:after="0" w:line="192" w:lineRule="exact"/>
        <w:rPr>
          <w:rFonts w:ascii="Arial" w:cs="Arial" w:eastAsia="Arial" w:hAnsi="Arial"/>
          <w:sz w:val="18"/>
          <w:szCs w:val="18"/>
          <w:color w:val="auto"/>
        </w:rPr>
      </w:pPr>
    </w:p>
    <w:p>
      <w:pPr>
        <w:ind w:left="760" w:right="60" w:firstLine="778"/>
        <w:spacing w:after="0" w:line="284" w:lineRule="auto"/>
        <w:tabs>
          <w:tab w:leader="none" w:pos="2336"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Vesting—Legacy Retirement Termination and 55/10 Retirement Termination</w:t>
      </w:r>
      <w:r>
        <w:rPr>
          <w:rFonts w:ascii="Arial" w:cs="Arial" w:eastAsia="Arial" w:hAnsi="Arial"/>
          <w:sz w:val="16"/>
          <w:szCs w:val="16"/>
          <w:color w:val="auto"/>
        </w:rPr>
        <w:t xml:space="preserve">. In the event of your Legacy Retirement Termination or 55/10 Retirement Termination, a prorated portion of the Service Condition will be deemed satisfied, determined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(A) the number of months you are employed by the Company during the Service Vesting Period (rounded up for partial months) </w:t>
      </w:r>
      <w:r>
        <w:rPr>
          <w:rFonts w:ascii="Arial" w:cs="Arial" w:eastAsia="Arial" w:hAnsi="Arial"/>
          <w:sz w:val="16"/>
          <w:szCs w:val="16"/>
          <w:i w:val="1"/>
          <w:iCs w:val="1"/>
          <w:color w:val="auto"/>
        </w:rPr>
        <w:t>by</w:t>
      </w:r>
      <w:r>
        <w:rPr>
          <w:rFonts w:ascii="Arial" w:cs="Arial" w:eastAsia="Arial" w:hAnsi="Arial"/>
          <w:sz w:val="16"/>
          <w:szCs w:val="16"/>
          <w:color w:val="auto"/>
        </w:rPr>
        <w:t xml:space="preserve"> (A) (y) 36. The number of such prorated Options that become Vested Options (if any) will be determined based on actual achievement of the Performance Condition during the Performance Period, as determined by the Committee on the Certification Date in accordance with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left="760" w:right="40" w:firstLine="778"/>
        <w:spacing w:after="0" w:line="290" w:lineRule="auto"/>
        <w:tabs>
          <w:tab w:leader="none" w:pos="2385"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Vesting—62/10 Retirement Termination</w:t>
      </w:r>
      <w:r>
        <w:rPr>
          <w:rFonts w:ascii="Arial" w:cs="Arial" w:eastAsia="Arial" w:hAnsi="Arial"/>
          <w:sz w:val="16"/>
          <w:szCs w:val="16"/>
          <w:color w:val="auto"/>
        </w:rPr>
        <w:t xml:space="preserve">. In the event of your 62/10 Retirement Termination, (A) the Service Condition will be deemed fully satisfied on your Termination Date and (A) the number of such Options that become Vested Options (if any) will be determined based on actual achievement of the Performance Condition during the Performance Period, as determined by the Committee on the Certification Date in accordance with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760" w:right="380" w:firstLine="778"/>
        <w:spacing w:after="0" w:line="252" w:lineRule="auto"/>
        <w:tabs>
          <w:tab w:leader="none" w:pos="2433"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Any Options that are (A) Unvested Options on the Termination Date that become Vested Options in accordance with Sections 5(c)(i) and (ii) above or (A) are Vested Options on the Termination Date, in each case will remain exercisable until the Expiration Date.</w:t>
      </w:r>
    </w:p>
    <w:p>
      <w:pPr>
        <w:spacing w:after="0" w:line="189" w:lineRule="exact"/>
        <w:rPr>
          <w:rFonts w:ascii="Arial" w:cs="Arial" w:eastAsia="Arial" w:hAnsi="Arial"/>
          <w:sz w:val="18"/>
          <w:szCs w:val="18"/>
          <w:color w:val="auto"/>
        </w:rPr>
      </w:pPr>
    </w:p>
    <w:p>
      <w:pPr>
        <w:ind w:left="-180" w:right="120" w:firstLine="967"/>
        <w:spacing w:after="0" w:line="252" w:lineRule="auto"/>
        <w:tabs>
          <w:tab w:leader="none" w:pos="1621"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for Cause. </w:t>
      </w:r>
      <w:r>
        <w:rPr>
          <w:rFonts w:ascii="Arial" w:cs="Arial" w:eastAsia="Arial" w:hAnsi="Arial"/>
          <w:sz w:val="18"/>
          <w:szCs w:val="18"/>
          <w:color w:val="auto"/>
        </w:rPr>
        <w:t>In the event of your Termination of Service by the Company for Cause, all of your</w:t>
      </w:r>
      <w:r>
        <w:rPr>
          <w:rFonts w:ascii="Arial" w:cs="Arial" w:eastAsia="Arial" w:hAnsi="Arial"/>
          <w:sz w:val="18"/>
          <w:szCs w:val="18"/>
          <w:i w:val="1"/>
          <w:iCs w:val="1"/>
          <w:color w:val="auto"/>
        </w:rPr>
        <w:t xml:space="preserve"> </w:t>
      </w:r>
      <w:r>
        <w:rPr>
          <w:rFonts w:ascii="Arial" w:cs="Arial" w:eastAsia="Arial" w:hAnsi="Arial"/>
          <w:sz w:val="18"/>
          <w:szCs w:val="18"/>
          <w:color w:val="auto"/>
        </w:rPr>
        <w:t>unexercised Options (whether Vested Options or Unvested Options) will be immediately forfeited and cancelled on the Termination Date without the payment of any consideration.</w:t>
      </w:r>
    </w:p>
    <w:p>
      <w:pPr>
        <w:spacing w:after="0" w:line="189" w:lineRule="exact"/>
        <w:rPr>
          <w:rFonts w:ascii="Arial" w:cs="Arial" w:eastAsia="Arial" w:hAnsi="Arial"/>
          <w:sz w:val="18"/>
          <w:szCs w:val="18"/>
          <w:color w:val="auto"/>
        </w:rPr>
      </w:pPr>
    </w:p>
    <w:p>
      <w:pPr>
        <w:ind w:left="-180" w:firstLine="967"/>
        <w:spacing w:after="0" w:line="293" w:lineRule="auto"/>
        <w:tabs>
          <w:tab w:leader="none" w:pos="1611"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All Other Terminations of Service (Including Voluntary Resignation)</w:t>
      </w:r>
      <w:r>
        <w:rPr>
          <w:rFonts w:ascii="Arial" w:cs="Arial" w:eastAsia="Arial" w:hAnsi="Arial"/>
          <w:sz w:val="16"/>
          <w:szCs w:val="16"/>
          <w:color w:val="auto"/>
        </w:rPr>
        <w:t>. In the event of your Termination of Service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 other than those described in Sections 5(a) through 5(d) (including, for the avoidance of doubt, your voluntary resignation), subject to your compliance with any applicable Notice Requirements, your Options will be treated as follows: </w:t>
      </w:r>
      <w:r>
        <w:rPr>
          <w:rFonts w:ascii="Arial" w:cs="Arial" w:eastAsia="Arial" w:hAnsi="Arial"/>
          <w:sz w:val="20"/>
          <w:szCs w:val="20"/>
          <w:color w:val="auto"/>
        </w:rPr>
        <w:t>(i)</w:t>
      </w:r>
      <w:r>
        <w:rPr>
          <w:rFonts w:ascii="Arial" w:cs="Arial" w:eastAsia="Arial" w:hAnsi="Arial"/>
          <w:sz w:val="16"/>
          <w:szCs w:val="16"/>
          <w:color w:val="auto"/>
        </w:rPr>
        <w:t xml:space="preserve"> any Options that are Unvested Options on your Termination Date will be immediately forfeited and cancelled in their entirety without the payment of any consideration and </w:t>
      </w:r>
      <w:r>
        <w:rPr>
          <w:rFonts w:ascii="Arial" w:cs="Arial" w:eastAsia="Arial" w:hAnsi="Arial"/>
          <w:sz w:val="20"/>
          <w:szCs w:val="20"/>
          <w:color w:val="auto"/>
        </w:rPr>
        <w:t>(i)</w:t>
      </w:r>
      <w:r>
        <w:rPr>
          <w:rFonts w:ascii="Arial" w:cs="Arial" w:eastAsia="Arial" w:hAnsi="Arial"/>
          <w:sz w:val="16"/>
          <w:szCs w:val="16"/>
          <w:color w:val="auto"/>
        </w:rPr>
        <w:t xml:space="preserve"> any Options that</w:t>
      </w:r>
    </w:p>
    <w:p>
      <w:pPr>
        <w:spacing w:after="0" w:line="35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690245</wp:posOffset>
            </wp:positionV>
            <wp:extent cx="717804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40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78" w:name="page179"/>
    <w:bookmarkEnd w:id="178"/>
    <w:p>
      <w:pPr>
        <w:ind w:left="940" w:right="140"/>
        <w:spacing w:after="0" w:line="236" w:lineRule="auto"/>
        <w:rPr>
          <w:sz w:val="20"/>
          <w:szCs w:val="20"/>
          <w:color w:val="auto"/>
        </w:rPr>
      </w:pPr>
      <w:r>
        <w:rPr>
          <w:rFonts w:ascii="Arial" w:cs="Arial" w:eastAsia="Arial" w:hAnsi="Arial"/>
          <w:sz w:val="18"/>
          <w:szCs w:val="18"/>
          <w:color w:val="auto"/>
        </w:rPr>
        <w:t xml:space="preserve">are Vested Options on the Termination Date will remain exercisable until the earlier of </w:t>
      </w:r>
      <w:r>
        <w:rPr>
          <w:rFonts w:ascii="Arial" w:cs="Arial" w:eastAsia="Arial" w:hAnsi="Arial"/>
          <w:sz w:val="22"/>
          <w:szCs w:val="22"/>
          <w:color w:val="auto"/>
        </w:rPr>
        <w:t>(A)</w:t>
      </w:r>
      <w:r>
        <w:rPr>
          <w:rFonts w:ascii="Arial" w:cs="Arial" w:eastAsia="Arial" w:hAnsi="Arial"/>
          <w:sz w:val="18"/>
          <w:szCs w:val="18"/>
          <w:color w:val="auto"/>
        </w:rPr>
        <w:t xml:space="preserve"> 30 days following the Termination Date and </w:t>
      </w:r>
      <w:r>
        <w:rPr>
          <w:rFonts w:ascii="Arial" w:cs="Arial" w:eastAsia="Arial" w:hAnsi="Arial"/>
          <w:sz w:val="22"/>
          <w:szCs w:val="22"/>
          <w:color w:val="auto"/>
        </w:rPr>
        <w:t>(A)</w:t>
      </w:r>
      <w:r>
        <w:rPr>
          <w:rFonts w:ascii="Arial" w:cs="Arial" w:eastAsia="Arial" w:hAnsi="Arial"/>
          <w:sz w:val="18"/>
          <w:szCs w:val="18"/>
          <w:color w:val="auto"/>
        </w:rPr>
        <w:t xml:space="preserve"> the Expiration Date.</w:t>
      </w:r>
    </w:p>
    <w:p>
      <w:pPr>
        <w:spacing w:after="0" w:line="199" w:lineRule="exact"/>
        <w:rPr>
          <w:sz w:val="20"/>
          <w:szCs w:val="20"/>
          <w:color w:val="auto"/>
        </w:rPr>
      </w:pPr>
    </w:p>
    <w:p>
      <w:pPr>
        <w:ind w:left="940" w:right="20" w:firstLine="967"/>
        <w:spacing w:after="0" w:line="278" w:lineRule="auto"/>
        <w:tabs>
          <w:tab w:leader="none" w:pos="2712"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Termination of Service</w:t>
      </w:r>
      <w:r>
        <w:rPr>
          <w:rFonts w:ascii="Arial" w:cs="Arial" w:eastAsia="Arial" w:hAnsi="Arial"/>
          <w:sz w:val="16"/>
          <w:szCs w:val="16"/>
          <w:color w:val="auto"/>
        </w:rPr>
        <w:t>. Unless otherwise provided in this Section 5 or Section 6(b), your employment relationship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considered terminated as of the date you are no longer actively providing services to the Company, for any reason, regardless of whether your services were terminated by you or by the Company or your applicable employer and voluntarily or involuntarily (whether or not later found to be invalid or in breach of employment laws in the jurisdiction where you are employed or the terms of your employment agreement, if any), and such date will not be extended by any notice period (i.e., your period of service would not include any contractual notice period or any period of “garden leave” or similar period mandated under employment laws in the jurisdiction where you are employed or the terms of your employment agreement, if any). Notwithstanding anything to the contrary herein or in the Plan, the Committee shall have the exclusive discretion to determine whether and when you are no longer actively providing services for all purposes of your Options (including, without limitation, for purposes of this Section 5 and determining whether you are a Retirement Eligible Participant), including whether you may still be considered to be providing services (i) while on a leave of absence or (i)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your employment for purposes of your Options).</w:t>
      </w:r>
    </w:p>
    <w:p>
      <w:pPr>
        <w:spacing w:after="0" w:line="170" w:lineRule="exact"/>
        <w:rPr>
          <w:rFonts w:ascii="Arial" w:cs="Arial" w:eastAsia="Arial" w:hAnsi="Arial"/>
          <w:sz w:val="16"/>
          <w:szCs w:val="16"/>
          <w:color w:val="auto"/>
        </w:rPr>
      </w:pPr>
    </w:p>
    <w:p>
      <w:pPr>
        <w:ind w:left="940" w:right="460" w:firstLine="967"/>
        <w:spacing w:after="0" w:line="252" w:lineRule="auto"/>
        <w:tabs>
          <w:tab w:leader="none" w:pos="2741"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Additional Provisions. </w:t>
      </w:r>
      <w:r>
        <w:rPr>
          <w:rFonts w:ascii="Arial" w:cs="Arial" w:eastAsia="Arial" w:hAnsi="Arial"/>
          <w:sz w:val="18"/>
          <w:szCs w:val="18"/>
          <w:color w:val="auto"/>
        </w:rPr>
        <w:t>For the avoidance of doubt, your revocation of a notice of intention to resign may,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sole discretion or if required to comply with Section 409A, be deemed to be noncompliant with the Notice Requirements and, in connection with such revocation, your Options may be forfeited.</w:t>
      </w:r>
    </w:p>
    <w:p>
      <w:pPr>
        <w:spacing w:after="0" w:line="189"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Change in Control.</w:t>
      </w:r>
    </w:p>
    <w:p>
      <w:pPr>
        <w:spacing w:after="0" w:line="200" w:lineRule="exact"/>
        <w:rPr>
          <w:sz w:val="20"/>
          <w:szCs w:val="20"/>
          <w:color w:val="auto"/>
        </w:rPr>
      </w:pPr>
    </w:p>
    <w:p>
      <w:pPr>
        <w:ind w:left="940" w:firstLine="967"/>
        <w:spacing w:after="0" w:line="286" w:lineRule="auto"/>
        <w:tabs>
          <w:tab w:leader="none" w:pos="2731"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In the event of a Change in Control, the Committee, in its sole discretion, may provide for</w:t>
      </w:r>
      <w:r>
        <w:rPr>
          <w:rFonts w:ascii="Arial" w:cs="Arial" w:eastAsia="Arial" w:hAnsi="Arial"/>
          <w:sz w:val="16"/>
          <w:szCs w:val="16"/>
          <w:i w:val="1"/>
          <w:iCs w:val="1"/>
          <w:color w:val="auto"/>
        </w:rPr>
        <w:t xml:space="preserve"> </w:t>
      </w:r>
      <w:r>
        <w:rPr>
          <w:rFonts w:ascii="Arial" w:cs="Arial" w:eastAsia="Arial" w:hAnsi="Arial"/>
          <w:sz w:val="20"/>
          <w:szCs w:val="20"/>
          <w:color w:val="auto"/>
        </w:rPr>
        <w:t>(i)</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continuation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assumption of your outstanding Options under the Plan by the Company (if it is the surviving corporation) or by the surviving corporation or its parent, in which case your Options will continue to be subject to the terms of this Award Agreement, or </w:t>
      </w:r>
      <w:r>
        <w:rPr>
          <w:rFonts w:ascii="Arial" w:cs="Arial" w:eastAsia="Arial" w:hAnsi="Arial"/>
          <w:sz w:val="20"/>
          <w:szCs w:val="20"/>
          <w:color w:val="auto"/>
        </w:rPr>
        <w:t>(i)</w:t>
      </w:r>
      <w:r>
        <w:rPr>
          <w:rFonts w:ascii="Arial" w:cs="Arial" w:eastAsia="Arial" w:hAnsi="Arial"/>
          <w:sz w:val="16"/>
          <w:szCs w:val="16"/>
          <w:color w:val="auto"/>
        </w:rPr>
        <w:t xml:space="preserve"> the vesting and exercisability of outstanding Options immediately prior to such Change in Control in the event a buyer will not continue or assume the Options;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in each case, to the extent the Performance Period has not been completed as of the date of such Change in Control, the Performance Condition will be deemed to have been achieved at the greater of (x) actual achievement of the Performance Condition for the period </w:t>
      </w:r>
      <w:r>
        <w:rPr>
          <w:rFonts w:ascii="Arial" w:cs="Arial" w:eastAsia="Arial" w:hAnsi="Arial"/>
          <w:sz w:val="20"/>
          <w:szCs w:val="20"/>
          <w:color w:val="auto"/>
        </w:rPr>
        <w:t>(A)</w:t>
      </w:r>
      <w:r>
        <w:rPr>
          <w:rFonts w:ascii="Arial" w:cs="Arial" w:eastAsia="Arial" w:hAnsi="Arial"/>
          <w:sz w:val="16"/>
          <w:szCs w:val="16"/>
          <w:color w:val="auto"/>
        </w:rPr>
        <w:t xml:space="preserve"> commencing on the first date of the Performance Period and </w:t>
      </w:r>
      <w:r>
        <w:rPr>
          <w:rFonts w:ascii="Arial" w:cs="Arial" w:eastAsia="Arial" w:hAnsi="Arial"/>
          <w:sz w:val="20"/>
          <w:szCs w:val="20"/>
          <w:color w:val="auto"/>
        </w:rPr>
        <w:t>(A)</w:t>
      </w:r>
      <w:r>
        <w:rPr>
          <w:rFonts w:ascii="Arial" w:cs="Arial" w:eastAsia="Arial" w:hAnsi="Arial"/>
          <w:sz w:val="16"/>
          <w:szCs w:val="16"/>
          <w:color w:val="auto"/>
        </w:rPr>
        <w:t xml:space="preserve"> ending on the date immediately prior to such Change in Control and (y) [•].</w:t>
      </w:r>
    </w:p>
    <w:p>
      <w:pPr>
        <w:spacing w:after="0" w:line="152" w:lineRule="exact"/>
        <w:rPr>
          <w:rFonts w:ascii="Arial" w:cs="Arial" w:eastAsia="Arial" w:hAnsi="Arial"/>
          <w:sz w:val="16"/>
          <w:szCs w:val="16"/>
          <w:color w:val="auto"/>
        </w:rPr>
      </w:pPr>
    </w:p>
    <w:p>
      <w:pPr>
        <w:ind w:left="940" w:firstLine="967"/>
        <w:spacing w:after="0" w:line="290" w:lineRule="auto"/>
        <w:tabs>
          <w:tab w:leader="none" w:pos="2741"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Qualifying Termination</w:t>
      </w:r>
      <w:r>
        <w:rPr>
          <w:rFonts w:ascii="Arial" w:cs="Arial" w:eastAsia="Arial" w:hAnsi="Arial"/>
          <w:sz w:val="16"/>
          <w:szCs w:val="16"/>
          <w:color w:val="auto"/>
        </w:rPr>
        <w:t>. In the event of a Qualifying Termination (as defined below), your Options will vest and become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 “</w:t>
      </w:r>
      <w:r>
        <w:rPr>
          <w:rFonts w:ascii="Arial" w:cs="Arial" w:eastAsia="Arial" w:hAnsi="Arial"/>
          <w:sz w:val="16"/>
          <w:szCs w:val="16"/>
          <w:b w:val="1"/>
          <w:bCs w:val="1"/>
          <w:color w:val="auto"/>
        </w:rPr>
        <w:t>Qualifying Termination</w:t>
      </w:r>
      <w:r>
        <w:rPr>
          <w:rFonts w:ascii="Arial" w:cs="Arial" w:eastAsia="Arial" w:hAnsi="Arial"/>
          <w:sz w:val="16"/>
          <w:szCs w:val="16"/>
          <w:color w:val="auto"/>
        </w:rPr>
        <w:t>” means your Termination of Service by the Company (or by the surviving corporation or its parent, as applicable) without Cause or by you for Good Reason (which shall be deemed an involuntary Termination of Service without Cause), in each case within 24 months following the effective date of the Change in Control in which the Options are continued or assumed.</w:t>
      </w:r>
    </w:p>
    <w:p>
      <w:pPr>
        <w:spacing w:after="0" w:line="162" w:lineRule="exact"/>
        <w:rPr>
          <w:sz w:val="20"/>
          <w:szCs w:val="20"/>
          <w:color w:val="auto"/>
        </w:rPr>
      </w:pPr>
    </w:p>
    <w:p>
      <w:pPr>
        <w:ind w:firstLine="936"/>
        <w:spacing w:after="0" w:line="24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In consideration of the grant of Options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Award Agreement. In the event you violate any of the restrictive covenants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(a) you will immediately forfeit any unexercised Options that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40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9" w:name="page180"/>
    <w:bookmarkEnd w:id="179"/>
    <w:p>
      <w:pPr>
        <w:ind w:right="60"/>
        <w:spacing w:after="0" w:line="286" w:lineRule="auto"/>
        <w:rPr>
          <w:sz w:val="20"/>
          <w:szCs w:val="20"/>
          <w:color w:val="auto"/>
        </w:rPr>
      </w:pPr>
      <w:r>
        <w:rPr>
          <w:rFonts w:ascii="Arial" w:cs="Arial" w:eastAsia="Arial" w:hAnsi="Arial"/>
          <w:sz w:val="16"/>
          <w:szCs w:val="16"/>
          <w:color w:val="auto"/>
        </w:rPr>
        <w:t xml:space="preserve">are outstanding as of the date of such violation (regardless of whether Vested Options or Unvested Options) and (a) you will promptly deliver to the Company all Shares previously acquired upon the exercise of the Options (or, to the extent you no longer hold such Shares, you will pay to the Company an amount in cash on a gross basis equal to the excess of (i) the aggregate Fair Market Value of such Shares on the date you exercised such Options </w:t>
      </w:r>
      <w:r>
        <w:rPr>
          <w:rFonts w:ascii="Arial" w:cs="Arial" w:eastAsia="Arial" w:hAnsi="Arial"/>
          <w:sz w:val="16"/>
          <w:szCs w:val="16"/>
          <w:i w:val="1"/>
          <w:iCs w:val="1"/>
          <w:color w:val="auto"/>
        </w:rPr>
        <w:t>over</w:t>
      </w:r>
      <w:r>
        <w:rPr>
          <w:rFonts w:ascii="Arial" w:cs="Arial" w:eastAsia="Arial" w:hAnsi="Arial"/>
          <w:sz w:val="16"/>
          <w:szCs w:val="16"/>
          <w:color w:val="auto"/>
        </w:rPr>
        <w:t xml:space="preserve"> (i) the aggregate amount of any Exercise Price you paid upon the exercise of such Options). You may be required to provide MSCI with a written certification or other evidence that it deems appropriate, in its sole discretion, to confirm that you have not violated any of the restrictive covenants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6" w:lineRule="exact"/>
        <w:rPr>
          <w:sz w:val="20"/>
          <w:szCs w:val="20"/>
          <w:color w:val="auto"/>
        </w:rPr>
      </w:pPr>
    </w:p>
    <w:p>
      <w:pPr>
        <w:ind w:firstLine="936"/>
        <w:spacing w:after="0" w:line="28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Cancellation of Awards.</w:t>
      </w:r>
      <w:r>
        <w:rPr>
          <w:rFonts w:ascii="Arial" w:cs="Arial" w:eastAsia="Arial" w:hAnsi="Arial"/>
          <w:sz w:val="16"/>
          <w:szCs w:val="16"/>
          <w:color w:val="auto"/>
        </w:rPr>
        <w:t xml:space="preserve"> Notwithstanding any other terms of this Award Agreement, your unexercised Options (whether Vested Options or Unvested Options) will be forfeited and cancelled in their entirety in the event of any Cancellation Event without the payment of any consideration to you. You may be required to provide MSCI with a written certification or other evidence that it deems appropriate, in its sole discretion, to confirm that no Cancellation Event has occurred. If you fail to submit a timely certification or evidence, MSCI will cancel your Options. Except as explicitly provided in Section 5, upon a your Termination of Service for any reason, any of your Options that have not vested pursuant to Section 2 as of your Termination Date will be canceled and forfeited in full as of your Termination Date.</w:t>
      </w:r>
    </w:p>
    <w:p>
      <w:pPr>
        <w:spacing w:after="0" w:line="166" w:lineRule="exact"/>
        <w:rPr>
          <w:sz w:val="20"/>
          <w:szCs w:val="20"/>
          <w:color w:val="auto"/>
        </w:rPr>
      </w:pPr>
    </w:p>
    <w:p>
      <w:pPr>
        <w:ind w:right="40" w:firstLine="936"/>
        <w:spacing w:after="0" w:line="27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Tax Liability; Withholding Obligations.</w:t>
      </w:r>
      <w:r>
        <w:rPr>
          <w:rFonts w:ascii="Arial" w:cs="Arial" w:eastAsia="Arial" w:hAnsi="Arial"/>
          <w:sz w:val="16"/>
          <w:szCs w:val="16"/>
          <w:color w:val="auto"/>
        </w:rPr>
        <w:t xml:space="preserve"> You hereby agree and acknowledge that, regardless of any action taken by the Company, the ultimate liability for any and all applicable federal, state, local or foreign income tax, employment tax, social insurance, payroll tax, fringe benefits tax, excise tax payment on account or other tax-related items (including any penalties or interest on any of the foregoing) legally applicable to you and related to your participation in the Plan or the grant, vesting or exercise of the Options (“</w:t>
      </w:r>
      <w:r>
        <w:rPr>
          <w:rFonts w:ascii="Arial" w:cs="Arial" w:eastAsia="Arial" w:hAnsi="Arial"/>
          <w:sz w:val="16"/>
          <w:szCs w:val="16"/>
          <w:b w:val="1"/>
          <w:bCs w:val="1"/>
          <w:color w:val="auto"/>
        </w:rPr>
        <w:t>Tax-Related Items</w:t>
      </w:r>
      <w:r>
        <w:rPr>
          <w:rFonts w:ascii="Arial" w:cs="Arial" w:eastAsia="Arial" w:hAnsi="Arial"/>
          <w:sz w:val="16"/>
          <w:szCs w:val="16"/>
          <w:color w:val="auto"/>
        </w:rPr>
        <w:t>”) is and remains your responsibility (or that of your beneficiary). You further acknowledge that (a) the Company makes no representations or undertaking regarding the treatment of any Tax-Related Items in connection with any aspect of the Options, including, but not limited to, the grant, vesting or exercise of the Options and the subsequent sale of Options acquired pursuant to such exercise, (a) the Company does not commit to, and is under no obligation to, structure the terms of the grant or any aspect of the Options to reduce or eliminate your liability for Tax-Related Items or achieve any particular tax result and (a) if you are subject to Tax-Related Items in more than one jurisdiction, the Company (including any former employer) may be required to withhold or account for Tax-Related Items in more than one jurisdiction. You hereby agree to pay to the Company, including through withholding from your wages or other cash compensation paid to you by the Company, any amount of Tax-Related Items that the Company may be required to withhold or account for as a result of your participation in the Plan and the grant, vesting or exercise of the Options granted to you hereunder. You may not exercise any Options (or any portion thereof) unless and until the Tax-Related Items are satisfied.</w:t>
      </w:r>
    </w:p>
    <w:p>
      <w:pPr>
        <w:spacing w:after="0" w:line="387" w:lineRule="exact"/>
        <w:rPr>
          <w:sz w:val="20"/>
          <w:szCs w:val="20"/>
          <w:color w:val="auto"/>
        </w:rPr>
      </w:pPr>
    </w:p>
    <w:p>
      <w:pPr>
        <w:ind w:right="20" w:firstLine="936"/>
        <w:spacing w:after="0" w:line="252"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Nontransferability.</w:t>
      </w:r>
      <w:r>
        <w:rPr>
          <w:rFonts w:ascii="Arial" w:cs="Arial" w:eastAsia="Arial" w:hAnsi="Arial"/>
          <w:sz w:val="18"/>
          <w:szCs w:val="18"/>
          <w:color w:val="auto"/>
        </w:rPr>
        <w:t xml:space="preserve"> Except as provided in Section 11 or by will or the laws of descent and distribution or otherwise as provided for by the Committee, (a) you may not Transfer your Options (or any portion thereof) and (a) during your lifetime, you Options may be exercised only by you.</w:t>
      </w:r>
    </w:p>
    <w:p>
      <w:pPr>
        <w:spacing w:after="0" w:line="189" w:lineRule="exact"/>
        <w:rPr>
          <w:sz w:val="20"/>
          <w:szCs w:val="20"/>
          <w:color w:val="auto"/>
        </w:rPr>
      </w:pPr>
    </w:p>
    <w:p>
      <w:pPr>
        <w:ind w:right="80" w:firstLine="936"/>
        <w:spacing w:after="0" w:line="28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Designation of a Beneficiary</w:t>
      </w:r>
      <w:r>
        <w:rPr>
          <w:rFonts w:ascii="Arial" w:cs="Arial" w:eastAsia="Arial" w:hAnsi="Arial"/>
          <w:sz w:val="16"/>
          <w:szCs w:val="16"/>
          <w:color w:val="auto"/>
        </w:rPr>
        <w:t>. Any designation of a beneficiary or beneficiaries to receive all or part of the Options under this Award Agreement in the event of your death will be governed by local law. To make a beneficiary designation, you must coordinate with your personal tax or estate planning representative. Any Options that become vested upon your death will be distributed to your estate in accordance with local law rules. You may replace or revoke your beneficiary designation at any time. If there is any question as to the legal right of any beneficiary(ies) to receive Options under this Award, MSCI may determine in its sole discretion to deliver the Options in question to your estate. MSCI’s determination shall be binding and conclusive on all persons, and it will have no further liability to anyone with respect to such Options.</w:t>
      </w:r>
    </w:p>
    <w:p>
      <w:pPr>
        <w:spacing w:after="0" w:line="166" w:lineRule="exact"/>
        <w:rPr>
          <w:sz w:val="20"/>
          <w:szCs w:val="20"/>
          <w:color w:val="auto"/>
        </w:rPr>
      </w:pPr>
    </w:p>
    <w:p>
      <w:pPr>
        <w:ind w:right="300" w:firstLine="936"/>
        <w:spacing w:after="0" w:line="252"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Securities Law Compliance Matters.</w:t>
      </w:r>
      <w:r>
        <w:rPr>
          <w:rFonts w:ascii="Arial" w:cs="Arial" w:eastAsia="Arial" w:hAnsi="Arial"/>
          <w:sz w:val="18"/>
          <w:szCs w:val="18"/>
          <w:color w:val="auto"/>
        </w:rPr>
        <w:t xml:space="preserve"> MSCI may, if it determines it is appropriate, affix any legend to the stock certificates representing Shares issued upon exercise of your Options and any stock certificates that may subsequently be issued in substitution for the original certificates. MSCI may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41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advise the transfer agent to place a stop order against such Shares if it determines that such an order is necessary or advisable.</w:t>
      </w:r>
    </w:p>
    <w:p>
      <w:pPr>
        <w:spacing w:after="0" w:line="214" w:lineRule="exact"/>
        <w:rPr>
          <w:sz w:val="20"/>
          <w:szCs w:val="20"/>
          <w:color w:val="auto"/>
        </w:rPr>
      </w:pPr>
    </w:p>
    <w:p>
      <w:pPr>
        <w:ind w:right="120" w:firstLine="936"/>
        <w:spacing w:after="0" w:line="24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xml:space="preserve"> Any sale, assignment, transfer, pledge, mortgage, encumbrance or other disposition of Shares issued upon exercise of your Options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92"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No Entitlements.</w:t>
      </w:r>
    </w:p>
    <w:p>
      <w:pPr>
        <w:spacing w:after="0" w:line="214" w:lineRule="exact"/>
        <w:rPr>
          <w:sz w:val="20"/>
          <w:szCs w:val="20"/>
          <w:color w:val="auto"/>
        </w:rPr>
      </w:pPr>
    </w:p>
    <w:p>
      <w:pPr>
        <w:ind w:left="940" w:right="340" w:firstLine="967"/>
        <w:spacing w:after="0" w:line="261" w:lineRule="auto"/>
        <w:tabs>
          <w:tab w:leader="none" w:pos="273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No Right to Continued Employment</w:t>
      </w:r>
      <w:r>
        <w:rPr>
          <w:rFonts w:ascii="Arial" w:cs="Arial" w:eastAsia="Arial" w:hAnsi="Arial"/>
          <w:sz w:val="18"/>
          <w:szCs w:val="18"/>
          <w:color w:val="auto"/>
        </w:rPr>
        <w:t>. This Option award is not an employment agreement, and nothing in this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the Plan shall alter your status as an “at-will” employee of the Company.</w:t>
      </w:r>
    </w:p>
    <w:p>
      <w:pPr>
        <w:spacing w:after="0" w:line="180" w:lineRule="exact"/>
        <w:rPr>
          <w:rFonts w:ascii="Arial" w:cs="Arial" w:eastAsia="Arial" w:hAnsi="Arial"/>
          <w:sz w:val="18"/>
          <w:szCs w:val="18"/>
          <w:color w:val="auto"/>
        </w:rPr>
      </w:pPr>
    </w:p>
    <w:p>
      <w:pPr>
        <w:ind w:left="940" w:right="80" w:firstLine="967"/>
        <w:spacing w:after="0" w:line="290" w:lineRule="auto"/>
        <w:tabs>
          <w:tab w:leader="none" w:pos="2741"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No Right to Future Awards</w:t>
      </w:r>
      <w:r>
        <w:rPr>
          <w:rFonts w:ascii="Arial" w:cs="Arial" w:eastAsia="Arial" w:hAnsi="Arial"/>
          <w:sz w:val="16"/>
          <w:szCs w:val="16"/>
          <w:color w:val="auto"/>
        </w:rPr>
        <w:t>. This Award, and all other awards of stock options and other equity-based awards, are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discretionary. This Award does not confer on you any right or entitlement to receive another award of stock options or any other equity-based award at any time in the future or in respect of any future period. You agree that any release required under Section 5 of this Award Agreement is in exchange for the grant of options hereunder, for which you have no current entitlement.</w:t>
      </w:r>
    </w:p>
    <w:p>
      <w:pPr>
        <w:spacing w:after="0" w:line="162" w:lineRule="exact"/>
        <w:rPr>
          <w:rFonts w:ascii="Arial" w:cs="Arial" w:eastAsia="Arial" w:hAnsi="Arial"/>
          <w:sz w:val="16"/>
          <w:szCs w:val="16"/>
          <w:color w:val="auto"/>
        </w:rPr>
      </w:pPr>
    </w:p>
    <w:p>
      <w:pPr>
        <w:jc w:val="both"/>
        <w:ind w:left="940" w:right="100" w:firstLine="967"/>
        <w:spacing w:after="0" w:line="249" w:lineRule="auto"/>
        <w:tabs>
          <w:tab w:leader="none" w:pos="273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No Effect on Future Employment Compensation</w:t>
      </w:r>
      <w:r>
        <w:rPr>
          <w:rFonts w:ascii="Arial" w:cs="Arial" w:eastAsia="Arial" w:hAnsi="Arial"/>
          <w:sz w:val="18"/>
          <w:szCs w:val="18"/>
          <w:color w:val="auto"/>
        </w:rPr>
        <w:t>. MSCI has made this Award to you in its sole discretion. This Award</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confer on you any right or entitlement to 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92" w:lineRule="exact"/>
        <w:rPr>
          <w:sz w:val="20"/>
          <w:szCs w:val="20"/>
          <w:color w:val="auto"/>
        </w:rPr>
      </w:pPr>
    </w:p>
    <w:p>
      <w:pPr>
        <w:ind w:firstLine="936"/>
        <w:spacing w:after="0" w:line="299"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xml:space="preserve"> The Company is not providing any tax, legal or financial advice, nor is the Company making any recommendations regarding your participation in the Plan, your exercise of the Options or your acquisition or sale of the underlying Shares. You are hereby advised to consult with your own personal tax, legal and financial advisors regarding your participation in the Plan before taking any action related to the Plan.</w:t>
      </w:r>
    </w:p>
    <w:p>
      <w:pPr>
        <w:spacing w:after="0" w:line="154" w:lineRule="exact"/>
        <w:rPr>
          <w:sz w:val="20"/>
          <w:szCs w:val="20"/>
          <w:color w:val="auto"/>
        </w:rPr>
      </w:pPr>
    </w:p>
    <w:p>
      <w:pPr>
        <w:ind w:right="560" w:firstLine="936"/>
        <w:spacing w:after="0" w:line="261"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Consents under Local Law.</w:t>
      </w:r>
      <w:r>
        <w:rPr>
          <w:rFonts w:ascii="Arial" w:cs="Arial" w:eastAsia="Arial" w:hAnsi="Arial"/>
          <w:sz w:val="18"/>
          <w:szCs w:val="18"/>
          <w:color w:val="auto"/>
        </w:rPr>
        <w:t xml:space="preserve"> Your Award is conditioned upon the making of all filings and the receipt of all consents or authorizations required to comply with, or to be obtained under, applicable local law.</w:t>
      </w:r>
    </w:p>
    <w:p>
      <w:pPr>
        <w:spacing w:after="0" w:line="181"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Award Modification.</w:t>
      </w:r>
    </w:p>
    <w:p>
      <w:pPr>
        <w:spacing w:after="0" w:line="214" w:lineRule="exact"/>
        <w:rPr>
          <w:sz w:val="20"/>
          <w:szCs w:val="20"/>
          <w:color w:val="auto"/>
        </w:rPr>
      </w:pPr>
    </w:p>
    <w:p>
      <w:pPr>
        <w:ind w:left="940" w:firstLine="967"/>
        <w:spacing w:after="0" w:line="246" w:lineRule="auto"/>
        <w:tabs>
          <w:tab w:leader="none" w:pos="2731"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Modification. </w:t>
      </w:r>
      <w:r>
        <w:rPr>
          <w:rFonts w:ascii="Arial" w:cs="Arial" w:eastAsia="Arial" w:hAnsi="Arial"/>
          <w:sz w:val="18"/>
          <w:szCs w:val="18"/>
          <w:color w:val="auto"/>
        </w:rPr>
        <w:t>MSCI reserves the right to modify or amend unilaterally the terms and conditions of your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as set forth in this Award Agreement), without first asking your consent, or to waive any terms and conditions that operate in favor of MSCI. MSCI may not modify your Options in a manner that would materially impair your rights in your Options without your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MSCI may, without your consent, amend or modify your Options in any manner that MSCI considers necessary or advisable to</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applicable law, stock market or exchange rules and regulations or accounting or tax rules and regulations or to ensure that your Options are not subject to tax prior to exercise. MSCI will notify you of any amendment of your Options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41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1" w:name="page182"/>
    <w:bookmarkEnd w:id="181"/>
    <w:p>
      <w:pPr>
        <w:ind w:left="940"/>
        <w:spacing w:after="0"/>
        <w:rPr>
          <w:sz w:val="20"/>
          <w:szCs w:val="20"/>
          <w:color w:val="auto"/>
        </w:rPr>
      </w:pPr>
      <w:r>
        <w:rPr>
          <w:rFonts w:ascii="Arial" w:cs="Arial" w:eastAsia="Arial" w:hAnsi="Arial"/>
          <w:sz w:val="18"/>
          <w:szCs w:val="18"/>
          <w:color w:val="auto"/>
        </w:rPr>
        <w:t>Officer or the General Counsel (or if such positions no longer exist, by the holders of equivalent positions) to be effective.</w:t>
      </w:r>
    </w:p>
    <w:p>
      <w:pPr>
        <w:spacing w:after="0" w:line="214" w:lineRule="exact"/>
        <w:rPr>
          <w:sz w:val="20"/>
          <w:szCs w:val="20"/>
          <w:color w:val="auto"/>
        </w:rPr>
      </w:pPr>
    </w:p>
    <w:p>
      <w:pPr>
        <w:ind w:left="940" w:right="120" w:firstLine="967"/>
        <w:spacing w:after="0" w:line="284" w:lineRule="auto"/>
        <w:tabs>
          <w:tab w:leader="none" w:pos="2741"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You understand and agree that this Award Agreement is intended to be exempt and/or comply with</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 MSCI reserves the right to modify the terms of this Award Agreement to the extent necessary or advisable to comply with Section 409A and reserves the right to make any changes to your Option award so that it does not become subject to Section 409A.</w:t>
      </w:r>
    </w:p>
    <w:p>
      <w:pPr>
        <w:spacing w:after="0" w:line="166" w:lineRule="exact"/>
        <w:rPr>
          <w:sz w:val="20"/>
          <w:szCs w:val="20"/>
          <w:color w:val="auto"/>
        </w:rPr>
      </w:pPr>
    </w:p>
    <w:p>
      <w:pPr>
        <w:ind w:right="100" w:firstLine="936"/>
        <w:spacing w:after="0" w:line="24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In the event MSCI determines that any provision of this Award Agreement would cause you to be in constructive receipt for United States federal or state income tax purposes of any portion of your award, then such provision will be considered null and void, and this Award Agreement will be construed and enforced as if the provision had not been included in this Award Agreement as of the date such provision was determined to cause you to be in constructive receipt of any portion of your Award.</w:t>
      </w:r>
    </w:p>
    <w:p>
      <w:pPr>
        <w:spacing w:after="0" w:line="192" w:lineRule="exact"/>
        <w:rPr>
          <w:sz w:val="20"/>
          <w:szCs w:val="20"/>
          <w:color w:val="auto"/>
        </w:rPr>
      </w:pPr>
    </w:p>
    <w:p>
      <w:pPr>
        <w:ind w:right="500" w:firstLine="936"/>
        <w:spacing w:after="0" w:line="261"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This Award Agreement shall be binding upon and inure to the benefit of any successor or successors of the Company and your heirs, legal representatives and permitted assigns.</w:t>
      </w:r>
    </w:p>
    <w:p>
      <w:pPr>
        <w:spacing w:after="0" w:line="181" w:lineRule="exact"/>
        <w:rPr>
          <w:sz w:val="20"/>
          <w:szCs w:val="20"/>
          <w:color w:val="auto"/>
        </w:rPr>
      </w:pPr>
    </w:p>
    <w:p>
      <w:pPr>
        <w:ind w:right="20" w:firstLine="936"/>
        <w:spacing w:after="0" w:line="24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xml:space="preserve"> This Award Agreement and the related legal relations between you and the Company will be governed by and construed in accordance with the laws of the State of Delaware, without regard to any conflicts or choice of law, rule or principle that might otherwise refer the interpretation of the award to the substantive law of another jurisdiction. For purposes of litigating any dispute that arises under this grant or the Award Agreement,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94" w:lineRule="exact"/>
        <w:rPr>
          <w:sz w:val="20"/>
          <w:szCs w:val="20"/>
          <w:color w:val="auto"/>
        </w:rPr>
      </w:pPr>
    </w:p>
    <w:p>
      <w:pPr>
        <w:ind w:right="120" w:firstLine="936"/>
        <w:spacing w:after="0" w:line="290"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Non-U.S. Participants.</w:t>
      </w:r>
      <w:r>
        <w:rPr>
          <w:rFonts w:ascii="Arial" w:cs="Arial" w:eastAsia="Arial" w:hAnsi="Arial"/>
          <w:sz w:val="16"/>
          <w:szCs w:val="16"/>
          <w:color w:val="auto"/>
        </w:rPr>
        <w:t xml:space="preserve">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62" w:lineRule="exact"/>
        <w:rPr>
          <w:sz w:val="20"/>
          <w:szCs w:val="20"/>
          <w:color w:val="auto"/>
        </w:rPr>
      </w:pPr>
    </w:p>
    <w:p>
      <w:pPr>
        <w:ind w:left="940" w:firstLine="967"/>
        <w:spacing w:after="0" w:line="281" w:lineRule="auto"/>
        <w:tabs>
          <w:tab w:leader="none" w:pos="2731"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Tax and Other Withholding Obligations. </w:t>
      </w:r>
      <w:r>
        <w:rPr>
          <w:rFonts w:ascii="Arial" w:cs="Arial" w:eastAsia="Arial" w:hAnsi="Arial"/>
          <w:sz w:val="16"/>
          <w:szCs w:val="16"/>
          <w:color w:val="auto"/>
        </w:rPr>
        <w:t>If the obligation for Tax-Related Items is satisfied by withholding in Shares, for</w:t>
      </w:r>
      <w:r>
        <w:rPr>
          <w:rFonts w:ascii="Arial" w:cs="Arial" w:eastAsia="Arial" w:hAnsi="Arial"/>
          <w:sz w:val="16"/>
          <w:szCs w:val="16"/>
          <w:i w:val="1"/>
          <w:iCs w:val="1"/>
          <w:color w:val="auto"/>
        </w:rPr>
        <w:t xml:space="preserve"> </w:t>
      </w:r>
      <w:r>
        <w:rPr>
          <w:rFonts w:ascii="Arial" w:cs="Arial" w:eastAsia="Arial" w:hAnsi="Arial"/>
          <w:sz w:val="16"/>
          <w:szCs w:val="16"/>
          <w:color w:val="auto"/>
        </w:rPr>
        <w:t>tax purposes, you are deemed to have been issued the full number of Shares subject to the Options on exercise, notwithstanding that a number of the Shares are held back solely for the purpose of paying the Tax-Related Items. In the event that withholding in and/or tendering Shares is problematic under applicable tax or securities law or has materially adverse accounting consequences, by your acceptance of the Options,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maximum applicable rates, in which case you will receive a refund of any over-withheld amount in cash and will have no entitlement to the stock equivalent.</w:t>
      </w:r>
    </w:p>
    <w:p>
      <w:pPr>
        <w:spacing w:after="0" w:line="169" w:lineRule="exact"/>
        <w:rPr>
          <w:rFonts w:ascii="Arial" w:cs="Arial" w:eastAsia="Arial" w:hAnsi="Arial"/>
          <w:sz w:val="16"/>
          <w:szCs w:val="16"/>
          <w:color w:val="auto"/>
        </w:rPr>
      </w:pPr>
    </w:p>
    <w:p>
      <w:pPr>
        <w:ind w:left="2740" w:hanging="833"/>
        <w:spacing w:after="0"/>
        <w:tabs>
          <w:tab w:leader="none" w:pos="274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Nature of Grant</w:t>
      </w:r>
      <w:r>
        <w:rPr>
          <w:rFonts w:ascii="Arial" w:cs="Arial" w:eastAsia="Arial" w:hAnsi="Arial"/>
          <w:sz w:val="18"/>
          <w:szCs w:val="18"/>
          <w:color w:val="auto"/>
        </w:rPr>
        <w:t>. In accepting the Options, you acknowledge, understand and agree that: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41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82" w:name="page183"/>
    <w:bookmarkEnd w:id="182"/>
    <w:p>
      <w:pPr>
        <w:ind w:left="760" w:right="320" w:firstLine="778"/>
        <w:spacing w:after="0" w:line="261" w:lineRule="auto"/>
        <w:tabs>
          <w:tab w:leader="none" w:pos="23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Plan is established voluntarily by MSCI, it is discretionary in nature and it may be modified, amended, suspended or terminated by MSCI at any time, to the extent permitted by the Plan;</w:t>
      </w:r>
    </w:p>
    <w:p>
      <w:pPr>
        <w:spacing w:after="0" w:line="180" w:lineRule="exact"/>
        <w:rPr>
          <w:rFonts w:ascii="Arial" w:cs="Arial" w:eastAsia="Arial" w:hAnsi="Arial"/>
          <w:sz w:val="18"/>
          <w:szCs w:val="18"/>
          <w:color w:val="auto"/>
        </w:rPr>
      </w:pPr>
    </w:p>
    <w:p>
      <w:pPr>
        <w:jc w:val="both"/>
        <w:ind w:left="760" w:right="60" w:firstLine="778"/>
        <w:spacing w:after="0" w:line="252" w:lineRule="auto"/>
        <w:tabs>
          <w:tab w:leader="none" w:pos="23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Option Award is not an employment or service agreement, and nothing in this Award Agreement or your participation in the Plan shall create a right to continued employment with the Company or interfere with the ability of the Company to terminate your employment or service relationship (if any);</w:t>
      </w:r>
    </w:p>
    <w:p>
      <w:pPr>
        <w:spacing w:after="0" w:line="189" w:lineRule="exact"/>
        <w:rPr>
          <w:rFonts w:ascii="Arial" w:cs="Arial" w:eastAsia="Arial" w:hAnsi="Arial"/>
          <w:sz w:val="18"/>
          <w:szCs w:val="18"/>
          <w:color w:val="auto"/>
        </w:rPr>
      </w:pPr>
    </w:p>
    <w:p>
      <w:pPr>
        <w:ind w:left="760" w:right="60" w:firstLine="778"/>
        <w:spacing w:after="0" w:line="286" w:lineRule="auto"/>
        <w:tabs>
          <w:tab w:leader="none" w:pos="243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this Award, and all other awards of stock options and other equity-based awards, are discretionary, voluntary and occasional. This Award does not confer on you any contractual or other right or entitlement to receive another award of stock options, any other equity-based award or benefits in lieu of stock options at any time in the future or in respect of any future period. You agree that any release required under Section 5 of this Award Agreement is in exchange for the grant of Options hereunder, for which you have no current entitlement.</w:t>
      </w:r>
    </w:p>
    <w:p>
      <w:pPr>
        <w:spacing w:after="0" w:line="165" w:lineRule="exact"/>
        <w:rPr>
          <w:rFonts w:ascii="Arial" w:cs="Arial" w:eastAsia="Arial" w:hAnsi="Arial"/>
          <w:sz w:val="16"/>
          <w:szCs w:val="16"/>
          <w:color w:val="auto"/>
        </w:rPr>
      </w:pPr>
    </w:p>
    <w:p>
      <w:pPr>
        <w:ind w:left="760" w:right="100" w:firstLine="778"/>
        <w:spacing w:after="0" w:line="261" w:lineRule="auto"/>
        <w:tabs>
          <w:tab w:leader="none" w:pos="24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MSCI has made this award to you in its sole discretion. All decisions with respect to future stock options or other grants, if any, will be at the sole discretion of MSCI;</w:t>
      </w:r>
    </w:p>
    <w:p>
      <w:pPr>
        <w:spacing w:after="0" w:line="180" w:lineRule="exact"/>
        <w:rPr>
          <w:rFonts w:ascii="Arial" w:cs="Arial" w:eastAsia="Arial" w:hAnsi="Arial"/>
          <w:sz w:val="18"/>
          <w:szCs w:val="18"/>
          <w:color w:val="auto"/>
        </w:rPr>
      </w:pPr>
    </w:p>
    <w:p>
      <w:pPr>
        <w:ind w:left="2380" w:hanging="842"/>
        <w:spacing w:after="0"/>
        <w:tabs>
          <w:tab w:leader="none" w:pos="2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13" w:lineRule="exact"/>
        <w:rPr>
          <w:rFonts w:ascii="Arial" w:cs="Arial" w:eastAsia="Arial" w:hAnsi="Arial"/>
          <w:sz w:val="18"/>
          <w:szCs w:val="18"/>
          <w:color w:val="auto"/>
        </w:rPr>
      </w:pPr>
    </w:p>
    <w:p>
      <w:pPr>
        <w:ind w:left="2420" w:hanging="882"/>
        <w:spacing w:after="0"/>
        <w:tabs>
          <w:tab w:leader="none" w:pos="24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grant of Options and the Shares subject to the Options are not intended to replace any pension rights or</w:t>
      </w:r>
    </w:p>
    <w:p>
      <w:pPr>
        <w:spacing w:after="0" w:line="38"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compensation;</w:t>
      </w:r>
    </w:p>
    <w:p>
      <w:pPr>
        <w:spacing w:after="0" w:line="201" w:lineRule="exact"/>
        <w:rPr>
          <w:rFonts w:ascii="Arial" w:cs="Arial" w:eastAsia="Arial" w:hAnsi="Arial"/>
          <w:sz w:val="16"/>
          <w:szCs w:val="16"/>
          <w:color w:val="auto"/>
        </w:rPr>
      </w:pPr>
    </w:p>
    <w:p>
      <w:pPr>
        <w:ind w:left="2480" w:hanging="942"/>
        <w:spacing w:after="0"/>
        <w:tabs>
          <w:tab w:leader="none" w:pos="24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this Award does not confer on you any right or entitlement to receive compensation in any specific</w:t>
      </w:r>
    </w:p>
    <w:p>
      <w:pPr>
        <w:spacing w:after="0" w:line="38" w:lineRule="exact"/>
        <w:rPr>
          <w:sz w:val="20"/>
          <w:szCs w:val="20"/>
          <w:color w:val="auto"/>
        </w:rPr>
      </w:pPr>
    </w:p>
    <w:p>
      <w:pPr>
        <w:ind w:left="760" w:right="20"/>
        <w:spacing w:after="0" w:line="290" w:lineRule="auto"/>
        <w:rPr>
          <w:sz w:val="20"/>
          <w:szCs w:val="20"/>
          <w:color w:val="auto"/>
        </w:rPr>
      </w:pPr>
      <w:r>
        <w:rPr>
          <w:rFonts w:ascii="Arial" w:cs="Arial" w:eastAsia="Arial" w:hAnsi="Arial"/>
          <w:sz w:val="15"/>
          <w:szCs w:val="15"/>
          <w:color w:val="auto"/>
        </w:rPr>
        <w:t>amount. In addition, the Options and the Shares subject to the Options, and the income from and value of the same, are not part of normal or expected compensation for purposes of calculating any severance, resignation, termination, redundancy, dismissal, end-of-</w:t>
      </w:r>
    </w:p>
    <w:p>
      <w:pPr>
        <w:spacing w:after="0" w:line="1" w:lineRule="exact"/>
        <w:rPr>
          <w:sz w:val="20"/>
          <w:szCs w:val="20"/>
          <w:color w:val="auto"/>
        </w:rPr>
      </w:pPr>
    </w:p>
    <w:p>
      <w:pPr>
        <w:ind w:left="760" w:right="80"/>
        <w:spacing w:after="0" w:line="257" w:lineRule="auto"/>
        <w:rPr>
          <w:sz w:val="20"/>
          <w:szCs w:val="20"/>
          <w:color w:val="auto"/>
        </w:rPr>
      </w:pPr>
      <w:r>
        <w:rPr>
          <w:rFonts w:ascii="Arial" w:cs="Arial" w:eastAsia="Arial" w:hAnsi="Arial"/>
          <w:sz w:val="18"/>
          <w:szCs w:val="18"/>
          <w:color w:val="auto"/>
        </w:rPr>
        <w:t>service payments, bonuses, long-service awards, holiday pay, pension or retirement or welfare benefits or similar payments</w:t>
      </w:r>
      <w:r>
        <w:rPr>
          <w:rFonts w:ascii="Arial" w:cs="Arial" w:eastAsia="Arial" w:hAnsi="Arial"/>
          <w:sz w:val="21"/>
          <w:szCs w:val="21"/>
          <w:color w:val="auto"/>
        </w:rPr>
        <w:t>, and in</w:t>
      </w:r>
      <w:r>
        <w:rPr>
          <w:rFonts w:ascii="Arial" w:cs="Arial" w:eastAsia="Arial" w:hAnsi="Arial"/>
          <w:sz w:val="18"/>
          <w:szCs w:val="18"/>
          <w:color w:val="auto"/>
        </w:rPr>
        <w:t xml:space="preserve"> </w:t>
      </w:r>
      <w:r>
        <w:rPr>
          <w:rFonts w:ascii="Arial" w:cs="Arial" w:eastAsia="Arial" w:hAnsi="Arial"/>
          <w:sz w:val="21"/>
          <w:szCs w:val="21"/>
          <w:color w:val="auto"/>
        </w:rPr>
        <w:t>no event should be considered as compensation for, or relating in any way to, past services for the Company, the employer, or any Subsidiary</w:t>
      </w:r>
      <w:r>
        <w:rPr>
          <w:rFonts w:ascii="Arial" w:cs="Arial" w:eastAsia="Arial" w:hAnsi="Arial"/>
          <w:sz w:val="17"/>
          <w:szCs w:val="17"/>
          <w:color w:val="auto"/>
        </w:rPr>
        <w:t>;</w:t>
      </w:r>
    </w:p>
    <w:p>
      <w:pPr>
        <w:spacing w:after="0" w:line="172" w:lineRule="exact"/>
        <w:rPr>
          <w:sz w:val="20"/>
          <w:szCs w:val="20"/>
          <w:color w:val="auto"/>
        </w:rPr>
      </w:pPr>
    </w:p>
    <w:p>
      <w:pPr>
        <w:ind w:left="760" w:firstLine="778"/>
        <w:spacing w:after="0" w:line="252" w:lineRule="auto"/>
        <w:tabs>
          <w:tab w:leader="none" w:pos="252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unless otherwise agreed with MSCI, the Options and the Shares subject to the Options, and the income from and value of the same, are not granted as consideration for, or in connection with, the service you may provide as a director of a Subsidiary;</w:t>
      </w:r>
    </w:p>
    <w:p>
      <w:pPr>
        <w:spacing w:after="0" w:line="189" w:lineRule="exact"/>
        <w:rPr>
          <w:rFonts w:ascii="Arial" w:cs="Arial" w:eastAsia="Arial" w:hAnsi="Arial"/>
          <w:sz w:val="18"/>
          <w:szCs w:val="18"/>
          <w:color w:val="auto"/>
        </w:rPr>
      </w:pPr>
    </w:p>
    <w:p>
      <w:pPr>
        <w:ind w:left="2420" w:hanging="882"/>
        <w:spacing w:after="0"/>
        <w:tabs>
          <w:tab w:leader="none" w:pos="2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future value of the underlying Shares is unknown, indeterminable and cannot be predicted with certainty;</w:t>
      </w:r>
    </w:p>
    <w:p>
      <w:pPr>
        <w:spacing w:after="0" w:line="232" w:lineRule="exact"/>
        <w:rPr>
          <w:rFonts w:ascii="Arial" w:cs="Arial" w:eastAsia="Arial" w:hAnsi="Arial"/>
          <w:sz w:val="16"/>
          <w:szCs w:val="16"/>
          <w:color w:val="auto"/>
        </w:rPr>
      </w:pPr>
    </w:p>
    <w:p>
      <w:pPr>
        <w:ind w:left="760" w:right="80" w:firstLine="778"/>
        <w:spacing w:after="0" w:line="275" w:lineRule="auto"/>
        <w:tabs>
          <w:tab w:leader="none" w:pos="2375" w:val="left"/>
        </w:tabs>
        <w:numPr>
          <w:ilvl w:val="0"/>
          <w:numId w:val="125"/>
        </w:numPr>
        <w:rPr>
          <w:rFonts w:ascii="Arial" w:cs="Arial" w:eastAsia="Arial" w:hAnsi="Arial"/>
          <w:sz w:val="18"/>
          <w:szCs w:val="18"/>
          <w:color w:val="auto"/>
        </w:rPr>
      </w:pPr>
      <w:r>
        <w:rPr>
          <w:rFonts w:ascii="Arial" w:cs="Arial" w:eastAsia="Arial" w:hAnsi="Arial"/>
          <w:sz w:val="19"/>
          <w:szCs w:val="19"/>
          <w:color w:val="auto"/>
        </w:rPr>
        <w:t>if you exercise the Option and obtain Shares, the value of those Shares acquired upon exercise may increase or decrease in value, even below the Exercise Price;</w:t>
      </w:r>
    </w:p>
    <w:p>
      <w:pPr>
        <w:spacing w:after="0" w:line="160" w:lineRule="exact"/>
        <w:rPr>
          <w:rFonts w:ascii="Arial" w:cs="Arial" w:eastAsia="Arial" w:hAnsi="Arial"/>
          <w:sz w:val="18"/>
          <w:szCs w:val="18"/>
          <w:color w:val="auto"/>
        </w:rPr>
      </w:pPr>
    </w:p>
    <w:p>
      <w:pPr>
        <w:jc w:val="both"/>
        <w:ind w:left="760" w:right="80" w:firstLine="778"/>
        <w:spacing w:after="0" w:line="299" w:lineRule="auto"/>
        <w:tabs>
          <w:tab w:leader="none" w:pos="242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53" w:lineRule="exact"/>
        <w:rPr>
          <w:rFonts w:ascii="Arial" w:cs="Arial" w:eastAsia="Arial" w:hAnsi="Arial"/>
          <w:sz w:val="16"/>
          <w:szCs w:val="16"/>
          <w:color w:val="auto"/>
        </w:rPr>
      </w:pPr>
    </w:p>
    <w:p>
      <w:pPr>
        <w:jc w:val="both"/>
        <w:ind w:left="760" w:right="200" w:firstLine="778"/>
        <w:spacing w:after="0" w:line="252" w:lineRule="auto"/>
        <w:tabs>
          <w:tab w:leader="none" w:pos="24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acknowledge and agree that the Company shall not be liable for any foreign exchange rate fluctuation between your local currency and the U.S. Dollar that may affect the value of the Options or of any amounts due to you pursuant to the</w:t>
      </w:r>
    </w:p>
    <w:p>
      <w:pPr>
        <w:spacing w:after="0" w:line="39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690245</wp:posOffset>
            </wp:positionV>
            <wp:extent cx="717804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1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100"/>
          </w:cols>
          <w:pgMar w:left="1440" w:top="548" w:right="359" w:bottom="1440" w:gutter="0" w:footer="0" w:header="0"/>
        </w:sectPr>
      </w:pPr>
    </w:p>
    <w:bookmarkStart w:id="183" w:name="page184"/>
    <w:bookmarkEnd w:id="183"/>
    <w:p>
      <w:pPr>
        <w:ind w:left="1880"/>
        <w:spacing w:after="0"/>
        <w:rPr>
          <w:sz w:val="20"/>
          <w:szCs w:val="20"/>
          <w:color w:val="auto"/>
        </w:rPr>
      </w:pPr>
      <w:r>
        <w:rPr>
          <w:rFonts w:ascii="Arial" w:cs="Arial" w:eastAsia="Arial" w:hAnsi="Arial"/>
          <w:sz w:val="18"/>
          <w:szCs w:val="18"/>
          <w:color w:val="auto"/>
        </w:rPr>
        <w:t>exercise of the Options or the subsequent sale of any Shares of Common Stock acquired upon exercise.</w:t>
      </w:r>
    </w:p>
    <w:p>
      <w:pPr>
        <w:spacing w:after="0" w:line="214" w:lineRule="exact"/>
        <w:rPr>
          <w:sz w:val="20"/>
          <w:szCs w:val="20"/>
          <w:color w:val="auto"/>
        </w:rPr>
      </w:pPr>
    </w:p>
    <w:p>
      <w:pPr>
        <w:ind w:left="940" w:right="20" w:firstLine="967"/>
        <w:spacing w:after="0" w:line="248" w:lineRule="auto"/>
        <w:tabs>
          <w:tab w:leader="none" w:pos="2731"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Retirement Treatment</w:t>
      </w:r>
      <w:r>
        <w:rPr>
          <w:rFonts w:ascii="Arial" w:cs="Arial" w:eastAsia="Arial" w:hAnsi="Arial"/>
          <w:sz w:val="18"/>
          <w:szCs w:val="18"/>
          <w:color w:val="auto"/>
        </w:rPr>
        <w:t>. Notwithstanding anything to the contrary in this Section 21(c) of this Award Agreement,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receives a legal opinion that there has been a legal judgment and/or legal development in your jurisdiction that likely would result in the favorable treatment that applies to the Options in the event of your retirement being deemed unlawful and/or discriminatory, the provisions of Section 5 of this Award Agreement regarding the treatment of the Options in the event of your Retirement Termination shall not be applicable to you.</w:t>
      </w:r>
    </w:p>
    <w:p>
      <w:pPr>
        <w:spacing w:after="0" w:line="192" w:lineRule="exact"/>
        <w:rPr>
          <w:rFonts w:ascii="Arial" w:cs="Arial" w:eastAsia="Arial" w:hAnsi="Arial"/>
          <w:sz w:val="18"/>
          <w:szCs w:val="18"/>
          <w:color w:val="auto"/>
        </w:rPr>
      </w:pPr>
    </w:p>
    <w:p>
      <w:pPr>
        <w:ind w:left="2740" w:hanging="833"/>
        <w:spacing w:after="0"/>
        <w:tabs>
          <w:tab w:leader="none" w:pos="27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Data Privacy.</w:t>
      </w:r>
    </w:p>
    <w:p>
      <w:pPr>
        <w:spacing w:after="0" w:line="214" w:lineRule="exact"/>
        <w:rPr>
          <w:sz w:val="20"/>
          <w:szCs w:val="20"/>
          <w:color w:val="auto"/>
        </w:rPr>
      </w:pPr>
    </w:p>
    <w:p>
      <w:pPr>
        <w:ind w:right="60" w:firstLine="936"/>
        <w:spacing w:after="0" w:line="252" w:lineRule="auto"/>
        <w:rPr>
          <w:sz w:val="20"/>
          <w:szCs w:val="20"/>
          <w:color w:val="auto"/>
        </w:rPr>
      </w:pPr>
      <w:r>
        <w:rPr>
          <w:rFonts w:ascii="Arial" w:cs="Arial" w:eastAsia="Arial" w:hAnsi="Arial"/>
          <w:sz w:val="18"/>
          <w:szCs w:val="18"/>
          <w:b w:val="1"/>
          <w:bCs w:val="1"/>
          <w:i w:val="1"/>
          <w:iCs w:val="1"/>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89" w:lineRule="exact"/>
        <w:rPr>
          <w:sz w:val="20"/>
          <w:szCs w:val="20"/>
          <w:color w:val="auto"/>
        </w:rPr>
      </w:pPr>
    </w:p>
    <w:p>
      <w:pPr>
        <w:jc w:val="both"/>
        <w:ind w:left="1880" w:right="360" w:firstLine="778"/>
        <w:spacing w:after="0" w:line="252" w:lineRule="auto"/>
        <w:tabs>
          <w:tab w:leader="none" w:pos="345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89" w:lineRule="exact"/>
        <w:rPr>
          <w:rFonts w:ascii="Arial" w:cs="Arial" w:eastAsia="Arial" w:hAnsi="Arial"/>
          <w:sz w:val="18"/>
          <w:szCs w:val="18"/>
          <w:color w:val="auto"/>
        </w:rPr>
      </w:pPr>
    </w:p>
    <w:p>
      <w:pPr>
        <w:ind w:left="1880" w:right="240" w:firstLine="778"/>
        <w:spacing w:after="0" w:line="252" w:lineRule="auto"/>
        <w:tabs>
          <w:tab w:leader="none" w:pos="350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89" w:lineRule="exact"/>
        <w:rPr>
          <w:rFonts w:ascii="Arial" w:cs="Arial" w:eastAsia="Arial" w:hAnsi="Arial"/>
          <w:sz w:val="18"/>
          <w:szCs w:val="18"/>
          <w:color w:val="auto"/>
        </w:rPr>
      </w:pPr>
    </w:p>
    <w:p>
      <w:pPr>
        <w:ind w:left="940" w:firstLine="967"/>
        <w:spacing w:after="0" w:line="284" w:lineRule="auto"/>
        <w:tabs>
          <w:tab w:leader="none" w:pos="2731"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Language</w:t>
      </w:r>
      <w:r>
        <w:rPr>
          <w:rFonts w:ascii="Arial" w:cs="Arial" w:eastAsia="Arial" w:hAnsi="Arial"/>
          <w:sz w:val="16"/>
          <w:szCs w:val="16"/>
          <w:color w:val="auto"/>
        </w:rPr>
        <w:t>. If you are a resident in a country where English is not an official language, you acknowledge that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sufficiently proficient in English to understand the terms and conditions of the Award Agreement or have had the ability to consult with an advisor who is sufficiently proficient in the English language. You further acknowledge and agree that it is your express intent that the Award Agreement,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the Plan and all other documents, notices and legal proceedings entered into, given or instituted pursuant to the Options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65" w:lineRule="exact"/>
        <w:rPr>
          <w:rFonts w:ascii="Arial" w:cs="Arial" w:eastAsia="Arial" w:hAnsi="Arial"/>
          <w:sz w:val="16"/>
          <w:szCs w:val="16"/>
          <w:color w:val="auto"/>
        </w:rPr>
      </w:pPr>
    </w:p>
    <w:p>
      <w:pPr>
        <w:ind w:left="940" w:firstLine="967"/>
        <w:spacing w:after="0" w:line="299" w:lineRule="auto"/>
        <w:tabs>
          <w:tab w:leader="none" w:pos="2712"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Electronic Delivery and Acceptance</w:t>
      </w:r>
      <w:r>
        <w:rPr>
          <w:rFonts w:ascii="Arial" w:cs="Arial" w:eastAsia="Arial" w:hAnsi="Arial"/>
          <w:sz w:val="16"/>
          <w:szCs w:val="16"/>
          <w:color w:val="auto"/>
        </w:rPr>
        <w:t>. MSCI may, in its sole discretion, decide to deliver any documents related to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or future participation in the Plan by electronic means. You hereby consent to receive such documents by electronic delivery and agree to participate in the Plan through an online or electronic system established and maintained by MSCI or a third party designated by MSCI.</w:t>
      </w:r>
    </w:p>
    <w:p>
      <w:pPr>
        <w:spacing w:after="0" w:line="153" w:lineRule="exact"/>
        <w:rPr>
          <w:rFonts w:ascii="Arial" w:cs="Arial" w:eastAsia="Arial" w:hAnsi="Arial"/>
          <w:sz w:val="16"/>
          <w:szCs w:val="16"/>
          <w:color w:val="auto"/>
        </w:rPr>
      </w:pPr>
    </w:p>
    <w:p>
      <w:pPr>
        <w:ind w:left="940" w:right="180" w:firstLine="967"/>
        <w:spacing w:after="0" w:line="290" w:lineRule="auto"/>
        <w:tabs>
          <w:tab w:leader="none" w:pos="2741"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Exhibit C</w:t>
      </w:r>
      <w:r>
        <w:rPr>
          <w:rFonts w:ascii="Arial" w:cs="Arial" w:eastAsia="Arial" w:hAnsi="Arial"/>
          <w:sz w:val="16"/>
          <w:szCs w:val="16"/>
          <w:color w:val="auto"/>
        </w:rPr>
        <w:t>. Notwithstanding any provisions in this Award Agreement, the Options shall be subject to any special terms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conditions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this Award Agreement for your country. Moreover, if you relocate to one of the countries included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special terms and conditions for such country will apply to you, to the extent MSCI determines that the application of such terms and conditions is necessary or advisable for legal or administrative reasons.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constitutes part of this Award Agreement.</w:t>
      </w:r>
    </w:p>
    <w:p>
      <w:pPr>
        <w:spacing w:after="0" w:line="162" w:lineRule="exact"/>
        <w:rPr>
          <w:rFonts w:ascii="Arial" w:cs="Arial" w:eastAsia="Arial" w:hAnsi="Arial"/>
          <w:sz w:val="16"/>
          <w:szCs w:val="16"/>
          <w:color w:val="auto"/>
        </w:rPr>
      </w:pPr>
    </w:p>
    <w:p>
      <w:pPr>
        <w:ind w:left="940" w:right="40" w:firstLine="967"/>
        <w:spacing w:after="0" w:line="249" w:lineRule="auto"/>
        <w:tabs>
          <w:tab w:leader="none" w:pos="2741"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Insider Trading Restrictions/Market Abuse Laws</w:t>
      </w:r>
      <w:r>
        <w:rPr>
          <w:rFonts w:ascii="Arial" w:cs="Arial" w:eastAsia="Arial" w:hAnsi="Arial"/>
          <w:sz w:val="18"/>
          <w:szCs w:val="18"/>
          <w:color w:val="auto"/>
        </w:rPr>
        <w:t>. By accepting the Options, you acknowledge that you are bound by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any MSCI insider 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41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4" w:name="page185"/>
    <w:bookmarkEnd w:id="184"/>
    <w:p>
      <w:pPr>
        <w:ind w:left="940" w:right="460"/>
        <w:spacing w:after="0" w:line="277" w:lineRule="auto"/>
        <w:rPr>
          <w:sz w:val="20"/>
          <w:szCs w:val="20"/>
          <w:color w:val="auto"/>
        </w:rPr>
      </w:pPr>
      <w:r>
        <w:rPr>
          <w:rFonts w:ascii="Arial" w:cs="Arial" w:eastAsia="Arial" w:hAnsi="Arial"/>
          <w:sz w:val="16"/>
          <w:szCs w:val="16"/>
          <w:color w:val="auto"/>
        </w:rPr>
        <w:t>Shares, rights to Shares or rights linked to the value of Shares (e.g.,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w:t>
      </w:r>
    </w:p>
    <w:p>
      <w:pPr>
        <w:ind w:left="940"/>
        <w:spacing w:after="0"/>
        <w:rPr>
          <w:sz w:val="20"/>
          <w:szCs w:val="20"/>
          <w:color w:val="auto"/>
        </w:rPr>
      </w:pPr>
      <w:r>
        <w:rPr>
          <w:rFonts w:ascii="Arial" w:cs="Arial" w:eastAsia="Arial" w:hAnsi="Arial"/>
          <w:sz w:val="16"/>
          <w:szCs w:val="16"/>
          <w:color w:val="auto"/>
        </w:rPr>
        <w:t xml:space="preserve">information. Furthermore, you may be prohibited from </w:t>
      </w:r>
      <w:r>
        <w:rPr>
          <w:rFonts w:ascii="Arial" w:cs="Arial" w:eastAsia="Arial" w:hAnsi="Arial"/>
          <w:sz w:val="20"/>
          <w:szCs w:val="20"/>
          <w:color w:val="auto"/>
        </w:rPr>
        <w:t>(i)</w:t>
      </w:r>
      <w:r>
        <w:rPr>
          <w:rFonts w:ascii="Arial" w:cs="Arial" w:eastAsia="Arial" w:hAnsi="Arial"/>
          <w:sz w:val="16"/>
          <w:szCs w:val="16"/>
          <w:color w:val="auto"/>
        </w:rPr>
        <w:t xml:space="preserve"> disclosing the inside information to any third party (other than on a “need to know”</w:t>
      </w:r>
    </w:p>
    <w:p>
      <w:pPr>
        <w:spacing w:after="0" w:line="33" w:lineRule="exact"/>
        <w:rPr>
          <w:sz w:val="20"/>
          <w:szCs w:val="20"/>
          <w:color w:val="auto"/>
        </w:rPr>
      </w:pPr>
    </w:p>
    <w:p>
      <w:pPr>
        <w:ind w:left="940" w:right="120"/>
        <w:spacing w:after="0" w:line="249" w:lineRule="auto"/>
        <w:rPr>
          <w:sz w:val="20"/>
          <w:szCs w:val="20"/>
          <w:color w:val="auto"/>
        </w:rPr>
      </w:pPr>
      <w:r>
        <w:rPr>
          <w:rFonts w:ascii="Arial" w:cs="Arial" w:eastAsia="Arial" w:hAnsi="Arial"/>
          <w:sz w:val="18"/>
          <w:szCs w:val="18"/>
          <w:color w:val="auto"/>
        </w:rPr>
        <w:t xml:space="preserve">basis) and </w:t>
      </w:r>
      <w:r>
        <w:rPr>
          <w:rFonts w:ascii="Arial" w:cs="Arial" w:eastAsia="Arial" w:hAnsi="Arial"/>
          <w:sz w:val="22"/>
          <w:szCs w:val="22"/>
          <w:color w:val="auto"/>
        </w:rPr>
        <w:t>(i)</w:t>
      </w:r>
      <w:r>
        <w:rPr>
          <w:rFonts w:ascii="Arial" w:cs="Arial" w:eastAsia="Arial" w:hAnsi="Arial"/>
          <w:sz w:val="18"/>
          <w:szCs w:val="18"/>
          <w:color w:val="auto"/>
        </w:rPr>
        <w:t xml:space="preserve">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91" w:lineRule="exact"/>
        <w:rPr>
          <w:sz w:val="20"/>
          <w:szCs w:val="20"/>
          <w:color w:val="auto"/>
        </w:rPr>
      </w:pPr>
    </w:p>
    <w:p>
      <w:pPr>
        <w:ind w:left="940" w:right="60" w:firstLine="967"/>
        <w:spacing w:after="0" w:line="246" w:lineRule="auto"/>
        <w:tabs>
          <w:tab w:leader="none" w:pos="2702"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Foreign Asset/Account, Exchange Control Reporting</w:t>
      </w:r>
      <w:r>
        <w:rPr>
          <w:rFonts w:ascii="Arial" w:cs="Arial" w:eastAsia="Arial" w:hAnsi="Arial"/>
          <w:sz w:val="18"/>
          <w:szCs w:val="18"/>
          <w:color w:val="auto"/>
        </w:rPr>
        <w:t>. Your country may have certain exchange control and/or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asset/account reporting requirements which 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40"/>
        <w:spacing w:after="0"/>
        <w:tabs>
          <w:tab w:leader="none" w:pos="23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 xml:space="preserve">Defined Terms. </w:t>
      </w:r>
      <w:r>
        <w:rPr>
          <w:rFonts w:ascii="Arial" w:cs="Arial" w:eastAsia="Arial" w:hAnsi="Arial"/>
          <w:sz w:val="16"/>
          <w:szCs w:val="16"/>
          <w:color w:val="auto"/>
        </w:rPr>
        <w:t>For purposes of this Award Agreement, the following terms shall have the meanings set forth below:</w:t>
      </w:r>
    </w:p>
    <w:p>
      <w:pPr>
        <w:spacing w:after="0" w:line="208"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55/10 Retirement Eligibility</w:t>
      </w:r>
      <w:r>
        <w:rPr>
          <w:rFonts w:ascii="Arial" w:cs="Arial" w:eastAsia="Arial" w:hAnsi="Arial"/>
          <w:sz w:val="18"/>
          <w:szCs w:val="18"/>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88"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55/10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5(b)) on or after the date that you attain 55/10 Retirement Eligibility.</w:t>
      </w:r>
    </w:p>
    <w:p>
      <w:pPr>
        <w:spacing w:after="0" w:line="179" w:lineRule="exact"/>
        <w:rPr>
          <w:sz w:val="20"/>
          <w:szCs w:val="20"/>
          <w:color w:val="auto"/>
        </w:rPr>
      </w:pPr>
    </w:p>
    <w:p>
      <w:pPr>
        <w:jc w:val="both"/>
        <w:ind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62/10 Retirement Eligibility</w:t>
      </w:r>
      <w:r>
        <w:rPr>
          <w:rFonts w:ascii="Arial" w:cs="Arial" w:eastAsia="Arial" w:hAnsi="Arial"/>
          <w:sz w:val="18"/>
          <w:szCs w:val="18"/>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88"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62/10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5(b)(ii)) on or after the date that you attain 62/10 Retirement Eligibility.</w:t>
      </w:r>
    </w:p>
    <w:p>
      <w:pPr>
        <w:spacing w:after="0" w:line="1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Cancellation Event</w:t>
      </w:r>
      <w:r>
        <w:rPr>
          <w:rFonts w:ascii="Arial" w:cs="Arial" w:eastAsia="Arial" w:hAnsi="Arial"/>
          <w:sz w:val="18"/>
          <w:szCs w:val="18"/>
          <w:color w:val="auto"/>
        </w:rPr>
        <w:t>” will be deemed to have occurred under any one of the following circumstances: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41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85" w:name="page186"/>
    <w:bookmarkEnd w:id="185"/>
    <w:tbl>
      <w:tblPr>
        <w:tblLayout w:type="fixed"/>
        <w:tblInd w:w="8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(a)</w:t>
            </w:r>
          </w:p>
        </w:tc>
        <w:tc>
          <w:tcPr>
            <w:tcW w:w="10560" w:type="dxa"/>
            <w:vAlign w:val="bottom"/>
            <w:gridSpan w:val="3"/>
          </w:tcPr>
          <w:p>
            <w:pPr>
              <w:ind w:left="1180"/>
              <w:spacing w:after="0"/>
              <w:rPr>
                <w:sz w:val="20"/>
                <w:szCs w:val="20"/>
                <w:color w:val="auto"/>
              </w:rPr>
            </w:pPr>
            <w:r>
              <w:rPr>
                <w:rFonts w:ascii="Arial" w:cs="Arial" w:eastAsia="Arial" w:hAnsi="Arial"/>
                <w:sz w:val="18"/>
                <w:szCs w:val="18"/>
                <w:color w:val="auto"/>
                <w:w w:val="91"/>
              </w:rPr>
              <w:t>misuse of Confidential Information (as defined in Exhibit B to this Award Agreement) or the failure to comply with your obligations</w:t>
            </w:r>
          </w:p>
        </w:tc>
      </w:tr>
      <w:tr>
        <w:trPr>
          <w:trHeight w:val="20"/>
        </w:trPr>
        <w:tc>
          <w:tcPr>
            <w:tcW w:w="5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29"/>
        </w:trPr>
        <w:tc>
          <w:tcPr>
            <w:tcW w:w="540" w:type="dxa"/>
            <w:vAlign w:val="bottom"/>
          </w:tcPr>
          <w:p>
            <w:pPr>
              <w:spacing w:after="0"/>
              <w:rPr>
                <w:sz w:val="19"/>
                <w:szCs w:val="19"/>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under MSCI’s Code of Conduct or otherwise with respect to Confidential Information;</w:t>
            </w:r>
          </w:p>
        </w:tc>
      </w:tr>
      <w:tr>
        <w:trPr>
          <w:trHeight w:val="409"/>
        </w:trPr>
        <w:tc>
          <w:tcPr>
            <w:tcW w:w="540" w:type="dxa"/>
            <w:vAlign w:val="bottom"/>
          </w:tcPr>
          <w:p>
            <w:pPr>
              <w:spacing w:after="0"/>
              <w:rPr>
                <w:sz w:val="20"/>
                <w:szCs w:val="20"/>
                <w:color w:val="auto"/>
              </w:rPr>
            </w:pPr>
            <w:r>
              <w:rPr>
                <w:rFonts w:ascii="Arial" w:cs="Arial" w:eastAsia="Arial" w:hAnsi="Arial"/>
                <w:sz w:val="18"/>
                <w:szCs w:val="18"/>
                <w:color w:val="auto"/>
              </w:rPr>
              <w:t>(b)</w:t>
            </w:r>
          </w:p>
        </w:tc>
        <w:tc>
          <w:tcPr>
            <w:tcW w:w="10560" w:type="dxa"/>
            <w:vAlign w:val="bottom"/>
            <w:gridSpan w:val="3"/>
          </w:tcPr>
          <w:p>
            <w:pPr>
              <w:ind w:left="1180"/>
              <w:spacing w:after="0"/>
              <w:rPr>
                <w:sz w:val="20"/>
                <w:szCs w:val="20"/>
                <w:color w:val="auto"/>
              </w:rPr>
            </w:pPr>
            <w:r>
              <w:rPr>
                <w:rFonts w:ascii="Arial" w:cs="Arial" w:eastAsia="Arial" w:hAnsi="Arial"/>
                <w:sz w:val="18"/>
                <w:szCs w:val="18"/>
                <w:color w:val="auto"/>
                <w:w w:val="88"/>
              </w:rPr>
              <w:t xml:space="preserve">termination from the Company for Cause (or a later determination that you could have been terminated for Cause; </w:t>
            </w:r>
            <w:r>
              <w:rPr>
                <w:rFonts w:ascii="Arial" w:cs="Arial" w:eastAsia="Arial" w:hAnsi="Arial"/>
                <w:sz w:val="18"/>
                <w:szCs w:val="18"/>
                <w:i w:val="1"/>
                <w:iCs w:val="1"/>
                <w:color w:val="auto"/>
                <w:w w:val="88"/>
              </w:rPr>
              <w:t>provided</w:t>
            </w:r>
            <w:r>
              <w:rPr>
                <w:rFonts w:ascii="Arial" w:cs="Arial" w:eastAsia="Arial" w:hAnsi="Arial"/>
                <w:sz w:val="18"/>
                <w:szCs w:val="18"/>
                <w:color w:val="auto"/>
                <w:w w:val="88"/>
              </w:rPr>
              <w:t xml:space="preserve"> that such</w:t>
            </w:r>
          </w:p>
        </w:tc>
      </w:tr>
      <w:tr>
        <w:trPr>
          <w:trHeight w:val="222"/>
        </w:trPr>
        <w:tc>
          <w:tcPr>
            <w:tcW w:w="540" w:type="dxa"/>
            <w:vAlign w:val="bottom"/>
          </w:tcPr>
          <w:p>
            <w:pPr>
              <w:spacing w:after="0"/>
              <w:rPr>
                <w:sz w:val="19"/>
                <w:szCs w:val="19"/>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determination is made within six months of termination);</w:t>
            </w:r>
          </w:p>
        </w:tc>
      </w:tr>
      <w:tr>
        <w:trPr>
          <w:trHeight w:val="409"/>
        </w:trPr>
        <w:tc>
          <w:tcPr>
            <w:tcW w:w="540" w:type="dxa"/>
            <w:vAlign w:val="bottom"/>
          </w:tcPr>
          <w:p>
            <w:pPr>
              <w:spacing w:after="0"/>
              <w:rPr>
                <w:sz w:val="20"/>
                <w:szCs w:val="20"/>
                <w:color w:val="auto"/>
              </w:rPr>
            </w:pPr>
            <w:r>
              <w:rPr>
                <w:rFonts w:ascii="Arial" w:cs="Arial" w:eastAsia="Arial" w:hAnsi="Arial"/>
                <w:sz w:val="18"/>
                <w:szCs w:val="18"/>
                <w:color w:val="auto"/>
              </w:rPr>
              <w:t>(c)</w:t>
            </w:r>
          </w:p>
        </w:tc>
        <w:tc>
          <w:tcPr>
            <w:tcW w:w="10560" w:type="dxa"/>
            <w:vAlign w:val="bottom"/>
            <w:gridSpan w:val="3"/>
          </w:tcPr>
          <w:p>
            <w:pPr>
              <w:ind w:left="1180"/>
              <w:spacing w:after="0"/>
              <w:rPr>
                <w:sz w:val="20"/>
                <w:szCs w:val="20"/>
                <w:color w:val="auto"/>
              </w:rPr>
            </w:pPr>
            <w:r>
              <w:rPr>
                <w:rFonts w:ascii="Arial" w:cs="Arial" w:eastAsia="Arial" w:hAnsi="Arial"/>
                <w:sz w:val="18"/>
                <w:szCs w:val="18"/>
                <w:color w:val="auto"/>
                <w:w w:val="89"/>
              </w:rPr>
              <w:t>your commission of a fraudulent act or participation in misconduct which leads to a material restatement of the Company’s financial</w:t>
            </w:r>
          </w:p>
        </w:tc>
      </w:tr>
      <w:tr>
        <w:trPr>
          <w:trHeight w:val="222"/>
        </w:trPr>
        <w:tc>
          <w:tcPr>
            <w:tcW w:w="540" w:type="dxa"/>
            <w:vAlign w:val="bottom"/>
          </w:tcPr>
          <w:p>
            <w:pPr>
              <w:spacing w:after="0"/>
              <w:rPr>
                <w:sz w:val="19"/>
                <w:szCs w:val="19"/>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statements; or</w:t>
            </w:r>
          </w:p>
        </w:tc>
      </w:tr>
      <w:tr>
        <w:trPr>
          <w:trHeight w:val="421"/>
        </w:trPr>
        <w:tc>
          <w:tcPr>
            <w:tcW w:w="540" w:type="dxa"/>
            <w:vAlign w:val="bottom"/>
          </w:tcPr>
          <w:p>
            <w:pPr>
              <w:spacing w:after="0"/>
              <w:rPr>
                <w:sz w:val="20"/>
                <w:szCs w:val="20"/>
                <w:color w:val="auto"/>
              </w:rPr>
            </w:pPr>
            <w:r>
              <w:rPr>
                <w:rFonts w:ascii="Arial" w:cs="Arial" w:eastAsia="Arial" w:hAnsi="Arial"/>
                <w:sz w:val="18"/>
                <w:szCs w:val="18"/>
                <w:color w:val="auto"/>
              </w:rPr>
              <w:t>(d)</w:t>
            </w:r>
          </w:p>
        </w:tc>
        <w:tc>
          <w:tcPr>
            <w:tcW w:w="10560" w:type="dxa"/>
            <w:vAlign w:val="bottom"/>
            <w:gridSpan w:val="3"/>
          </w:tcPr>
          <w:p>
            <w:pPr>
              <w:ind w:left="1180"/>
              <w:spacing w:after="0"/>
              <w:rPr>
                <w:sz w:val="20"/>
                <w:szCs w:val="20"/>
                <w:color w:val="auto"/>
              </w:rPr>
            </w:pPr>
            <w:r>
              <w:rPr>
                <w:rFonts w:ascii="Arial" w:cs="Arial" w:eastAsia="Arial" w:hAnsi="Arial"/>
                <w:sz w:val="18"/>
                <w:szCs w:val="18"/>
                <w:color w:val="auto"/>
              </w:rPr>
              <w:t>failure to affirmatively accept the terms of this Award Agreement by [•].</w:t>
            </w:r>
          </w:p>
        </w:tc>
      </w:tr>
      <w:tr>
        <w:trPr>
          <w:trHeight w:val="421"/>
        </w:trPr>
        <w:tc>
          <w:tcPr>
            <w:tcW w:w="540" w:type="dxa"/>
            <w:vAlign w:val="bottom"/>
          </w:tcPr>
          <w:p>
            <w:pPr>
              <w:spacing w:after="0"/>
              <w:rPr>
                <w:sz w:val="24"/>
                <w:szCs w:val="24"/>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w:t>
            </w:r>
          </w:p>
        </w:tc>
      </w:tr>
      <w:tr>
        <w:trPr>
          <w:trHeight w:val="409"/>
        </w:trPr>
        <w:tc>
          <w:tcPr>
            <w:tcW w:w="540" w:type="dxa"/>
            <w:vAlign w:val="bottom"/>
          </w:tcPr>
          <w:p>
            <w:pPr>
              <w:spacing w:after="0"/>
              <w:rPr>
                <w:sz w:val="20"/>
                <w:szCs w:val="20"/>
                <w:color w:val="auto"/>
              </w:rPr>
            </w:pPr>
            <w:r>
              <w:rPr>
                <w:rFonts w:ascii="Arial" w:cs="Arial" w:eastAsia="Arial" w:hAnsi="Arial"/>
                <w:sz w:val="18"/>
                <w:szCs w:val="18"/>
                <w:color w:val="auto"/>
              </w:rPr>
              <w:t>(a)</w:t>
            </w:r>
          </w:p>
        </w:tc>
        <w:tc>
          <w:tcPr>
            <w:tcW w:w="10560" w:type="dxa"/>
            <w:vAlign w:val="bottom"/>
            <w:gridSpan w:val="3"/>
          </w:tcPr>
          <w:p>
            <w:pPr>
              <w:ind w:left="1180"/>
              <w:spacing w:after="0"/>
              <w:rPr>
                <w:sz w:val="20"/>
                <w:szCs w:val="20"/>
                <w:color w:val="auto"/>
              </w:rPr>
            </w:pPr>
            <w:r>
              <w:rPr>
                <w:rFonts w:ascii="Arial" w:cs="Arial" w:eastAsia="Arial" w:hAnsi="Arial"/>
                <w:sz w:val="18"/>
                <w:szCs w:val="18"/>
                <w:color w:val="auto"/>
                <w:w w:val="93"/>
              </w:rPr>
              <w:t>any act or omission which constitutes a material willful breach of your obligations to the Company or your continued and willful</w:t>
            </w:r>
          </w:p>
        </w:tc>
      </w:tr>
      <w:tr>
        <w:trPr>
          <w:trHeight w:val="210"/>
        </w:trPr>
        <w:tc>
          <w:tcPr>
            <w:tcW w:w="540" w:type="dxa"/>
            <w:vAlign w:val="bottom"/>
          </w:tcPr>
          <w:p>
            <w:pPr>
              <w:spacing w:after="0"/>
              <w:rPr>
                <w:sz w:val="18"/>
                <w:szCs w:val="18"/>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w w:val="91"/>
              </w:rPr>
              <w:t>refusal to substantially perform satisfactorily any duties reasonably required of you, which results in material injury to the interest or business</w:t>
            </w:r>
          </w:p>
        </w:tc>
      </w:tr>
      <w:tr>
        <w:trPr>
          <w:trHeight w:val="210"/>
        </w:trPr>
        <w:tc>
          <w:tcPr>
            <w:tcW w:w="540" w:type="dxa"/>
            <w:vAlign w:val="bottom"/>
          </w:tcPr>
          <w:p>
            <w:pPr>
              <w:spacing w:after="0"/>
              <w:rPr>
                <w:sz w:val="18"/>
                <w:szCs w:val="18"/>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w w:val="89"/>
              </w:rPr>
              <w:t>reputation of the Company and which breach, failure or refusal (if susceptible to cure) is not corrected (other than failure to correct by reason of</w:t>
            </w:r>
          </w:p>
        </w:tc>
      </w:tr>
      <w:tr>
        <w:trPr>
          <w:trHeight w:val="210"/>
        </w:trPr>
        <w:tc>
          <w:tcPr>
            <w:tcW w:w="540" w:type="dxa"/>
            <w:vAlign w:val="bottom"/>
          </w:tcPr>
          <w:p>
            <w:pPr>
              <w:spacing w:after="0"/>
              <w:rPr>
                <w:sz w:val="18"/>
                <w:szCs w:val="18"/>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w w:val="89"/>
              </w:rPr>
              <w:t xml:space="preserve">your incapacity due to physical or mental illness) within 30 days after written notification thereof to you by the Company; </w:t>
            </w:r>
            <w:r>
              <w:rPr>
                <w:rFonts w:ascii="Arial" w:cs="Arial" w:eastAsia="Arial" w:hAnsi="Arial"/>
                <w:sz w:val="18"/>
                <w:szCs w:val="18"/>
                <w:i w:val="1"/>
                <w:iCs w:val="1"/>
                <w:color w:val="auto"/>
                <w:w w:val="89"/>
              </w:rPr>
              <w:t>provided</w:t>
            </w:r>
            <w:r>
              <w:rPr>
                <w:rFonts w:ascii="Arial" w:cs="Arial" w:eastAsia="Arial" w:hAnsi="Arial"/>
                <w:sz w:val="18"/>
                <w:szCs w:val="18"/>
                <w:color w:val="auto"/>
                <w:w w:val="89"/>
              </w:rPr>
              <w:t xml:space="preserve"> that no act or</w:t>
            </w:r>
          </w:p>
        </w:tc>
      </w:tr>
      <w:tr>
        <w:trPr>
          <w:trHeight w:val="210"/>
        </w:trPr>
        <w:tc>
          <w:tcPr>
            <w:tcW w:w="540" w:type="dxa"/>
            <w:vAlign w:val="bottom"/>
          </w:tcPr>
          <w:p>
            <w:pPr>
              <w:spacing w:after="0"/>
              <w:rPr>
                <w:sz w:val="18"/>
                <w:szCs w:val="18"/>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w w:val="90"/>
              </w:rPr>
              <w:t>failure to act on your part shall be deemed willful unless done or omitted to be done by you not in good faith and without reasonable belief that</w:t>
            </w:r>
          </w:p>
        </w:tc>
      </w:tr>
      <w:tr>
        <w:trPr>
          <w:trHeight w:val="222"/>
        </w:trPr>
        <w:tc>
          <w:tcPr>
            <w:tcW w:w="540" w:type="dxa"/>
            <w:vAlign w:val="bottom"/>
          </w:tcPr>
          <w:p>
            <w:pPr>
              <w:spacing w:after="0"/>
              <w:rPr>
                <w:sz w:val="19"/>
                <w:szCs w:val="19"/>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your action or omission was in the best interest of the Company;</w:t>
            </w:r>
          </w:p>
        </w:tc>
      </w:tr>
      <w:tr>
        <w:trPr>
          <w:trHeight w:val="409"/>
        </w:trPr>
        <w:tc>
          <w:tcPr>
            <w:tcW w:w="540" w:type="dxa"/>
            <w:vAlign w:val="bottom"/>
          </w:tcPr>
          <w:p>
            <w:pPr>
              <w:spacing w:after="0"/>
              <w:rPr>
                <w:sz w:val="20"/>
                <w:szCs w:val="20"/>
                <w:color w:val="auto"/>
              </w:rPr>
            </w:pPr>
            <w:r>
              <w:rPr>
                <w:rFonts w:ascii="Arial" w:cs="Arial" w:eastAsia="Arial" w:hAnsi="Arial"/>
                <w:sz w:val="18"/>
                <w:szCs w:val="18"/>
                <w:color w:val="auto"/>
              </w:rPr>
              <w:t>(b)</w:t>
            </w:r>
          </w:p>
        </w:tc>
        <w:tc>
          <w:tcPr>
            <w:tcW w:w="10560" w:type="dxa"/>
            <w:vAlign w:val="bottom"/>
            <w:gridSpan w:val="3"/>
          </w:tcPr>
          <w:p>
            <w:pPr>
              <w:ind w:left="1180"/>
              <w:spacing w:after="0"/>
              <w:rPr>
                <w:sz w:val="20"/>
                <w:szCs w:val="20"/>
                <w:color w:val="auto"/>
              </w:rPr>
            </w:pPr>
            <w:r>
              <w:rPr>
                <w:rFonts w:ascii="Arial" w:cs="Arial" w:eastAsia="Arial" w:hAnsi="Arial"/>
                <w:sz w:val="18"/>
                <w:szCs w:val="18"/>
                <w:color w:val="auto"/>
                <w:w w:val="89"/>
              </w:rPr>
              <w:t>your commission of any dishonest or fraudulent act, or any other act or omission with respect to the Company, which has caused or</w:t>
            </w:r>
          </w:p>
        </w:tc>
      </w:tr>
      <w:tr>
        <w:trPr>
          <w:trHeight w:val="210"/>
        </w:trPr>
        <w:tc>
          <w:tcPr>
            <w:tcW w:w="540" w:type="dxa"/>
            <w:vAlign w:val="bottom"/>
          </w:tcPr>
          <w:p>
            <w:pPr>
              <w:spacing w:after="0"/>
              <w:rPr>
                <w:sz w:val="18"/>
                <w:szCs w:val="18"/>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w w:val="90"/>
              </w:rPr>
              <w:t>may reasonably be expected to cause a material injury to the interest or business reputation of the Company and which act or omission is not</w:t>
            </w:r>
          </w:p>
        </w:tc>
      </w:tr>
      <w:tr>
        <w:trPr>
          <w:trHeight w:val="222"/>
        </w:trPr>
        <w:tc>
          <w:tcPr>
            <w:tcW w:w="540" w:type="dxa"/>
            <w:vAlign w:val="bottom"/>
          </w:tcPr>
          <w:p>
            <w:pPr>
              <w:spacing w:after="0"/>
              <w:rPr>
                <w:sz w:val="19"/>
                <w:szCs w:val="19"/>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successfully refuted by you within 30 days after written notification thereof to you by the Company;</w:t>
            </w:r>
          </w:p>
        </w:tc>
      </w:tr>
      <w:tr>
        <w:trPr>
          <w:trHeight w:val="409"/>
        </w:trPr>
        <w:tc>
          <w:tcPr>
            <w:tcW w:w="540" w:type="dxa"/>
            <w:vAlign w:val="bottom"/>
          </w:tcPr>
          <w:p>
            <w:pPr>
              <w:spacing w:after="0"/>
              <w:rPr>
                <w:sz w:val="20"/>
                <w:szCs w:val="20"/>
                <w:color w:val="auto"/>
              </w:rPr>
            </w:pPr>
            <w:r>
              <w:rPr>
                <w:rFonts w:ascii="Arial" w:cs="Arial" w:eastAsia="Arial" w:hAnsi="Arial"/>
                <w:sz w:val="18"/>
                <w:szCs w:val="18"/>
                <w:color w:val="auto"/>
              </w:rPr>
              <w:t>(c)</w:t>
            </w:r>
          </w:p>
        </w:tc>
        <w:tc>
          <w:tcPr>
            <w:tcW w:w="10560" w:type="dxa"/>
            <w:vAlign w:val="bottom"/>
            <w:gridSpan w:val="3"/>
          </w:tcPr>
          <w:p>
            <w:pPr>
              <w:ind w:left="1180"/>
              <w:spacing w:after="0"/>
              <w:rPr>
                <w:sz w:val="20"/>
                <w:szCs w:val="20"/>
                <w:color w:val="auto"/>
              </w:rPr>
            </w:pPr>
            <w:r>
              <w:rPr>
                <w:rFonts w:ascii="Arial" w:cs="Arial" w:eastAsia="Arial" w:hAnsi="Arial"/>
                <w:sz w:val="18"/>
                <w:szCs w:val="18"/>
                <w:color w:val="auto"/>
                <w:w w:val="88"/>
              </w:rPr>
              <w:t xml:space="preserve">your plea of guilty or </w:t>
            </w:r>
            <w:r>
              <w:rPr>
                <w:rFonts w:ascii="Arial" w:cs="Arial" w:eastAsia="Arial" w:hAnsi="Arial"/>
                <w:sz w:val="18"/>
                <w:szCs w:val="18"/>
                <w:i w:val="1"/>
                <w:iCs w:val="1"/>
                <w:color w:val="auto"/>
                <w:w w:val="88"/>
              </w:rPr>
              <w:t>nolo contendere</w:t>
            </w:r>
            <w:r>
              <w:rPr>
                <w:rFonts w:ascii="Arial" w:cs="Arial" w:eastAsia="Arial" w:hAnsi="Arial"/>
                <w:sz w:val="18"/>
                <w:szCs w:val="18"/>
                <w:color w:val="auto"/>
                <w:w w:val="88"/>
              </w:rPr>
              <w:t xml:space="preserve"> to or conviction of a felony under the laws of the United States or any state thereof or any other</w:t>
            </w:r>
          </w:p>
        </w:tc>
      </w:tr>
      <w:tr>
        <w:trPr>
          <w:trHeight w:val="222"/>
        </w:trPr>
        <w:tc>
          <w:tcPr>
            <w:tcW w:w="540" w:type="dxa"/>
            <w:vAlign w:val="bottom"/>
          </w:tcPr>
          <w:p>
            <w:pPr>
              <w:spacing w:after="0"/>
              <w:rPr>
                <w:sz w:val="19"/>
                <w:szCs w:val="19"/>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plea or confession of a similar crime in a jurisdiction in which the Company conducts business; or</w:t>
            </w:r>
          </w:p>
        </w:tc>
      </w:tr>
      <w:tr>
        <w:trPr>
          <w:trHeight w:val="409"/>
        </w:trPr>
        <w:tc>
          <w:tcPr>
            <w:tcW w:w="540" w:type="dxa"/>
            <w:vAlign w:val="bottom"/>
          </w:tcPr>
          <w:p>
            <w:pPr>
              <w:spacing w:after="0"/>
              <w:rPr>
                <w:sz w:val="20"/>
                <w:szCs w:val="20"/>
                <w:color w:val="auto"/>
              </w:rPr>
            </w:pPr>
            <w:r>
              <w:rPr>
                <w:rFonts w:ascii="Arial" w:cs="Arial" w:eastAsia="Arial" w:hAnsi="Arial"/>
                <w:sz w:val="18"/>
                <w:szCs w:val="18"/>
                <w:color w:val="auto"/>
              </w:rPr>
              <w:t>(d)</w:t>
            </w:r>
          </w:p>
        </w:tc>
        <w:tc>
          <w:tcPr>
            <w:tcW w:w="10560" w:type="dxa"/>
            <w:vAlign w:val="bottom"/>
            <w:gridSpan w:val="3"/>
          </w:tcPr>
          <w:p>
            <w:pPr>
              <w:ind w:left="1180"/>
              <w:spacing w:after="0"/>
              <w:rPr>
                <w:sz w:val="20"/>
                <w:szCs w:val="20"/>
                <w:color w:val="auto"/>
              </w:rPr>
            </w:pPr>
            <w:r>
              <w:rPr>
                <w:rFonts w:ascii="Arial" w:cs="Arial" w:eastAsia="Arial" w:hAnsi="Arial"/>
                <w:sz w:val="18"/>
                <w:szCs w:val="18"/>
                <w:color w:val="auto"/>
                <w:w w:val="89"/>
              </w:rPr>
              <w:t>your commission of a fraudulent act or participation in misconduct which leads to a material restatement of the Company’s financial</w:t>
            </w:r>
          </w:p>
        </w:tc>
      </w:tr>
      <w:tr>
        <w:trPr>
          <w:trHeight w:val="222"/>
        </w:trPr>
        <w:tc>
          <w:tcPr>
            <w:tcW w:w="540" w:type="dxa"/>
            <w:vAlign w:val="bottom"/>
          </w:tcPr>
          <w:p>
            <w:pPr>
              <w:spacing w:after="0"/>
              <w:rPr>
                <w:sz w:val="19"/>
                <w:szCs w:val="19"/>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statements.</w:t>
            </w:r>
          </w:p>
        </w:tc>
      </w:tr>
      <w:tr>
        <w:trPr>
          <w:trHeight w:val="421"/>
        </w:trPr>
        <w:tc>
          <w:tcPr>
            <w:tcW w:w="540" w:type="dxa"/>
            <w:vAlign w:val="bottom"/>
          </w:tcPr>
          <w:p>
            <w:pPr>
              <w:spacing w:after="0"/>
              <w:rPr>
                <w:sz w:val="24"/>
                <w:szCs w:val="24"/>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tc>
      </w:tr>
    </w:tbl>
    <w:p>
      <w:pPr>
        <w:spacing w:after="0" w:line="192" w:lineRule="exact"/>
        <w:rPr>
          <w:sz w:val="20"/>
          <w:szCs w:val="20"/>
          <w:color w:val="auto"/>
        </w:rPr>
      </w:pPr>
    </w:p>
    <w:p>
      <w:pPr>
        <w:ind w:firstLine="93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xml:space="preserve">” has the meaning ascribed to such term in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 Head of Compensation and Benefits.</w:t>
      </w:r>
    </w:p>
    <w:p>
      <w:pPr>
        <w:spacing w:after="0" w:line="144" w:lineRule="exact"/>
        <w:rPr>
          <w:sz w:val="20"/>
          <w:szCs w:val="20"/>
          <w:color w:val="auto"/>
        </w:rPr>
      </w:pPr>
    </w:p>
    <w:p>
      <w:pPr>
        <w:ind w:right="60" w:firstLine="936"/>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the occurrence of any of the following without your prior written consent: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41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186" w:name="page187"/>
    <w:bookmarkEnd w:id="186"/>
    <w:p>
      <w:pPr>
        <w:jc w:val="both"/>
        <w:ind w:left="940" w:hanging="855"/>
        <w:spacing w:after="0" w:line="299" w:lineRule="auto"/>
        <w:tabs>
          <w:tab w:leader="none" w:pos="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54" w:lineRule="exact"/>
        <w:rPr>
          <w:sz w:val="20"/>
          <w:szCs w:val="20"/>
          <w:color w:val="auto"/>
        </w:rPr>
      </w:pPr>
    </w:p>
    <w:p>
      <w:pPr>
        <w:jc w:val="both"/>
        <w:ind w:left="940" w:hanging="855"/>
        <w:spacing w:after="0" w:line="279" w:lineRule="auto"/>
        <w:tabs>
          <w:tab w:leader="none" w:pos="9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Arial" w:cs="Arial" w:eastAsia="Arial" w:hAnsi="Arial"/>
          <w:sz w:val="16"/>
          <w:szCs w:val="16"/>
          <w:b w:val="1"/>
          <w:bCs w:val="1"/>
          <w:color w:val="auto"/>
        </w:rPr>
        <w:t>Equity Value</w:t>
      </w:r>
      <w:r>
        <w:rPr>
          <w:rFonts w:ascii="Arial" w:cs="Arial" w:eastAsia="Arial" w:hAnsi="Arial"/>
          <w:sz w:val="16"/>
          <w:szCs w:val="16"/>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ectPr>
          <w:pgSz w:w="11900" w:h="16838" w:orient="portrait"/>
          <w:cols w:equalWidth="0" w:num="1">
            <w:col w:w="11240"/>
          </w:cols>
          <w:pgMar w:left="320" w:top="337" w:right="339" w:bottom="1440" w:gutter="0" w:footer="0" w:header="0"/>
        </w:sectPr>
      </w:pP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 relocation of more than 25 miles from the location of your principal job or office location prior to a Change in Control; or</w:t>
      </w:r>
    </w:p>
    <w:p>
      <w:pPr>
        <w:spacing w:after="0" w:line="200"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left="940" w:hanging="855"/>
        <w:spacing w:after="0" w:line="261" w:lineRule="auto"/>
        <w:tabs>
          <w:tab w:leader="none" w:pos="9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any other action or inaction that constitutes a material breach by the Company of any agreement pursuant to which you provide services to the Company;</w:t>
      </w:r>
    </w:p>
    <w:p>
      <w:pPr>
        <w:sectPr>
          <w:pgSz w:w="11900" w:h="16838" w:orient="portrait"/>
          <w:cols w:equalWidth="0" w:num="1">
            <w:col w:w="11240"/>
          </w:cols>
          <w:pgMar w:left="320" w:top="337" w:right="339" w:bottom="1440" w:gutter="0" w:footer="0" w:header="0"/>
          <w:type w:val="continuous"/>
        </w:sectPr>
      </w:pPr>
    </w:p>
    <w:p>
      <w:pPr>
        <w:spacing w:after="0" w:line="181" w:lineRule="exact"/>
        <w:rPr>
          <w:sz w:val="20"/>
          <w:szCs w:val="20"/>
          <w:color w:val="auto"/>
        </w:rPr>
      </w:pPr>
    </w:p>
    <w:p>
      <w:pPr>
        <w:jc w:val="both"/>
        <w:ind w:firstLine="936"/>
        <w:spacing w:after="0" w:line="24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Good Reason shall not be deemed to exist unless (x) you provide the Company with written notice of your intent to terminate your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Good Reason within 90 days of your becoming 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 days following receipt of such notice and (z) you actually resign from employment with the Company within 60 days after the expiration of the cure period descried in clause (y).</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Retirement Eligibility</w:t>
      </w:r>
      <w:r>
        <w:rPr>
          <w:rFonts w:ascii="Arial" w:cs="Arial" w:eastAsia="Arial" w:hAnsi="Arial"/>
          <w:sz w:val="18"/>
          <w:szCs w:val="18"/>
          <w:color w:val="auto"/>
        </w:rPr>
        <w:t>” means your attainment, at any time on or prior to February 7, 2019, of any of the following criteria:</w:t>
      </w:r>
    </w:p>
    <w:p>
      <w:pPr>
        <w:sectPr>
          <w:pgSz w:w="11900" w:h="16838" w:orient="portrait"/>
          <w:cols w:equalWidth="0" w:num="1">
            <w:col w:w="11240"/>
          </w:cols>
          <w:pgMar w:left="320" w:top="337" w:right="339" w:bottom="1440" w:gutter="0" w:footer="0" w:header="0"/>
          <w:type w:val="continuous"/>
        </w:sectPr>
      </w:pPr>
    </w:p>
    <w:p>
      <w:pPr>
        <w:spacing w:after="0" w:line="2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age 55 and 12 years of service with the Company as a Managing Director or comparable officer; or</w:t>
      </w:r>
    </w:p>
    <w:p>
      <w:pPr>
        <w:spacing w:after="0" w:line="211"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age 50 and 15 years as an officer of the Company; or</w:t>
      </w:r>
    </w:p>
    <w:p>
      <w:pPr>
        <w:spacing w:after="0" w:line="211"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age 55 with five years of service with the Company and age plus years of service equals or exceeds 65; or</w:t>
      </w:r>
    </w:p>
    <w:p>
      <w:pPr>
        <w:spacing w:after="0" w:line="211"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 years of service with the Company;</w:t>
      </w:r>
    </w:p>
    <w:p>
      <w:pPr>
        <w:spacing w:after="0" w:line="211" w:lineRule="exact"/>
        <w:rPr>
          <w:sz w:val="20"/>
          <w:szCs w:val="20"/>
          <w:color w:val="auto"/>
        </w:rPr>
      </w:pPr>
    </w:p>
    <w:p>
      <w:pPr>
        <w:sectPr>
          <w:pgSz w:w="11900" w:h="16838" w:orient="portrait"/>
          <w:cols w:equalWidth="0" w:num="2">
            <w:col w:w="1080" w:space="720"/>
            <w:col w:w="9440"/>
          </w:cols>
          <w:pgMar w:left="320" w:top="337" w:right="339" w:bottom="1440" w:gutter="0" w:footer="0" w:header="0"/>
          <w:type w:val="continuous"/>
        </w:sectPr>
      </w:pPr>
    </w:p>
    <w:p>
      <w:pPr>
        <w:spacing w:after="0" w:line="37" w:lineRule="exact"/>
        <w:rPr>
          <w:sz w:val="20"/>
          <w:szCs w:val="20"/>
          <w:color w:val="auto"/>
        </w:rPr>
      </w:pPr>
    </w:p>
    <w:p>
      <w:pPr>
        <w:ind w:right="220" w:firstLine="936"/>
        <w:spacing w:after="0" w:line="261"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this definition, service with the Company will include any period of service with the following entities and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predecessors: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41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7" w:name="page188"/>
    <w:bookmarkEnd w:id="187"/>
    <w:p>
      <w:pPr>
        <w:ind w:left="3460" w:hanging="802"/>
        <w:spacing w:after="0"/>
        <w:tabs>
          <w:tab w:leader="none" w:pos="3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Barra Inc. and its subsidiaries, prior to the acquisition by the Company;</w:t>
      </w:r>
    </w:p>
    <w:p>
      <w:pPr>
        <w:spacing w:after="0" w:line="213" w:lineRule="exact"/>
        <w:rPr>
          <w:rFonts w:ascii="Arial" w:cs="Arial" w:eastAsia="Arial" w:hAnsi="Arial"/>
          <w:sz w:val="18"/>
          <w:szCs w:val="18"/>
          <w:color w:val="auto"/>
        </w:rPr>
      </w:pPr>
    </w:p>
    <w:p>
      <w:pPr>
        <w:ind w:left="3500" w:hanging="842"/>
        <w:spacing w:after="0"/>
        <w:tabs>
          <w:tab w:leader="none" w:pos="3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Capital International Perspectives S.A., prior to the acquisition by the Company;</w:t>
      </w:r>
    </w:p>
    <w:p>
      <w:pPr>
        <w:spacing w:after="0" w:line="213" w:lineRule="exact"/>
        <w:rPr>
          <w:rFonts w:ascii="Arial" w:cs="Arial" w:eastAsia="Arial" w:hAnsi="Arial"/>
          <w:sz w:val="18"/>
          <w:szCs w:val="18"/>
          <w:color w:val="auto"/>
        </w:rPr>
      </w:pPr>
    </w:p>
    <w:p>
      <w:pPr>
        <w:ind w:left="3560" w:hanging="902"/>
        <w:spacing w:after="0"/>
        <w:tabs>
          <w:tab w:leader="none" w:pos="35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Morgan Stanley;</w:t>
      </w:r>
    </w:p>
    <w:p>
      <w:pPr>
        <w:spacing w:after="0" w:line="207" w:lineRule="exact"/>
        <w:rPr>
          <w:rFonts w:ascii="Arial" w:cs="Arial" w:eastAsia="Arial" w:hAnsi="Arial"/>
          <w:sz w:val="18"/>
          <w:szCs w:val="18"/>
          <w:color w:val="auto"/>
        </w:rPr>
      </w:pPr>
    </w:p>
    <w:p>
      <w:pPr>
        <w:ind w:left="3540" w:hanging="882"/>
        <w:spacing w:after="0"/>
        <w:tabs>
          <w:tab w:leader="none" w:pos="3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Morgan Stanley Group Inc. and its subsidiaries (“</w:t>
      </w:r>
      <w:r>
        <w:rPr>
          <w:rFonts w:ascii="Arial" w:cs="Arial" w:eastAsia="Arial" w:hAnsi="Arial"/>
          <w:sz w:val="16"/>
          <w:szCs w:val="16"/>
          <w:b w:val="1"/>
          <w:bCs w:val="1"/>
          <w:color w:val="auto"/>
        </w:rPr>
        <w:t>MS Group</w:t>
      </w:r>
      <w:r>
        <w:rPr>
          <w:rFonts w:ascii="Arial" w:cs="Arial" w:eastAsia="Arial" w:hAnsi="Arial"/>
          <w:sz w:val="16"/>
          <w:szCs w:val="16"/>
          <w:color w:val="auto"/>
        </w:rPr>
        <w:t>”) prior to the merger with and into Dean Witter,</w:t>
      </w:r>
    </w:p>
    <w:p>
      <w:pPr>
        <w:spacing w:after="0" w:line="44" w:lineRule="exact"/>
        <w:rPr>
          <w:rFonts w:ascii="Arial" w:cs="Arial" w:eastAsia="Arial" w:hAnsi="Arial"/>
          <w:sz w:val="16"/>
          <w:szCs w:val="16"/>
          <w:color w:val="auto"/>
        </w:rPr>
      </w:pPr>
    </w:p>
    <w:p>
      <w:pPr>
        <w:ind w:left="1880"/>
        <w:spacing w:after="0"/>
        <w:rPr>
          <w:rFonts w:ascii="Arial" w:cs="Arial" w:eastAsia="Arial" w:hAnsi="Arial"/>
          <w:sz w:val="16"/>
          <w:szCs w:val="16"/>
          <w:color w:val="auto"/>
        </w:rPr>
      </w:pPr>
      <w:r>
        <w:rPr>
          <w:rFonts w:ascii="Arial" w:cs="Arial" w:eastAsia="Arial" w:hAnsi="Arial"/>
          <w:sz w:val="18"/>
          <w:szCs w:val="18"/>
          <w:color w:val="auto"/>
        </w:rPr>
        <w:t>Discover &amp; Co.; and</w:t>
      </w:r>
    </w:p>
    <w:p>
      <w:pPr>
        <w:spacing w:after="0" w:line="195" w:lineRule="exact"/>
        <w:rPr>
          <w:rFonts w:ascii="Arial" w:cs="Arial" w:eastAsia="Arial" w:hAnsi="Arial"/>
          <w:sz w:val="16"/>
          <w:szCs w:val="16"/>
          <w:color w:val="auto"/>
        </w:rPr>
      </w:pPr>
    </w:p>
    <w:p>
      <w:pPr>
        <w:ind w:left="1880" w:right="20" w:firstLine="778"/>
        <w:spacing w:after="0" w:line="285" w:lineRule="auto"/>
        <w:tabs>
          <w:tab w:leader="none" w:pos="349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Dean Witter, Discover &amp; Co. and its subsidiaries (“</w:t>
      </w:r>
      <w:r>
        <w:rPr>
          <w:rFonts w:ascii="Arial" w:cs="Arial" w:eastAsia="Arial" w:hAnsi="Arial"/>
          <w:sz w:val="16"/>
          <w:szCs w:val="16"/>
          <w:b w:val="1"/>
          <w:bCs w:val="1"/>
          <w:color w:val="auto"/>
        </w:rPr>
        <w:t>DWD</w:t>
      </w:r>
      <w:r>
        <w:rPr>
          <w:rFonts w:ascii="Arial" w:cs="Arial" w:eastAsia="Arial" w:hAnsi="Arial"/>
          <w:sz w:val="16"/>
          <w:szCs w:val="16"/>
          <w:color w:val="auto"/>
        </w:rPr>
        <w:t xml:space="preserve">”) prior to the merger of Morgan Stanley Group Inc. with and into Dean Witter, Discover &amp; Co.;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167" w:lineRule="exact"/>
        <w:rPr>
          <w:sz w:val="20"/>
          <w:szCs w:val="20"/>
          <w:color w:val="auto"/>
        </w:rPr>
      </w:pPr>
    </w:p>
    <w:p>
      <w:pPr>
        <w:ind w:right="160" w:firstLine="936"/>
        <w:spacing w:after="0" w:line="249" w:lineRule="auto"/>
        <w:rPr>
          <w:sz w:val="20"/>
          <w:szCs w:val="20"/>
          <w:color w:val="auto"/>
        </w:rPr>
      </w:pPr>
      <w:r>
        <w:rPr>
          <w:rFonts w:ascii="Arial" w:cs="Arial" w:eastAsia="Arial" w:hAnsi="Arial"/>
          <w:sz w:val="18"/>
          <w:szCs w:val="18"/>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86"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Retirement Termination</w:t>
      </w:r>
      <w:r>
        <w:rPr>
          <w:rFonts w:ascii="Arial" w:cs="Arial" w:eastAsia="Arial" w:hAnsi="Arial"/>
          <w:sz w:val="18"/>
          <w:szCs w:val="18"/>
          <w:color w:val="auto"/>
        </w:rPr>
        <w:t>” means any termination of your employment with the Company (other than (x) under circumstances involving any Cancellation Event (other than the required notice periods), (y) due to your death or Disability or (z) under the circumstances set forth in Section 5(b)) on or after the date that you attain Legacy Retirement Eligibility.</w:t>
      </w:r>
    </w:p>
    <w:p>
      <w:pPr>
        <w:spacing w:after="0" w:line="1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Requirements</w:t>
      </w:r>
      <w:r>
        <w:rPr>
          <w:rFonts w:ascii="Arial" w:cs="Arial" w:eastAsia="Arial" w:hAnsi="Arial"/>
          <w:sz w:val="18"/>
          <w:szCs w:val="18"/>
          <w:color w:val="auto"/>
        </w:rPr>
        <w:t>” means prior written notice to MSCI of at least:</w:t>
      </w:r>
    </w:p>
    <w:p>
      <w:pPr>
        <w:sectPr>
          <w:pgSz w:w="11900" w:h="16838" w:orient="portrait"/>
          <w:cols w:equalWidth="0" w:num="1">
            <w:col w:w="11240"/>
          </w:cols>
          <w:pgMar w:left="320" w:top="338" w:right="339" w:bottom="1440" w:gutter="0" w:footer="0" w:header="0"/>
        </w:sectPr>
      </w:pPr>
    </w:p>
    <w:p>
      <w:pPr>
        <w:spacing w:after="0" w:line="2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360" w:firstLine="858"/>
        <w:spacing w:after="0" w:line="261" w:lineRule="auto"/>
        <w:rPr>
          <w:sz w:val="20"/>
          <w:szCs w:val="20"/>
          <w:color w:val="auto"/>
        </w:rPr>
      </w:pPr>
      <w:r>
        <w:rPr>
          <w:rFonts w:ascii="Arial" w:cs="Arial" w:eastAsia="Arial" w:hAnsi="Arial"/>
          <w:sz w:val="18"/>
          <w:szCs w:val="18"/>
          <w:color w:val="auto"/>
        </w:rPr>
        <w:t>180 days if you are a member of the MSCI Executive Committee (or a successor or equivalent committee) at the time of notice of resignation; or</w:t>
      </w:r>
    </w:p>
    <w:p>
      <w:pPr>
        <w:spacing w:after="0" w:line="181" w:lineRule="exact"/>
        <w:rPr>
          <w:sz w:val="20"/>
          <w:szCs w:val="20"/>
          <w:color w:val="auto"/>
        </w:rPr>
      </w:pPr>
    </w:p>
    <w:p>
      <w:pPr>
        <w:sectPr>
          <w:pgSz w:w="11900" w:h="16838" w:orient="portrait"/>
          <w:cols w:equalWidth="0" w:num="2">
            <w:col w:w="280" w:space="660"/>
            <w:col w:w="10300"/>
          </w:cols>
          <w:pgMar w:left="320" w:top="338"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jc w:val="center"/>
        <w:ind w:right="1620"/>
        <w:spacing w:after="0"/>
        <w:rPr>
          <w:sz w:val="20"/>
          <w:szCs w:val="20"/>
          <w:color w:val="auto"/>
        </w:rPr>
      </w:pPr>
      <w:r>
        <w:rPr>
          <w:rFonts w:ascii="Arial" w:cs="Arial" w:eastAsia="Arial" w:hAnsi="Arial"/>
          <w:sz w:val="16"/>
          <w:szCs w:val="16"/>
          <w:color w:val="auto"/>
        </w:rPr>
        <w:t>90 days if you are a Managing Director of the Company (or equivalent title) at the time of notice of resignation.</w:t>
      </w:r>
    </w:p>
    <w:p>
      <w:pPr>
        <w:spacing w:after="0" w:line="200" w:lineRule="exact"/>
        <w:rPr>
          <w:sz w:val="20"/>
          <w:szCs w:val="20"/>
          <w:color w:val="auto"/>
        </w:rPr>
      </w:pPr>
    </w:p>
    <w:p>
      <w:pPr>
        <w:sectPr>
          <w:pgSz w:w="11900" w:h="16838" w:orient="portrait"/>
          <w:cols w:equalWidth="0" w:num="2">
            <w:col w:w="1080" w:space="720"/>
            <w:col w:w="9440"/>
          </w:cols>
          <w:pgMar w:left="320" w:top="338" w:right="339" w:bottom="1440" w:gutter="0" w:footer="0" w:header="0"/>
          <w:type w:val="continuous"/>
        </w:sectPr>
      </w:pPr>
    </w:p>
    <w:p>
      <w:pPr>
        <w:spacing w:after="0" w:line="3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75" w:lineRule="exact"/>
        <w:rPr>
          <w:sz w:val="20"/>
          <w:szCs w:val="20"/>
          <w:color w:val="auto"/>
        </w:rPr>
      </w:pPr>
    </w:p>
    <w:p>
      <w:pPr>
        <w:ind w:right="200" w:firstLine="93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 Eligible Participant</w:t>
      </w:r>
      <w:r>
        <w:rPr>
          <w:rFonts w:ascii="Arial" w:cs="Arial" w:eastAsia="Arial" w:hAnsi="Arial"/>
          <w:sz w:val="18"/>
          <w:szCs w:val="18"/>
          <w:color w:val="auto"/>
        </w:rPr>
        <w:t>” means any Participant who, as of the applicable date of determination, satisfies the requirements for Legacy Retirement Eligibility, 55/10 Retirement Eligibility or 62/10 Retirement Eligibility, as the case may be.</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 Termination</w:t>
      </w:r>
      <w:r>
        <w:rPr>
          <w:rFonts w:ascii="Arial" w:cs="Arial" w:eastAsia="Arial" w:hAnsi="Arial"/>
          <w:sz w:val="16"/>
          <w:szCs w:val="16"/>
          <w:color w:val="auto"/>
        </w:rPr>
        <w:t>” means a Legacy Retirement Termination, a 55/10 Retirement Termination or a 62/10 Retirement Termination,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Section 409A of the Code.</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41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88" w:name="page189"/>
    <w:bookmarkEnd w:id="188"/>
    <w:p>
      <w:pPr>
        <w:jc w:val="center"/>
        <w:ind w:right="19"/>
        <w:spacing w:after="0"/>
        <w:rPr>
          <w:sz w:val="20"/>
          <w:szCs w:val="20"/>
          <w:color w:val="auto"/>
        </w:rPr>
      </w:pPr>
      <w:r>
        <w:rPr>
          <w:rFonts w:ascii="Arial" w:cs="Arial" w:eastAsia="Arial" w:hAnsi="Arial"/>
          <w:sz w:val="18"/>
          <w:szCs w:val="18"/>
          <w:u w:val="single" w:color="auto"/>
          <w:color w:val="auto"/>
        </w:rPr>
        <w:t>ANNEX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PERFORMANCE CONDITION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289560</wp:posOffset>
            </wp:positionV>
            <wp:extent cx="717804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41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9019"/>
          </w:cols>
          <w:pgMar w:left="1440" w:top="758"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220" w:lineRule="exact"/>
        <w:rPr>
          <w:sz w:val="20"/>
          <w:szCs w:val="20"/>
          <w:color w:val="auto"/>
        </w:rPr>
      </w:pPr>
    </w:p>
    <w:p>
      <w:pPr>
        <w:ind w:right="620" w:firstLine="936"/>
        <w:spacing w:after="0" w:line="261" w:lineRule="auto"/>
        <w:rPr>
          <w:sz w:val="20"/>
          <w:szCs w:val="20"/>
          <w:color w:val="auto"/>
        </w:rPr>
      </w:pPr>
      <w:r>
        <w:rPr>
          <w:rFonts w:ascii="Arial" w:cs="Arial" w:eastAsia="Arial" w:hAnsi="Arial"/>
          <w:sz w:val="18"/>
          <w:szCs w:val="18"/>
          <w:color w:val="auto"/>
        </w:rPr>
        <w:t xml:space="preserve">All Participants are subject to the provisions of this </w:t>
      </w:r>
      <w:r>
        <w:rPr>
          <w:rFonts w:ascii="Arial" w:cs="Arial" w:eastAsia="Arial" w:hAnsi="Arial"/>
          <w:sz w:val="18"/>
          <w:szCs w:val="18"/>
          <w:u w:val="single" w:color="auto"/>
          <w:color w:val="auto"/>
        </w:rPr>
        <w:t>Exhibit B</w:t>
      </w:r>
      <w:r>
        <w:rPr>
          <w:rFonts w:ascii="Arial" w:cs="Arial" w:eastAsia="Arial" w:hAnsi="Arial"/>
          <w:sz w:val="18"/>
          <w:szCs w:val="18"/>
          <w:color w:val="auto"/>
        </w:rPr>
        <w:t>. Capitalized terms used and not otherwise defined herein shall have the meanings ascribed to them in the Award Agreement.</w:t>
      </w:r>
    </w:p>
    <w:p>
      <w:pPr>
        <w:spacing w:after="0" w:line="181"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Confidential Information; Assignment of Inventions.</w:t>
      </w:r>
    </w:p>
    <w:p>
      <w:pPr>
        <w:spacing w:after="0" w:line="214" w:lineRule="exact"/>
        <w:rPr>
          <w:sz w:val="20"/>
          <w:szCs w:val="20"/>
          <w:color w:val="auto"/>
        </w:rPr>
      </w:pPr>
    </w:p>
    <w:p>
      <w:pPr>
        <w:ind w:left="940" w:right="20" w:firstLine="967"/>
        <w:spacing w:after="0" w:line="252" w:lineRule="auto"/>
        <w:tabs>
          <w:tab w:leader="none" w:pos="273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89" w:lineRule="exact"/>
        <w:rPr>
          <w:rFonts w:ascii="Arial" w:cs="Arial" w:eastAsia="Arial" w:hAnsi="Arial"/>
          <w:sz w:val="18"/>
          <w:szCs w:val="18"/>
          <w:color w:val="auto"/>
        </w:rPr>
      </w:pPr>
    </w:p>
    <w:p>
      <w:pPr>
        <w:jc w:val="both"/>
        <w:ind w:left="940" w:right="20" w:firstLine="967"/>
        <w:spacing w:after="0" w:line="248" w:lineRule="auto"/>
        <w:tabs>
          <w:tab w:leader="none" w:pos="274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prohibit you from disclosing Confidential Information if such disclosure is required by law, governmental process or valid legal process.</w:t>
      </w:r>
    </w:p>
    <w:p>
      <w:pPr>
        <w:spacing w:after="0" w:line="192" w:lineRule="exact"/>
        <w:rPr>
          <w:rFonts w:ascii="Arial" w:cs="Arial" w:eastAsia="Arial" w:hAnsi="Arial"/>
          <w:sz w:val="18"/>
          <w:szCs w:val="18"/>
          <w:color w:val="auto"/>
        </w:rPr>
      </w:pPr>
    </w:p>
    <w:p>
      <w:pPr>
        <w:ind w:left="940" w:right="40" w:firstLine="967"/>
        <w:spacing w:after="0" w:line="281" w:lineRule="auto"/>
        <w:tabs>
          <w:tab w:leader="none" w:pos="273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Arial" w:cs="Arial" w:eastAsia="Arial" w:hAnsi="Arial"/>
          <w:sz w:val="16"/>
          <w:szCs w:val="16"/>
          <w:u w:val="single" w:color="auto"/>
          <w:color w:val="auto"/>
        </w:rPr>
        <w:t>Exhibit B</w:t>
      </w:r>
      <w:r>
        <w:rPr>
          <w:rFonts w:ascii="Arial" w:cs="Arial" w:eastAsia="Arial" w:hAnsi="Arial"/>
          <w:sz w:val="16"/>
          <w:szCs w:val="16"/>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69" w:lineRule="exact"/>
        <w:rPr>
          <w:rFonts w:ascii="Arial" w:cs="Arial" w:eastAsia="Arial" w:hAnsi="Arial"/>
          <w:sz w:val="16"/>
          <w:szCs w:val="16"/>
          <w:color w:val="auto"/>
        </w:rPr>
      </w:pPr>
    </w:p>
    <w:p>
      <w:pPr>
        <w:ind w:left="940" w:right="60" w:firstLine="967"/>
        <w:spacing w:after="0" w:line="247" w:lineRule="auto"/>
        <w:tabs>
          <w:tab w:leader="none" w:pos="274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93" w:lineRule="exact"/>
        <w:rPr>
          <w:rFonts w:ascii="Arial" w:cs="Arial" w:eastAsia="Arial" w:hAnsi="Arial"/>
          <w:sz w:val="18"/>
          <w:szCs w:val="18"/>
          <w:color w:val="auto"/>
        </w:rPr>
      </w:pPr>
    </w:p>
    <w:p>
      <w:pPr>
        <w:ind w:left="940" w:firstLine="967"/>
        <w:spacing w:after="0" w:line="263" w:lineRule="auto"/>
        <w:tabs>
          <w:tab w:leader="none" w:pos="273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the foregoing, nothing in this Award Agreement precludes or otherwise limits your ability to </w:t>
      </w:r>
      <w:r>
        <w:rPr>
          <w:rFonts w:ascii="Arial" w:cs="Arial" w:eastAsia="Arial" w:hAnsi="Arial"/>
          <w:sz w:val="21"/>
          <w:szCs w:val="21"/>
          <w:color w:val="auto"/>
        </w:rPr>
        <w:t>(i)</w:t>
      </w:r>
      <w:r>
        <w:rPr>
          <w:rFonts w:ascii="Arial" w:cs="Arial" w:eastAsia="Arial" w:hAnsi="Arial"/>
          <w:sz w:val="17"/>
          <w:szCs w:val="17"/>
          <w:color w:val="auto"/>
        </w:rPr>
        <w:t xml:space="preserve"> communicate directly with and provide information, including documents, not otherwise protected from disclosure by any applicable law or privilege to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or any other federal, state or local governmental agency or commission (“</w:t>
      </w:r>
      <w:r>
        <w:rPr>
          <w:rFonts w:ascii="Arial" w:cs="Arial" w:eastAsia="Arial" w:hAnsi="Arial"/>
          <w:sz w:val="17"/>
          <w:szCs w:val="17"/>
          <w:b w:val="1"/>
          <w:bCs w:val="1"/>
          <w:color w:val="auto"/>
        </w:rPr>
        <w:t>Government Agency</w:t>
      </w:r>
      <w:r>
        <w:rPr>
          <w:rFonts w:ascii="Arial" w:cs="Arial" w:eastAsia="Arial" w:hAnsi="Arial"/>
          <w:sz w:val="17"/>
          <w:szCs w:val="17"/>
          <w:color w:val="auto"/>
        </w:rPr>
        <w:t xml:space="preserve">”) or self-regulatory organization regarding possible legal violations, without disclosure to the Company, or </w:t>
      </w:r>
      <w:r>
        <w:rPr>
          <w:rFonts w:ascii="Arial" w:cs="Arial" w:eastAsia="Arial" w:hAnsi="Arial"/>
          <w:sz w:val="21"/>
          <w:szCs w:val="21"/>
          <w:color w:val="auto"/>
        </w:rPr>
        <w:t>(i)</w:t>
      </w:r>
      <w:r>
        <w:rPr>
          <w:rFonts w:ascii="Arial" w:cs="Arial" w:eastAsia="Arial" w:hAnsi="Arial"/>
          <w:sz w:val="17"/>
          <w:szCs w:val="17"/>
          <w:color w:val="auto"/>
        </w:rPr>
        <w:t xml:space="preserve">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cooperates with the Company 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42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90" w:name="page191"/>
    <w:bookmarkEnd w:id="190"/>
    <w:p>
      <w:pPr>
        <w:ind w:left="940" w:right="580"/>
        <w:spacing w:after="0" w:line="261" w:lineRule="auto"/>
        <w:rPr>
          <w:sz w:val="20"/>
          <w:szCs w:val="20"/>
          <w:color w:val="auto"/>
        </w:rPr>
      </w:pPr>
      <w:r>
        <w:rPr>
          <w:rFonts w:ascii="Arial" w:cs="Arial" w:eastAsia="Arial" w:hAnsi="Arial"/>
          <w:sz w:val="18"/>
          <w:szCs w:val="18"/>
          <w:color w:val="auto"/>
        </w:rPr>
        <w:t>seeking a protective order or other appropriate protection of such information. The Company may not retaliate against you for any of these activities.</w:t>
      </w:r>
    </w:p>
    <w:p>
      <w:pPr>
        <w:spacing w:after="0" w:line="181" w:lineRule="exact"/>
        <w:rPr>
          <w:sz w:val="20"/>
          <w:szCs w:val="20"/>
          <w:color w:val="auto"/>
        </w:rPr>
      </w:pPr>
    </w:p>
    <w:p>
      <w:pPr>
        <w:ind w:left="940" w:firstLine="967"/>
        <w:spacing w:after="0" w:line="293" w:lineRule="auto"/>
        <w:tabs>
          <w:tab w:leader="none" w:pos="2712"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Pursuant to Section 7 of the Defend Trade Secrets Act of 2016 (which added 18 U.S.C. § 1833(b)), you and the Company acknowledge and agree that you shall not have criminal or civil liability under any federal or state trade secret law for the disclosure of a trade secret that </w:t>
      </w:r>
      <w:r>
        <w:rPr>
          <w:rFonts w:ascii="Arial" w:cs="Arial" w:eastAsia="Arial" w:hAnsi="Arial"/>
          <w:sz w:val="19"/>
          <w:szCs w:val="19"/>
          <w:color w:val="auto"/>
        </w:rPr>
        <w:t>(i)</w:t>
      </w:r>
      <w:r>
        <w:rPr>
          <w:rFonts w:ascii="Arial" w:cs="Arial" w:eastAsia="Arial" w:hAnsi="Arial"/>
          <w:sz w:val="15"/>
          <w:szCs w:val="15"/>
          <w:color w:val="auto"/>
        </w:rPr>
        <w:t xml:space="preserve"> is made </w:t>
      </w:r>
      <w:r>
        <w:rPr>
          <w:rFonts w:ascii="Arial" w:cs="Arial" w:eastAsia="Arial" w:hAnsi="Arial"/>
          <w:sz w:val="19"/>
          <w:szCs w:val="19"/>
          <w:color w:val="auto"/>
        </w:rPr>
        <w:t>(A)</w:t>
      </w:r>
      <w:r>
        <w:rPr>
          <w:rFonts w:ascii="Arial" w:cs="Arial" w:eastAsia="Arial" w:hAnsi="Arial"/>
          <w:sz w:val="15"/>
          <w:szCs w:val="15"/>
          <w:color w:val="auto"/>
        </w:rPr>
        <w:t xml:space="preserve"> in confidence to a federal, State, or local government official, either directly or indirectly, or to an attorney and </w:t>
      </w:r>
      <w:r>
        <w:rPr>
          <w:rFonts w:ascii="Arial" w:cs="Arial" w:eastAsia="Arial" w:hAnsi="Arial"/>
          <w:sz w:val="19"/>
          <w:szCs w:val="19"/>
          <w:color w:val="auto"/>
        </w:rPr>
        <w:t>(A)</w:t>
      </w:r>
    </w:p>
    <w:p>
      <w:pPr>
        <w:spacing w:after="0" w:line="2" w:lineRule="exact"/>
        <w:rPr>
          <w:sz w:val="20"/>
          <w:szCs w:val="20"/>
          <w:color w:val="auto"/>
        </w:rPr>
      </w:pPr>
    </w:p>
    <w:p>
      <w:pPr>
        <w:ind w:left="940" w:right="80"/>
        <w:spacing w:after="0" w:line="263" w:lineRule="auto"/>
        <w:rPr>
          <w:sz w:val="20"/>
          <w:szCs w:val="20"/>
          <w:color w:val="auto"/>
        </w:rPr>
      </w:pPr>
      <w:r>
        <w:rPr>
          <w:rFonts w:ascii="Arial" w:cs="Arial" w:eastAsia="Arial" w:hAnsi="Arial"/>
          <w:sz w:val="17"/>
          <w:szCs w:val="17"/>
          <w:color w:val="auto"/>
        </w:rPr>
        <w:t xml:space="preserve">solely for the purpose of reporting or investigating a suspected violation of law; or </w:t>
      </w:r>
      <w:r>
        <w:rPr>
          <w:rFonts w:ascii="Arial" w:cs="Arial" w:eastAsia="Arial" w:hAnsi="Arial"/>
          <w:sz w:val="21"/>
          <w:szCs w:val="21"/>
          <w:color w:val="auto"/>
        </w:rPr>
        <w:t>(i)</w:t>
      </w:r>
      <w:r>
        <w:rPr>
          <w:rFonts w:ascii="Arial" w:cs="Arial" w:eastAsia="Arial" w:hAnsi="Arial"/>
          <w:sz w:val="17"/>
          <w:szCs w:val="17"/>
          <w:color w:val="auto"/>
        </w:rPr>
        <w:t xml:space="preserve">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Award Agreement is intended to conflict with 18 U.S.C. §1833(b) or create liability for disclosures of trade secrets that are expressly allowed by such Section.</w:t>
      </w:r>
    </w:p>
    <w:p>
      <w:pPr>
        <w:spacing w:after="0" w:line="182" w:lineRule="exact"/>
        <w:rPr>
          <w:sz w:val="20"/>
          <w:szCs w:val="20"/>
          <w:color w:val="auto"/>
        </w:rPr>
      </w:pPr>
    </w:p>
    <w:p>
      <w:pPr>
        <w:ind w:right="60" w:firstLine="936"/>
        <w:spacing w:after="0" w:line="24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Non-Compete.</w:t>
      </w:r>
      <w:r>
        <w:rPr>
          <w:rFonts w:ascii="Arial" w:cs="Arial" w:eastAsia="Arial" w:hAnsi="Arial"/>
          <w:sz w:val="18"/>
          <w:szCs w:val="18"/>
          <w:color w:val="auto"/>
        </w:rPr>
        <w:t xml:space="preserve"> During your employment or service with the Company and for a period of one year following the termination of your employment or service with the Company for any reason (the “</w:t>
      </w:r>
      <w:r>
        <w:rPr>
          <w:rFonts w:ascii="Arial" w:cs="Arial" w:eastAsia="Arial" w:hAnsi="Arial"/>
          <w:sz w:val="18"/>
          <w:szCs w:val="18"/>
          <w:b w:val="1"/>
          <w:bCs w:val="1"/>
          <w:color w:val="auto"/>
        </w:rPr>
        <w:t>Non-Compete Restricted Period</w:t>
      </w:r>
      <w:r>
        <w:rPr>
          <w:rFonts w:ascii="Arial" w:cs="Arial" w:eastAsia="Arial" w:hAnsi="Arial"/>
          <w:sz w:val="18"/>
          <w:szCs w:val="18"/>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97" w:lineRule="exact"/>
        <w:rPr>
          <w:sz w:val="20"/>
          <w:szCs w:val="20"/>
          <w:color w:val="auto"/>
        </w:rPr>
      </w:pPr>
    </w:p>
    <w:p>
      <w:pPr>
        <w:ind w:right="240" w:firstLine="936"/>
        <w:spacing w:after="0" w:line="28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Non-Solicit and No-Hire.</w:t>
      </w:r>
      <w:r>
        <w:rPr>
          <w:rFonts w:ascii="Arial" w:cs="Arial" w:eastAsia="Arial" w:hAnsi="Arial"/>
          <w:sz w:val="16"/>
          <w:szCs w:val="16"/>
          <w:color w:val="auto"/>
        </w:rPr>
        <w:t xml:space="preserve"> During your employment or service with the Company and for a period of two years following the termination of your employment or service with the Company for any reason (the “</w:t>
      </w:r>
      <w:r>
        <w:rPr>
          <w:rFonts w:ascii="Arial" w:cs="Arial" w:eastAsia="Arial" w:hAnsi="Arial"/>
          <w:sz w:val="16"/>
          <w:szCs w:val="16"/>
          <w:b w:val="1"/>
          <w:bCs w:val="1"/>
          <w:color w:val="auto"/>
        </w:rPr>
        <w:t>Non-Solicit Restricted Period</w:t>
      </w:r>
      <w:r>
        <w:rPr>
          <w:rFonts w:ascii="Arial" w:cs="Arial" w:eastAsia="Arial" w:hAnsi="Arial"/>
          <w:sz w:val="16"/>
          <w:szCs w:val="16"/>
          <w:color w:val="auto"/>
        </w:rPr>
        <w:t>”), you shall not, directly or indirectly,</w:t>
      </w:r>
    </w:p>
    <w:p>
      <w:pPr>
        <w:ind w:right="60"/>
        <w:spacing w:after="0" w:line="302" w:lineRule="auto"/>
        <w:rPr>
          <w:sz w:val="20"/>
          <w:szCs w:val="20"/>
          <w:color w:val="auto"/>
        </w:rPr>
      </w:pPr>
      <w:r>
        <w:rPr>
          <w:rFonts w:ascii="Arial" w:cs="Arial" w:eastAsia="Arial" w:hAnsi="Arial"/>
          <w:sz w:val="21"/>
          <w:szCs w:val="21"/>
          <w:color w:val="auto"/>
        </w:rPr>
        <w:t xml:space="preserve">(a) </w:t>
      </w:r>
      <w:r>
        <w:rPr>
          <w:rFonts w:ascii="Arial" w:cs="Arial" w:eastAsia="Arial" w:hAnsi="Arial"/>
          <w:sz w:val="15"/>
          <w:szCs w:val="15"/>
          <w:color w:val="auto"/>
        </w:rPr>
        <w:t>solicit or encourage any employee of the Company to terminate his or her employment with the Company,</w:t>
      </w:r>
      <w:r>
        <w:rPr>
          <w:rFonts w:ascii="Arial" w:cs="Arial" w:eastAsia="Arial" w:hAnsi="Arial"/>
          <w:sz w:val="21"/>
          <w:szCs w:val="21"/>
          <w:color w:val="auto"/>
        </w:rPr>
        <w:t xml:space="preserve"> (a) </w:t>
      </w:r>
      <w:r>
        <w:rPr>
          <w:rFonts w:ascii="Arial" w:cs="Arial" w:eastAsia="Arial" w:hAnsi="Arial"/>
          <w:sz w:val="15"/>
          <w:szCs w:val="15"/>
          <w:color w:val="auto"/>
        </w:rPr>
        <w:t>hire any employee of the Company prior to</w:t>
      </w:r>
      <w:r>
        <w:rPr>
          <w:rFonts w:ascii="Arial" w:cs="Arial" w:eastAsia="Arial" w:hAnsi="Arial"/>
          <w:sz w:val="21"/>
          <w:szCs w:val="21"/>
          <w:color w:val="auto"/>
        </w:rPr>
        <w:t xml:space="preserve"> </w:t>
      </w:r>
      <w:r>
        <w:rPr>
          <w:rFonts w:ascii="Arial" w:cs="Arial" w:eastAsia="Arial" w:hAnsi="Arial"/>
          <w:sz w:val="15"/>
          <w:szCs w:val="15"/>
          <w:color w:val="auto"/>
        </w:rPr>
        <w:t xml:space="preserve">the date on which such person has not been employed by the Company or any of its Subsidiaries for a period of at least one year or </w:t>
      </w:r>
      <w:r>
        <w:rPr>
          <w:rFonts w:ascii="Arial" w:cs="Arial" w:eastAsia="Arial" w:hAnsi="Arial"/>
          <w:sz w:val="21"/>
          <w:szCs w:val="21"/>
          <w:color w:val="auto"/>
        </w:rPr>
        <w:t>(a)</w:t>
      </w:r>
      <w:r>
        <w:rPr>
          <w:rFonts w:ascii="Arial" w:cs="Arial" w:eastAsia="Arial" w:hAnsi="Arial"/>
          <w:sz w:val="15"/>
          <w:szCs w:val="15"/>
          <w:color w:val="auto"/>
        </w:rPr>
        <w:t xml:space="preserve">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56" w:lineRule="exact"/>
        <w:rPr>
          <w:sz w:val="20"/>
          <w:szCs w:val="20"/>
          <w:color w:val="auto"/>
        </w:rPr>
      </w:pPr>
    </w:p>
    <w:p>
      <w:pPr>
        <w:ind w:right="100" w:firstLine="936"/>
        <w:spacing w:after="0" w:line="29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162" w:lineRule="exact"/>
        <w:rPr>
          <w:sz w:val="20"/>
          <w:szCs w:val="20"/>
          <w:color w:val="auto"/>
        </w:rPr>
      </w:pPr>
    </w:p>
    <w:p>
      <w:pPr>
        <w:ind w:right="40" w:firstLine="936"/>
        <w:spacing w:after="0" w:line="24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Certain Remedies.</w:t>
      </w:r>
      <w:r>
        <w:rPr>
          <w:rFonts w:ascii="Arial" w:cs="Arial" w:eastAsia="Arial" w:hAnsi="Arial"/>
          <w:sz w:val="18"/>
          <w:szCs w:val="18"/>
          <w:color w:val="auto"/>
        </w:rPr>
        <w:t xml:space="preserve"> You acknowledge that the terms of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the Award Agreement shall be enforceable as so modified after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42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1" w:name="page192"/>
    <w:bookmarkEnd w:id="191"/>
    <w:p>
      <w:pPr>
        <w:ind w:right="20"/>
        <w:spacing w:after="0" w:line="284" w:lineRule="auto"/>
        <w:rPr>
          <w:sz w:val="20"/>
          <w:szCs w:val="20"/>
          <w:color w:val="auto"/>
        </w:rPr>
      </w:pPr>
      <w:r>
        <w:rPr>
          <w:rFonts w:ascii="Arial" w:cs="Arial" w:eastAsia="Arial" w:hAnsi="Arial"/>
          <w:sz w:val="16"/>
          <w:szCs w:val="16"/>
          <w:color w:val="auto"/>
        </w:rPr>
        <w:t xml:space="preserve">expiration of the time within which the judgment or decision may be appealed. You acknowledge that the Company and its shareholders would be irreparably harmed by any breach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6"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For purposes of this</w:t>
      </w:r>
      <w:r>
        <w:rPr>
          <w:rFonts w:ascii="Arial" w:cs="Arial" w:eastAsia="Arial" w:hAnsi="Arial"/>
          <w:sz w:val="16"/>
          <w:szCs w:val="16"/>
          <w:u w:val="single" w:color="auto"/>
          <w:color w:val="auto"/>
        </w:rPr>
        <w:t xml:space="preserve"> Exhibit B </w:t>
      </w:r>
      <w:r>
        <w:rPr>
          <w:rFonts w:ascii="Arial" w:cs="Arial" w:eastAsia="Arial" w:hAnsi="Arial"/>
          <w:sz w:val="16"/>
          <w:szCs w:val="16"/>
          <w:color w:val="auto"/>
        </w:rPr>
        <w:t>and the Award Agreement, the following terms shall have the following meanings:</w:t>
      </w:r>
    </w:p>
    <w:p>
      <w:pPr>
        <w:spacing w:after="0" w:line="208" w:lineRule="exact"/>
        <w:rPr>
          <w:sz w:val="20"/>
          <w:szCs w:val="20"/>
          <w:color w:val="auto"/>
        </w:rPr>
      </w:pPr>
    </w:p>
    <w:p>
      <w:pPr>
        <w:ind w:right="280" w:firstLine="93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any person, entity or business that is engaged in, or that owns a significant equity, voting, financial or other interest in an entity that is engaged in, one or more Competing Businesses.</w:t>
      </w:r>
    </w:p>
    <w:p>
      <w:pPr>
        <w:spacing w:after="0" w:line="169" w:lineRule="exact"/>
        <w:rPr>
          <w:sz w:val="20"/>
          <w:szCs w:val="20"/>
          <w:color w:val="auto"/>
        </w:rPr>
      </w:pPr>
    </w:p>
    <w:p>
      <w:pPr>
        <w:ind w:right="280" w:firstLine="93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 Business</w:t>
      </w:r>
      <w:r>
        <w:rPr>
          <w:rFonts w:ascii="Arial" w:cs="Arial" w:eastAsia="Arial" w:hAnsi="Arial"/>
          <w:sz w:val="18"/>
          <w:szCs w:val="18"/>
          <w:color w:val="auto"/>
        </w:rPr>
        <w:t>” means any business or activity that competes with the MSCI Business or is reasonably anticipated to compete with the MSCI Business.</w:t>
      </w:r>
    </w:p>
    <w:p>
      <w:pPr>
        <w:spacing w:after="0" w:line="169" w:lineRule="exact"/>
        <w:rPr>
          <w:sz w:val="20"/>
          <w:szCs w:val="20"/>
          <w:color w:val="auto"/>
        </w:rPr>
      </w:pPr>
    </w:p>
    <w:p>
      <w:pPr>
        <w:ind w:right="20" w:firstLine="936"/>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Confidential Information shall in no event include (x) any Confidential Information which was generally available to the public at the 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71" w:lineRule="exact"/>
        <w:rPr>
          <w:sz w:val="20"/>
          <w:szCs w:val="20"/>
          <w:color w:val="auto"/>
        </w:rPr>
      </w:pPr>
    </w:p>
    <w:p>
      <w:pPr>
        <w:ind w:firstLine="93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Inventions</w:t>
      </w:r>
      <w:r>
        <w:rPr>
          <w:rFonts w:ascii="Arial" w:cs="Arial" w:eastAsia="Arial" w:hAnsi="Arial"/>
          <w:sz w:val="16"/>
          <w:szCs w:val="16"/>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53" w:lineRule="exact"/>
        <w:rPr>
          <w:sz w:val="20"/>
          <w:szCs w:val="20"/>
          <w:color w:val="auto"/>
        </w:rPr>
      </w:pPr>
    </w:p>
    <w:p>
      <w:pPr>
        <w:ind w:firstLine="936"/>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MSCI Business</w:t>
      </w:r>
      <w:r>
        <w:rPr>
          <w:rFonts w:ascii="Arial" w:cs="Arial" w:eastAsia="Arial" w:hAnsi="Arial"/>
          <w:sz w:val="16"/>
          <w:szCs w:val="16"/>
          <w:color w:val="auto"/>
        </w:rPr>
        <w:t>” means any business, or part thereof, engaged in, contemplated or actively planned by the Company as of your Termination Date that you were actively involved in, provided services to, or participated in the planning of, during your employment or service with the Company.</w:t>
      </w:r>
    </w:p>
    <w:p>
      <w:pPr>
        <w:spacing w:after="0" w:line="123" w:lineRule="exact"/>
        <w:rPr>
          <w:sz w:val="20"/>
          <w:szCs w:val="20"/>
          <w:color w:val="auto"/>
        </w:rPr>
      </w:pPr>
    </w:p>
    <w:p>
      <w:pPr>
        <w:ind w:right="20" w:firstLine="93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w:t>
      </w:r>
      <w:r>
        <w:rPr>
          <w:rFonts w:ascii="Arial" w:cs="Arial" w:eastAsia="Arial" w:hAnsi="Arial"/>
          <w:sz w:val="16"/>
          <w:szCs w:val="16"/>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42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92" w:name="page193"/>
    <w:bookmarkEnd w:id="192"/>
    <w:p>
      <w:pPr>
        <w:ind w:firstLine="93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Services</w:t>
      </w:r>
      <w:r>
        <w:rPr>
          <w:rFonts w:ascii="Arial" w:cs="Arial" w:eastAsia="Arial" w:hAnsi="Arial"/>
          <w:sz w:val="16"/>
          <w:szCs w:val="16"/>
          <w:color w:val="auto"/>
        </w:rPr>
        <w:t>”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690245</wp:posOffset>
            </wp:positionV>
            <wp:extent cx="717804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2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C</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COUNTRY-SPECIFIC TERMS AND CONDITIONS</w:t>
      </w: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120"/>
          </w:cols>
          <w:pgMar w:left="1440" w:top="542"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9"/>
          <w:szCs w:val="19"/>
          <w:b w:val="1"/>
          <w:bCs w:val="1"/>
          <w:color w:val="auto"/>
        </w:rPr>
        <w:t>Exhibit 10.162</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AMD_00271008.0</w:t>
      </w:r>
    </w:p>
    <w:p>
      <w:pPr>
        <w:spacing w:after="0" w:line="234"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CERTAIN IDENTIFIED INFORMATION HAS BEEN EXCLUDED FROM THIS EXHIBIT BECAUSE IT IS NOT MATERIAL AND IS OF THE TYPE THAT THE COMPANY TREATS AS PRIVATE OR CONFIDENTIAL. *** INDICATES THAT INFORMATION HAS BEEN REDACTED.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Amendment No. 4</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Amendment No. 4 (the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March 20, 2020 and is effective as of 1 April 2020 (“Effective Date”) by and between MSCI ESG Research LLC and BlackRock Fund Advisors (“Licensee”) pursuant to the Index License Agreement for Funds (MSCI reference number IXF_00040) dated as of March 18, 2000 (the “U.S. Agreement”) by and between MSCI Inc. (as successor to Morgan Stanley Capital International Inc.) and Licensee (as successor to Barclays Global Investors, N.A.); the U.S. Agreement, together with this Amendment, shall constitute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but not defined in this Amendment shall have the meanings ascribed to them in the U.S. Agreement.</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parties agree that this Amendment is subject to the terms and conditions of the U.S. Agreement, all of which shall be incorporated hereunder, and which shall constitute the whole and standalone Agreement between Licensee and MSCI ESG Research LLC. The parties agree, for the purposes of this Amendment, that MSCI ESG Research LLC shall be deemed to be “MSCI” (as such term is used in the U.S. Agreement) as if it had entered the U.S. Agreement in place of MSCI Inc. For the avoidance of doubt, this Amendment shall not modify any other licenses granted to Licensee pursuant to the U.S. Agreement, or any other amendment to the U.S. Agreement, between MSCI Inc. and Licensee. To the extent there is a conflict between this Amendment and the U.S. Agreement, the terms of this Amendment shall prevail.</w:t>
      </w:r>
    </w:p>
    <w:p>
      <w:pPr>
        <w:spacing w:after="0" w:line="171" w:lineRule="exact"/>
        <w:rPr>
          <w:sz w:val="20"/>
          <w:szCs w:val="20"/>
          <w:color w:val="auto"/>
        </w:rPr>
      </w:pPr>
    </w:p>
    <w:p>
      <w:pPr>
        <w:ind w:left="420" w:hanging="415"/>
        <w:spacing w:after="0"/>
        <w:tabs>
          <w:tab w:leader="none" w:pos="420" w:val="left"/>
        </w:tabs>
        <w:numPr>
          <w:ilvl w:val="0"/>
          <w:numId w:val="133"/>
        </w:numPr>
        <w:rPr>
          <w:rFonts w:ascii="Arial" w:cs="Arial" w:eastAsia="Arial" w:hAnsi="Arial"/>
          <w:sz w:val="19"/>
          <w:szCs w:val="19"/>
          <w:b w:val="1"/>
          <w:bCs w:val="1"/>
          <w:color w:val="auto"/>
        </w:rPr>
      </w:pPr>
      <w:r>
        <w:rPr>
          <w:rFonts w:ascii="Arial" w:cs="Arial" w:eastAsia="Arial" w:hAnsi="Arial"/>
          <w:sz w:val="19"/>
          <w:szCs w:val="19"/>
          <w:b w:val="1"/>
          <w:bCs w:val="1"/>
          <w:color w:val="auto"/>
        </w:rPr>
        <w:t>Index and Marks:</w:t>
      </w:r>
    </w:p>
    <w:p>
      <w:pPr>
        <w:spacing w:after="0" w:line="23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Exhibit A of the U.S. Agreement is hereby amended to include the following Index and Marks:</w:t>
      </w:r>
    </w:p>
    <w:p>
      <w:pPr>
        <w:spacing w:after="0" w:line="228" w:lineRule="exact"/>
        <w:rPr>
          <w:sz w:val="20"/>
          <w:szCs w:val="20"/>
          <w:color w:val="auto"/>
        </w:rPr>
      </w:pPr>
    </w:p>
    <w:p>
      <w:pPr>
        <w:ind w:left="1280" w:hanging="421"/>
        <w:spacing w:after="0"/>
        <w:tabs>
          <w:tab w:leader="none" w:pos="128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Bloomberg Barclays MSCI US Universal Choice ESG Screened Index</w:t>
      </w:r>
    </w:p>
    <w:p>
      <w:pPr>
        <w:spacing w:after="0" w:line="222" w:lineRule="exact"/>
        <w:rPr>
          <w:rFonts w:ascii="Arial" w:cs="Arial" w:eastAsia="Arial" w:hAnsi="Arial"/>
          <w:sz w:val="19"/>
          <w:szCs w:val="19"/>
          <w:color w:val="auto"/>
        </w:rPr>
      </w:pPr>
    </w:p>
    <w:p>
      <w:pPr>
        <w:ind w:left="420" w:hanging="415"/>
        <w:spacing w:after="0"/>
        <w:tabs>
          <w:tab w:leader="none" w:pos="420"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Description of the Funds:</w:t>
      </w:r>
    </w:p>
    <w:p>
      <w:pPr>
        <w:spacing w:after="0" w:line="23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Exhibit B of the U.S. Agreement is hereby amended as follows:</w:t>
      </w:r>
    </w:p>
    <w:p>
      <w:pPr>
        <w:spacing w:after="0" w:line="228" w:lineRule="exact"/>
        <w:rPr>
          <w:sz w:val="20"/>
          <w:szCs w:val="20"/>
          <w:color w:val="auto"/>
        </w:rPr>
      </w:pPr>
    </w:p>
    <w:p>
      <w:pPr>
        <w:ind w:left="840" w:hanging="414"/>
        <w:spacing w:after="0" w:line="275" w:lineRule="auto"/>
        <w:tabs>
          <w:tab w:leader="none" w:pos="84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Licensee shall use the Index set forth in Section 1 above with respect to the following Licensee Fund (the “</w:t>
      </w:r>
      <w:r>
        <w:rPr>
          <w:rFonts w:ascii="Arial" w:cs="Arial" w:eastAsia="Arial" w:hAnsi="Arial"/>
          <w:sz w:val="19"/>
          <w:szCs w:val="19"/>
          <w:u w:val="single" w:color="auto"/>
          <w:color w:val="auto"/>
        </w:rPr>
        <w:t>ESG ETF</w:t>
      </w:r>
      <w:r>
        <w:rPr>
          <w:rFonts w:ascii="Arial" w:cs="Arial" w:eastAsia="Arial" w:hAnsi="Arial"/>
          <w:sz w:val="19"/>
          <w:szCs w:val="19"/>
          <w:color w:val="auto"/>
        </w:rPr>
        <w:t>” or the “Fund”, which shall be a “Fund” as such term is defined in the U.S. Agreement):</w:t>
      </w:r>
    </w:p>
    <w:p>
      <w:pPr>
        <w:spacing w:after="0" w:line="169" w:lineRule="exact"/>
        <w:rPr>
          <w:rFonts w:ascii="Arial" w:cs="Arial" w:eastAsia="Arial" w:hAnsi="Arial"/>
          <w:sz w:val="19"/>
          <w:szCs w:val="19"/>
          <w:color w:val="auto"/>
        </w:rPr>
      </w:pPr>
    </w:p>
    <w:p>
      <w:pPr>
        <w:ind w:left="1280" w:hanging="421"/>
        <w:spacing w:after="0"/>
        <w:tabs>
          <w:tab w:leader="none" w:pos="128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iShares ESG Advanced Total USD Bond Market ETF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209550</wp:posOffset>
            </wp:positionV>
            <wp:extent cx="717804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2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95" w:name="page196"/>
    <w:bookmarkEnd w:id="195"/>
    <w:p>
      <w:pPr>
        <w:ind w:left="860"/>
        <w:spacing w:after="0"/>
        <w:rPr>
          <w:sz w:val="20"/>
          <w:szCs w:val="20"/>
          <w:color w:val="auto"/>
        </w:rPr>
      </w:pPr>
      <w:r>
        <w:rPr>
          <w:rFonts w:ascii="Arial" w:cs="Arial" w:eastAsia="Arial" w:hAnsi="Arial"/>
          <w:sz w:val="19"/>
          <w:szCs w:val="19"/>
          <w:color w:val="auto"/>
        </w:rPr>
        <w:t>Or such other name(s) as are agreed by Licensee and MSCI.</w:t>
      </w:r>
    </w:p>
    <w:p>
      <w:pPr>
        <w:spacing w:after="0" w:line="228" w:lineRule="exact"/>
        <w:rPr>
          <w:sz w:val="20"/>
          <w:szCs w:val="20"/>
          <w:color w:val="auto"/>
        </w:rPr>
      </w:pPr>
    </w:p>
    <w:p>
      <w:pPr>
        <w:ind w:left="840" w:hanging="414"/>
        <w:spacing w:after="0"/>
        <w:tabs>
          <w:tab w:leader="none" w:pos="84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ESG ETF shall be exchange traded index funds listed on a national securities exchange located in the United States.</w:t>
      </w:r>
    </w:p>
    <w:p>
      <w:pPr>
        <w:spacing w:after="0" w:line="228" w:lineRule="exact"/>
        <w:rPr>
          <w:rFonts w:ascii="Arial" w:cs="Arial" w:eastAsia="Arial" w:hAnsi="Arial"/>
          <w:sz w:val="19"/>
          <w:szCs w:val="19"/>
          <w:color w:val="auto"/>
        </w:rPr>
      </w:pPr>
    </w:p>
    <w:p>
      <w:pPr>
        <w:jc w:val="both"/>
        <w:ind w:left="840" w:hanging="414"/>
        <w:spacing w:after="0" w:line="260" w:lineRule="auto"/>
        <w:tabs>
          <w:tab w:leader="none" w:pos="84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Such primary listing(s) must occur within twelve months of the Effective Date of this Amendment. After such twelve month period, Licensee shall obtain MSCI’s prior written permission before the primary listing of the Fund on any national securities exchange located in the United States.</w:t>
      </w:r>
    </w:p>
    <w:p>
      <w:pPr>
        <w:spacing w:after="0" w:line="183" w:lineRule="exact"/>
        <w:rPr>
          <w:rFonts w:ascii="Arial" w:cs="Arial" w:eastAsia="Arial" w:hAnsi="Arial"/>
          <w:sz w:val="19"/>
          <w:szCs w:val="19"/>
          <w:color w:val="auto"/>
        </w:rPr>
      </w:pPr>
    </w:p>
    <w:p>
      <w:pPr>
        <w:jc w:val="both"/>
        <w:ind w:left="840" w:hanging="414"/>
        <w:spacing w:after="0" w:line="255" w:lineRule="auto"/>
        <w:tabs>
          <w:tab w:leader="none" w:pos="84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Agreement: (i) does not give Licensee the right to create any futures, options or other derivatives based on any of the Index listed in this Amendment, and (ii) does not give Licensee the right to create any futures, options, or other derivatives of the Fund without the prior written consent of MSCI. Notwithstanding the foregoing, Licensee may hold futures, options or other derivative instruments as constituent holdings of the Fund.</w:t>
      </w:r>
    </w:p>
    <w:p>
      <w:pPr>
        <w:spacing w:after="0" w:line="188" w:lineRule="exact"/>
        <w:rPr>
          <w:rFonts w:ascii="Arial" w:cs="Arial" w:eastAsia="Arial" w:hAnsi="Arial"/>
          <w:sz w:val="19"/>
          <w:szCs w:val="19"/>
          <w:color w:val="auto"/>
        </w:rPr>
      </w:pPr>
    </w:p>
    <w:p>
      <w:pPr>
        <w:ind w:left="840" w:hanging="414"/>
        <w:spacing w:after="0"/>
        <w:tabs>
          <w:tab w:leader="none" w:pos="84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Licensee or any affiliate of Licensee is the asset manager of the Fund.</w:t>
      </w:r>
    </w:p>
    <w:p>
      <w:pPr>
        <w:spacing w:after="0" w:line="222" w:lineRule="exact"/>
        <w:rPr>
          <w:rFonts w:ascii="Arial" w:cs="Arial" w:eastAsia="Arial" w:hAnsi="Arial"/>
          <w:sz w:val="19"/>
          <w:szCs w:val="19"/>
          <w:color w:val="auto"/>
        </w:rPr>
      </w:pPr>
    </w:p>
    <w:p>
      <w:pPr>
        <w:ind w:left="420" w:hanging="415"/>
        <w:spacing w:after="0"/>
        <w:tabs>
          <w:tab w:leader="none" w:pos="420" w:val="left"/>
        </w:tabs>
        <w:numPr>
          <w:ilvl w:val="0"/>
          <w:numId w:val="137"/>
        </w:numPr>
        <w:rPr>
          <w:rFonts w:ascii="Arial" w:cs="Arial" w:eastAsia="Arial" w:hAnsi="Arial"/>
          <w:sz w:val="19"/>
          <w:szCs w:val="19"/>
          <w:b w:val="1"/>
          <w:bCs w:val="1"/>
          <w:color w:val="auto"/>
        </w:rPr>
      </w:pPr>
      <w:r>
        <w:rPr>
          <w:rFonts w:ascii="Arial" w:cs="Arial" w:eastAsia="Arial" w:hAnsi="Arial"/>
          <w:sz w:val="19"/>
          <w:szCs w:val="19"/>
          <w:b w:val="1"/>
          <w:bCs w:val="1"/>
          <w:color w:val="auto"/>
        </w:rPr>
        <w:t>License Fees:</w:t>
      </w:r>
    </w:p>
    <w:p>
      <w:pPr>
        <w:spacing w:after="0" w:line="234" w:lineRule="exact"/>
        <w:rPr>
          <w:rFonts w:ascii="Arial" w:cs="Arial" w:eastAsia="Arial" w:hAnsi="Arial"/>
          <w:sz w:val="19"/>
          <w:szCs w:val="19"/>
          <w:b w:val="1"/>
          <w:bCs w:val="1"/>
          <w:color w:val="auto"/>
        </w:rPr>
      </w:pPr>
    </w:p>
    <w:p>
      <w:pPr>
        <w:ind w:left="440"/>
        <w:spacing w:after="0"/>
        <w:rPr>
          <w:rFonts w:ascii="Arial" w:cs="Arial" w:eastAsia="Arial" w:hAnsi="Arial"/>
          <w:sz w:val="19"/>
          <w:szCs w:val="19"/>
          <w:b w:val="1"/>
          <w:bCs w:val="1"/>
          <w:color w:val="auto"/>
        </w:rPr>
      </w:pPr>
      <w:r>
        <w:rPr>
          <w:rFonts w:ascii="Arial" w:cs="Arial" w:eastAsia="Arial" w:hAnsi="Arial"/>
          <w:sz w:val="19"/>
          <w:szCs w:val="19"/>
          <w:color w:val="auto"/>
        </w:rPr>
        <w:t>The first paragraph of Section 3 of the U.S. Agreement shall be replaced as follows:</w:t>
      </w:r>
    </w:p>
    <w:p>
      <w:pPr>
        <w:spacing w:after="0" w:line="242" w:lineRule="exact"/>
        <w:rPr>
          <w:sz w:val="20"/>
          <w:szCs w:val="20"/>
          <w:color w:val="auto"/>
        </w:rPr>
      </w:pPr>
    </w:p>
    <w:p>
      <w:pPr>
        <w:ind w:left="1220" w:hanging="782"/>
        <w:spacing w:after="0"/>
        <w:tabs>
          <w:tab w:leader="none" w:pos="1220" w:val="left"/>
        </w:tabs>
        <w:numPr>
          <w:ilvl w:val="0"/>
          <w:numId w:val="138"/>
        </w:numPr>
        <w:rPr>
          <w:rFonts w:ascii="Arial" w:cs="Arial" w:eastAsia="Arial" w:hAnsi="Arial"/>
          <w:sz w:val="21"/>
          <w:szCs w:val="21"/>
          <w:color w:val="auto"/>
        </w:rPr>
      </w:pPr>
      <w:r>
        <w:rPr>
          <w:rFonts w:ascii="Arial" w:cs="Arial" w:eastAsia="Arial" w:hAnsi="Arial"/>
          <w:sz w:val="19"/>
          <w:szCs w:val="19"/>
          <w:color w:val="auto"/>
        </w:rPr>
        <w:t>Each *** Licensee shall pay to only MSCI *********:</w:t>
      </w:r>
    </w:p>
    <w:p>
      <w:pPr>
        <w:spacing w:after="0" w:line="205" w:lineRule="exact"/>
        <w:rPr>
          <w:rFonts w:ascii="Arial" w:cs="Arial" w:eastAsia="Arial" w:hAnsi="Arial"/>
          <w:sz w:val="21"/>
          <w:szCs w:val="21"/>
          <w:color w:val="auto"/>
        </w:rPr>
      </w:pPr>
    </w:p>
    <w:p>
      <w:pPr>
        <w:ind w:left="1740"/>
        <w:spacing w:after="0"/>
        <w:rPr>
          <w:rFonts w:ascii="Arial" w:cs="Arial" w:eastAsia="Arial" w:hAnsi="Arial"/>
          <w:sz w:val="21"/>
          <w:szCs w:val="21"/>
          <w:color w:val="auto"/>
        </w:rPr>
      </w:pPr>
      <w:r>
        <w:rPr>
          <w:rFonts w:ascii="Arial" w:cs="Arial" w:eastAsia="Arial" w:hAnsi="Arial"/>
          <w:sz w:val="19"/>
          <w:szCs w:val="19"/>
          <w:color w:val="auto"/>
        </w:rPr>
        <w:t>********* .</w:t>
      </w:r>
    </w:p>
    <w:p>
      <w:pPr>
        <w:spacing w:after="0" w:line="228" w:lineRule="exact"/>
        <w:rPr>
          <w:sz w:val="20"/>
          <w:szCs w:val="20"/>
          <w:color w:val="auto"/>
        </w:rPr>
      </w:pPr>
    </w:p>
    <w:p>
      <w:pPr>
        <w:ind w:left="860"/>
        <w:spacing w:after="0" w:line="275" w:lineRule="auto"/>
        <w:rPr>
          <w:sz w:val="20"/>
          <w:szCs w:val="20"/>
          <w:color w:val="auto"/>
        </w:rPr>
      </w:pPr>
      <w:r>
        <w:rPr>
          <w:rFonts w:ascii="Arial" w:cs="Arial" w:eastAsia="Arial" w:hAnsi="Arial"/>
          <w:sz w:val="19"/>
          <w:szCs w:val="19"/>
          <w:color w:val="auto"/>
        </w:rPr>
        <w:t>*********, which shall be calculated on a ********* on the ***************************, all license fees applicable to the Fund shall be ***************************.</w:t>
      </w:r>
    </w:p>
    <w:p>
      <w:pPr>
        <w:spacing w:after="0" w:line="170" w:lineRule="exact"/>
        <w:rPr>
          <w:sz w:val="20"/>
          <w:szCs w:val="20"/>
          <w:color w:val="auto"/>
        </w:rPr>
      </w:pPr>
    </w:p>
    <w:p>
      <w:pPr>
        <w:ind w:left="840" w:hanging="414"/>
        <w:spacing w:after="0"/>
        <w:tabs>
          <w:tab w:leader="none" w:pos="8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Licensee shall, with the payment of the relevant ********* License Fees, provide to MSCI a written report that shall include the</w:t>
      </w:r>
    </w:p>
    <w:p>
      <w:pPr>
        <w:spacing w:after="0" w:line="32" w:lineRule="exact"/>
        <w:rPr>
          <w:rFonts w:ascii="Arial" w:cs="Arial" w:eastAsia="Arial" w:hAnsi="Arial"/>
          <w:sz w:val="18"/>
          <w:szCs w:val="18"/>
          <w:color w:val="auto"/>
        </w:rPr>
      </w:pPr>
    </w:p>
    <w:p>
      <w:pPr>
        <w:ind w:left="840" w:right="180"/>
        <w:spacing w:after="0" w:line="257" w:lineRule="auto"/>
        <w:rPr>
          <w:rFonts w:ascii="Arial" w:cs="Arial" w:eastAsia="Arial" w:hAnsi="Arial"/>
          <w:sz w:val="18"/>
          <w:szCs w:val="18"/>
          <w:color w:val="auto"/>
        </w:rPr>
      </w:pPr>
      <w:r>
        <w:rPr>
          <w:rFonts w:ascii="Arial" w:cs="Arial" w:eastAsia="Arial" w:hAnsi="Arial"/>
          <w:sz w:val="19"/>
          <w:szCs w:val="19"/>
          <w:color w:val="auto"/>
        </w:rPr>
        <w:t>******************. The License Fees shall ********************* and shall be accompanied by a statement from Licensee or its designee stating that such fees are accurate. ***************************.</w:t>
      </w:r>
    </w:p>
    <w:p>
      <w:pPr>
        <w:spacing w:after="0" w:line="180" w:lineRule="exact"/>
        <w:rPr>
          <w:rFonts w:ascii="Arial" w:cs="Arial" w:eastAsia="Arial" w:hAnsi="Arial"/>
          <w:sz w:val="18"/>
          <w:szCs w:val="18"/>
          <w:color w:val="auto"/>
        </w:rPr>
      </w:pPr>
    </w:p>
    <w:p>
      <w:pPr>
        <w:ind w:left="420" w:hanging="415"/>
        <w:spacing w:after="0"/>
        <w:tabs>
          <w:tab w:leader="none" w:pos="420" w:val="left"/>
        </w:tabs>
        <w:numPr>
          <w:ilvl w:val="0"/>
          <w:numId w:val="140"/>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34" w:lineRule="exact"/>
        <w:rPr>
          <w:rFonts w:ascii="Arial" w:cs="Arial" w:eastAsia="Arial" w:hAnsi="Arial"/>
          <w:sz w:val="19"/>
          <w:szCs w:val="19"/>
          <w:b w:val="1"/>
          <w:bCs w:val="1"/>
          <w:color w:val="auto"/>
        </w:rPr>
      </w:pPr>
    </w:p>
    <w:p>
      <w:pPr>
        <w:jc w:val="both"/>
        <w:ind w:left="840" w:hanging="414"/>
        <w:spacing w:after="0" w:line="283" w:lineRule="auto"/>
        <w:tabs>
          <w:tab w:leader="none" w:pos="8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MSCI ESG Research LLC and Barclays Capital Inc. (or its successor, “Bloomberg/Barclays”) are parties to an agreement dated as of May 2, 2012 setting forth the licensing for the Index and Marks listed above. MSCI ESG Research LLC has full power and authority, including all necessary permissions and authorizations from Bloomberg/Barclays, to grant a license to the Licensee to use the Index and Marks listed above. Licensee hereby acknowledges and agrees that for the Index, Licensee has provided to MSCI certain specifications, designs, security screens or other instructions from Licensee, such as instructions for controversial weapon exclusion screening (the "Licensee Information"). Licensee represents and warrants that it has all rights, titles, licenses, permissions and approvals necessary to provide the Licensee Information to MSCI or Bloomberg/Barclays for purposes of calculating the Index and that none of the Licensee Information infringes, violates, trespasses or in any manner contravenes or breaches any patent,</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209550</wp:posOffset>
            </wp:positionV>
            <wp:extent cx="717804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2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96" w:name="page197"/>
    <w:bookmarkEnd w:id="196"/>
    <w:p>
      <w:pPr>
        <w:ind w:left="420"/>
        <w:spacing w:after="0" w:line="275" w:lineRule="auto"/>
        <w:rPr>
          <w:sz w:val="20"/>
          <w:szCs w:val="20"/>
          <w:color w:val="auto"/>
        </w:rPr>
      </w:pPr>
      <w:r>
        <w:rPr>
          <w:rFonts w:ascii="Arial" w:cs="Arial" w:eastAsia="Arial" w:hAnsi="Arial"/>
          <w:sz w:val="19"/>
          <w:szCs w:val="19"/>
          <w:color w:val="auto"/>
        </w:rPr>
        <w:t>copyright, trademark, license or other property or proprietary right or constitutes the unauthorized use or misappropriation of any trade secret of any third party.</w:t>
      </w:r>
    </w:p>
    <w:p>
      <w:pPr>
        <w:spacing w:after="0" w:line="170" w:lineRule="exact"/>
        <w:rPr>
          <w:sz w:val="20"/>
          <w:szCs w:val="20"/>
          <w:color w:val="auto"/>
        </w:rPr>
      </w:pPr>
    </w:p>
    <w:p>
      <w:pPr>
        <w:jc w:val="both"/>
        <w:ind w:left="420" w:hanging="414"/>
        <w:spacing w:after="0" w:line="274" w:lineRule="auto"/>
        <w:tabs>
          <w:tab w:leader="none" w:pos="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Licensee shall refer to the Index only by the name set forth in this Amendment. No use or reference of the Index by Licensee shall imply that the Index is part of the standard family of indexes published by MSCI and/or Bloomberg/Barclays. Further, Licensee agrees not to make any statement or take any action that expresses or implies that MSCI and/or Bloomberg/Barclays approves of, endorses or otherwise expresses any judgment or opinion regarding Licensee or its products or services.</w:t>
      </w:r>
    </w:p>
    <w:p>
      <w:pPr>
        <w:spacing w:after="0" w:line="171" w:lineRule="exact"/>
        <w:rPr>
          <w:rFonts w:ascii="Arial" w:cs="Arial" w:eastAsia="Arial" w:hAnsi="Arial"/>
          <w:sz w:val="18"/>
          <w:szCs w:val="18"/>
          <w:color w:val="auto"/>
        </w:rPr>
      </w:pPr>
    </w:p>
    <w:p>
      <w:pPr>
        <w:jc w:val="both"/>
        <w:ind w:left="420" w:right="60" w:hanging="414"/>
        <w:spacing w:after="0" w:line="303" w:lineRule="auto"/>
        <w:tabs>
          <w:tab w:leader="none" w:pos="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Notwithstanding anything to the contrary (including Section 2 of the U.S. Agreement), ************************************. For the avoidance of doubt, this Amendment shall automatically terminate if the U.S. Agreement terminates or expires for any reason.</w:t>
      </w:r>
    </w:p>
    <w:p>
      <w:pPr>
        <w:spacing w:after="0" w:line="147" w:lineRule="exact"/>
        <w:rPr>
          <w:rFonts w:ascii="Arial" w:cs="Arial" w:eastAsia="Arial" w:hAnsi="Arial"/>
          <w:sz w:val="18"/>
          <w:szCs w:val="18"/>
          <w:color w:val="auto"/>
        </w:rPr>
      </w:pPr>
    </w:p>
    <w:p>
      <w:pPr>
        <w:jc w:val="both"/>
        <w:ind w:left="420" w:hanging="414"/>
        <w:spacing w:after="0" w:line="252" w:lineRule="auto"/>
        <w:tabs>
          <w:tab w:leader="none" w:pos="4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Licensee agrees that the audit requirements under Section 3 of the U.S. Agreement also include a right of audit with respect to Licensee’s compliance with this Amendment, subject to MSCI complying with any confidentiality obligations set forth in the U.S. Agreement and any applicable regulatory obligations provided to MSCI in advance in writing, and provided that any such audit does not access any Confidential Information that would cause the Licensee to breach any contractual obligation of confidentiality it owes to its clients.</w:t>
      </w:r>
    </w:p>
    <w:p>
      <w:pPr>
        <w:spacing w:after="0" w:line="193" w:lineRule="exact"/>
        <w:rPr>
          <w:rFonts w:ascii="Arial" w:cs="Arial" w:eastAsia="Arial" w:hAnsi="Arial"/>
          <w:sz w:val="19"/>
          <w:szCs w:val="19"/>
          <w:color w:val="auto"/>
        </w:rPr>
      </w:pPr>
    </w:p>
    <w:p>
      <w:pPr>
        <w:jc w:val="both"/>
        <w:ind w:left="420" w:hanging="414"/>
        <w:spacing w:after="0" w:line="289" w:lineRule="auto"/>
        <w:tabs>
          <w:tab w:leader="none" w:pos="4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 addition to the rights granted to MSCI in Section 4(c) of the U.S. Agreement and subject to the same notice requirements detailed therein, Licensee hereby acknowledges and agrees that MSCI and/or Bloomberg/Barclays may, and MSCI and/or Bloomberg/Barclays reserve the right in their discretion to, make changes in the titles, names, format, organization or content of the underlying parent index, including without limitation amending, enhancing or replacing index methodologies or index naming conventions governing the underlying parent index as well as any applicable security level attributes related to such underlying parent index.</w:t>
      </w:r>
    </w:p>
    <w:p>
      <w:pPr>
        <w:spacing w:after="0" w:line="163" w:lineRule="exact"/>
        <w:rPr>
          <w:rFonts w:ascii="Arial" w:cs="Arial" w:eastAsia="Arial" w:hAnsi="Arial"/>
          <w:sz w:val="17"/>
          <w:szCs w:val="17"/>
          <w:color w:val="auto"/>
        </w:rPr>
      </w:pPr>
    </w:p>
    <w:p>
      <w:pPr>
        <w:jc w:val="both"/>
        <w:ind w:left="420" w:hanging="414"/>
        <w:spacing w:after="0" w:line="250" w:lineRule="auto"/>
        <w:tabs>
          <w:tab w:leader="none" w:pos="4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Licensee acknowledges and agrees that the Index, the Marks, and all intellectual property rights in respect thereof are the property of MSCI and/or Bloomberg/Barclays, their affiliates and information providers (as applicable), and that the use granted hereunder shall not be construed to vest in Licensee any rights except as expressly authorized herein. Licensee further acknowledges and agrees that Marks shall include Bloomberg/Barclays trade name, trademark and service mark rights (including Index names and other Bloomberg/Barclays marks referred to herein) and that Bloomberg/Barclays is entitled to the same rights and protections that MSCI is afforded under the U.S. Agreement, including Sections 6 through 9 of the U.S. Agreement (as such sections are amended by this Amendment).</w:t>
      </w:r>
    </w:p>
    <w:p>
      <w:pPr>
        <w:spacing w:after="0" w:line="194" w:lineRule="exact"/>
        <w:rPr>
          <w:rFonts w:ascii="Arial" w:cs="Arial" w:eastAsia="Arial" w:hAnsi="Arial"/>
          <w:sz w:val="19"/>
          <w:szCs w:val="19"/>
          <w:color w:val="auto"/>
        </w:rPr>
      </w:pPr>
    </w:p>
    <w:p>
      <w:pPr>
        <w:ind w:left="420" w:hanging="414"/>
        <w:spacing w:after="0"/>
        <w:tabs>
          <w:tab w:leader="none" w:pos="4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disclaimer under Section 10(b) shall be replaced as follows in respect of the Fund only:</w:t>
      </w:r>
    </w:p>
    <w:p>
      <w:pPr>
        <w:spacing w:after="0" w:line="228" w:lineRule="exact"/>
        <w:rPr>
          <w:rFonts w:ascii="Arial" w:cs="Arial" w:eastAsia="Arial" w:hAnsi="Arial"/>
          <w:sz w:val="19"/>
          <w:szCs w:val="19"/>
          <w:color w:val="auto"/>
        </w:rPr>
      </w:pPr>
    </w:p>
    <w:p>
      <w:pPr>
        <w:jc w:val="both"/>
        <w:ind w:left="440" w:right="500"/>
        <w:spacing w:after="0" w:line="252" w:lineRule="auto"/>
        <w:rPr>
          <w:rFonts w:ascii="Arial" w:cs="Arial" w:eastAsia="Arial" w:hAnsi="Arial"/>
          <w:sz w:val="19"/>
          <w:szCs w:val="19"/>
          <w:color w:val="auto"/>
        </w:rPr>
      </w:pPr>
      <w:r>
        <w:rPr>
          <w:rFonts w:ascii="Arial" w:cs="Arial" w:eastAsia="Arial" w:hAnsi="Arial"/>
          <w:sz w:val="19"/>
          <w:szCs w:val="19"/>
          <w:color w:val="auto"/>
        </w:rPr>
        <w:t>THIS FUND IS NOT SPONSORED, ENDORSED, SOLD OR PROMOTED BY MSCI ESG RESEARCH LLC (“</w:t>
      </w:r>
      <w:r>
        <w:rPr>
          <w:rFonts w:ascii="Arial" w:cs="Arial" w:eastAsia="Arial" w:hAnsi="Arial"/>
          <w:sz w:val="19"/>
          <w:szCs w:val="19"/>
          <w:u w:val="single" w:color="auto"/>
          <w:color w:val="auto"/>
        </w:rPr>
        <w:t>MSCI ESG</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RESEARCH</w:t>
      </w:r>
      <w:r>
        <w:rPr>
          <w:rFonts w:ascii="Arial" w:cs="Arial" w:eastAsia="Arial" w:hAnsi="Arial"/>
          <w:sz w:val="19"/>
          <w:szCs w:val="19"/>
          <w:color w:val="auto"/>
        </w:rPr>
        <w:t>”), BLOOMBERG INDEX SERVICES LIMITED (“</w:t>
      </w:r>
      <w:r>
        <w:rPr>
          <w:rFonts w:ascii="Arial" w:cs="Arial" w:eastAsia="Arial" w:hAnsi="Arial"/>
          <w:sz w:val="19"/>
          <w:szCs w:val="19"/>
          <w:u w:val="single" w:color="auto"/>
          <w:color w:val="auto"/>
        </w:rPr>
        <w:t>BLOOMBERG</w:t>
      </w:r>
      <w:r>
        <w:rPr>
          <w:rFonts w:ascii="Arial" w:cs="Arial" w:eastAsia="Arial" w:hAnsi="Arial"/>
          <w:sz w:val="19"/>
          <w:szCs w:val="19"/>
          <w:color w:val="auto"/>
        </w:rPr>
        <w:t>”), BARCLAYS BANK PLC (“</w:t>
      </w:r>
      <w:r>
        <w:rPr>
          <w:rFonts w:ascii="Arial" w:cs="Arial" w:eastAsia="Arial" w:hAnsi="Arial"/>
          <w:sz w:val="19"/>
          <w:szCs w:val="19"/>
          <w:u w:val="single" w:color="auto"/>
          <w:color w:val="auto"/>
        </w:rPr>
        <w:t>BARCLAYS</w:t>
      </w:r>
      <w:r>
        <w:rPr>
          <w:rFonts w:ascii="Arial" w:cs="Arial" w:eastAsia="Arial" w:hAnsi="Arial"/>
          <w:sz w:val="19"/>
          <w:szCs w:val="19"/>
          <w:color w:val="auto"/>
        </w:rPr>
        <w:t>”) OR ANY OF THEIR RESPECTIVE AFFILIATES, INFORMATION PROVIDERS OR ANY OTHER THIRD PARTY (COLLECTIVELY, THE “</w:t>
      </w:r>
      <w:r>
        <w:rPr>
          <w:rFonts w:ascii="Arial" w:cs="Arial" w:eastAsia="Arial" w:hAnsi="Arial"/>
          <w:sz w:val="19"/>
          <w:szCs w:val="19"/>
          <w:u w:val="single" w:color="auto"/>
          <w:color w:val="auto"/>
        </w:rPr>
        <w:t>INDEX PARTIES</w:t>
      </w:r>
      <w:r>
        <w:rPr>
          <w:rFonts w:ascii="Arial" w:cs="Arial" w:eastAsia="Arial" w:hAnsi="Arial"/>
          <w:sz w:val="19"/>
          <w:szCs w:val="19"/>
          <w:color w:val="auto"/>
        </w:rPr>
        <w:t>”) INVOLVED IN, OR RELATED TO, COMPILING, COMPUTING OR CREATING THE BLOOMBERG BARCLAYS</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209550</wp:posOffset>
            </wp:positionV>
            <wp:extent cx="717804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2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820"/>
          </w:cols>
          <w:pgMar w:left="740" w:top="346" w:right="339" w:bottom="1440" w:gutter="0" w:footer="0" w:header="0"/>
        </w:sectPr>
      </w:pPr>
    </w:p>
    <w:bookmarkStart w:id="197" w:name="page198"/>
    <w:bookmarkEnd w:id="197"/>
    <w:p>
      <w:pPr>
        <w:jc w:val="both"/>
        <w:spacing w:after="0" w:line="247" w:lineRule="auto"/>
        <w:rPr>
          <w:sz w:val="20"/>
          <w:szCs w:val="20"/>
          <w:color w:val="auto"/>
        </w:rPr>
      </w:pPr>
      <w:r>
        <w:rPr>
          <w:rFonts w:ascii="Arial" w:cs="Arial" w:eastAsia="Arial" w:hAnsi="Arial"/>
          <w:sz w:val="19"/>
          <w:szCs w:val="19"/>
          <w:color w:val="auto"/>
        </w:rPr>
        <w:t>MSCI US UNIVERSAL CHOICE ESG SCREENED INDEX (THE “</w:t>
      </w:r>
      <w:r>
        <w:rPr>
          <w:rFonts w:ascii="Arial" w:cs="Arial" w:eastAsia="Arial" w:hAnsi="Arial"/>
          <w:sz w:val="19"/>
          <w:szCs w:val="19"/>
          <w:u w:val="single" w:color="auto"/>
          <w:color w:val="auto"/>
        </w:rPr>
        <w:t>INDEX</w:t>
      </w:r>
      <w:r>
        <w:rPr>
          <w:rFonts w:ascii="Arial" w:cs="Arial" w:eastAsia="Arial" w:hAnsi="Arial"/>
          <w:sz w:val="19"/>
          <w:szCs w:val="19"/>
          <w:color w:val="auto"/>
        </w:rPr>
        <w:t>”). THE INDEX IS THE EXCLUSIVE PROPERTY OF THE APPLICABLE INDEX PARTY. “BLOOMBERG”, “BARCLAYS”, “MSCI ESG RESEARCH”, AND THE INDEX NAME ARE THE RESPECTIVE TRADE AND/OR SERVICE MARKS OF BLOOMBERG, BARCLAYS, MSCI ESG RESEARCH, OR THEIR AFFILIATES AND HAVE BEEN LICENSED FOR USE FOR CERTAIN PURPOSES BY [LICENSEE]. NONE OF THE INDEX PARTIES MAKES ANY REPRESENTATION OR WARRANTY, EXPRESS OR IMPLIED, TO THE ISSUER OR OWNERS OF THIS FUND OR ANY OTHER PERSON OR ENTITY REGARDING THE ADVISABILITY OF INVESTING IN FUNDS GENERALLY OR IN THIS FUND PARTICULARLY OR THE ABILITY OF THE INDEX TO TRACK CORRESPONDING STOCK MARKET PERFORMANCE. MSCI ESG RESEARCH, BLOOMBERG, BARCLAYS, OR THEIR AFFILIATES ARE THE LICENSORS OF CERTAIN TRADEMARKS, SERVICE MARKS AND TRADE NAMES AND OF THE INDEX WHICH IS DETERMINED, COMPOSED AND CALCULATED BY BLOOMBERG AND/OR MSCI ESG RESEARCH WITHOUT REGARD TO THIS FUND OR THE ISSUER OR OWNERS OF THIS FUND OR ANY OTHER PERSON OR ENTITY. NONE OF THE INDEX PARTIES HAS ANY OBLIGATION TO TAKE THE NEEDS OF THE ISSUER OR OWNERS OF THIS FUND OR ANY OTHER PERSON OR ENTITY INTO CONSIDERATION IN DETERMINING, COMPOSING OR CALCULATING THE INDEX. NONE OF THE INDEX PARTIES IS RESPONSIBLE FOR OR HAS PARTICIPATED IN THE DETERMINATION OF THE TIMING OF, PRICES AT, OR QUANTITIES OF THIS FUND TO BE ISSUED OR IN THE DETERMINATION OR CALCULATION OF THE EQUATION BY OR THE CONSIDERATION INTO WHICH THIS FUND IS REDEEMABLE. FURTHER, NONE OF THE INDEX PARTIES HAS ANY OBLIGATION OR LIABILITY TO THE ISSUER OR OWNERS OF THIS FUND OR ANY OTHER PERSON OR ENTITY IN CONNECTION WITH THE ADMINISTRATION, MARKETING OR OFFERING OF THIS FUND.</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ALTHOUGH THE INDEX PARTIES SHALL OBTAIN INFORMATION FOR INCLUSION IN OR FOR USE IN THE CALCULATION OF THE INDEX FROM SOURCES CONSIDERED RELIABLE, NONE OF THE INDEX PARTIES WARRANTS OR GUARANTEES THE ORIGINALITY, ACCURACY AND/OR THE COMPLETENESS OF THE INDEX OR ANY DATA INCLUDED THEREIN. NONE OF THE INDEX PARTIES MAKES ANY WARRANTY, EXPRESS OR IMPLIED, AS TO RESULTS TO BE OBTAINED BY THE ISSUER OF THE FUND, OWNERS OF THE FUND, OR ANY OTHER PERSON OR ENTITY, FROM THE USE OF ANY INDEX OR ANY DATA INCLUDED THEREIN. NONE OF THE INDEX PARTIES SHALL HAVE ANY LIABILITY FOR ANY ERRORS, OMISSIONS OR INTERRUPTIONS OF OR IN CONNECTION WITH THE INDEX OR ANY DATA INCLUDED THEREIN. FURTHER, NONE OF THE INDEX PARTIES MAKES ANY EXPRESS OR IMPLIED WARRANTIES OF ANY KIND, AND THE INDEX PARTIES HEREBY EXPRESSLY DISCLAIM ALL WARRANTIES OF MERCHANTABILITY AND FITNESS FOR A PARTICULAR PURPOSE, WITH RESPECT TO THE INDEX AND ANY DATA INCLUDED THEREIN. WITHOUT LIMITING ANY OF THE FOREGOING, IN NO EVENT SHALL ANY OF THE INDEX PARTIES HAVE ANY LIABILITY FOR ANY DIRECT, INDIRECT, SPECIAL, PUNITIVE, CONSEQUENTIAL OR ANY OTHER DAMAGES (INCLUDING LOST PROFITS) EVEN IF NOTIFIED OF THE POSSIBILITY OF SUCH DAMAGES.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No purchaser, seller or holder of this security, product or fund, or any other person or entity, should use or refer to any MSCI ESG Research, Bloomberg, or Barclays trade name, trademark or service mark to sponsor, endorse, market or promote this security without first contacting MSCI ESG Research to determine whether permission is required. Under no circumstances</w:t>
      </w:r>
    </w:p>
    <w:p>
      <w:pPr>
        <w:spacing w:after="0" w:line="377"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209550</wp:posOffset>
            </wp:positionV>
            <wp:extent cx="717804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2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9880"/>
          </w:cols>
          <w:pgMar w:left="1180" w:top="346" w:right="839" w:bottom="1440" w:gutter="0" w:footer="0" w:header="0"/>
        </w:sectPr>
      </w:pPr>
    </w:p>
    <w:bookmarkStart w:id="198" w:name="page199"/>
    <w:bookmarkEnd w:id="198"/>
    <w:p>
      <w:pPr>
        <w:ind w:left="440" w:right="520"/>
        <w:spacing w:after="0" w:line="275" w:lineRule="auto"/>
        <w:rPr>
          <w:sz w:val="20"/>
          <w:szCs w:val="20"/>
          <w:color w:val="auto"/>
        </w:rPr>
      </w:pPr>
      <w:r>
        <w:rPr>
          <w:rFonts w:ascii="Arial" w:cs="Arial" w:eastAsia="Arial" w:hAnsi="Arial"/>
          <w:sz w:val="19"/>
          <w:szCs w:val="19"/>
          <w:color w:val="auto"/>
        </w:rPr>
        <w:t>may any person or entity claim any affiliation with MSCI ESG Research, Bloomberg, or Barclays without prior written permission.</w:t>
      </w:r>
    </w:p>
    <w:p>
      <w:pPr>
        <w:spacing w:after="0" w:line="170" w:lineRule="exact"/>
        <w:rPr>
          <w:sz w:val="20"/>
          <w:szCs w:val="20"/>
          <w:color w:val="auto"/>
        </w:rPr>
      </w:pPr>
    </w:p>
    <w:p>
      <w:pPr>
        <w:ind w:left="420" w:hanging="414"/>
        <w:spacing w:after="0"/>
        <w:tabs>
          <w:tab w:leader="none" w:pos="42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disclaimer required under Section 10(c) shall be replaced as follows in respect of the Fund only:</w:t>
      </w:r>
    </w:p>
    <w:p>
      <w:pPr>
        <w:spacing w:after="0" w:line="228" w:lineRule="exact"/>
        <w:rPr>
          <w:rFonts w:ascii="Arial" w:cs="Arial" w:eastAsia="Arial" w:hAnsi="Arial"/>
          <w:sz w:val="19"/>
          <w:szCs w:val="19"/>
          <w:color w:val="auto"/>
        </w:rPr>
      </w:pPr>
    </w:p>
    <w:p>
      <w:pPr>
        <w:jc w:val="both"/>
        <w:ind w:left="440" w:right="500"/>
        <w:spacing w:after="0" w:line="255" w:lineRule="auto"/>
        <w:rPr>
          <w:rFonts w:ascii="Arial" w:cs="Arial" w:eastAsia="Arial" w:hAnsi="Arial"/>
          <w:sz w:val="19"/>
          <w:szCs w:val="19"/>
          <w:color w:val="auto"/>
        </w:rPr>
      </w:pPr>
      <w:r>
        <w:rPr>
          <w:rFonts w:ascii="Arial" w:cs="Arial" w:eastAsia="Arial" w:hAnsi="Arial"/>
          <w:sz w:val="19"/>
          <w:szCs w:val="19"/>
          <w:color w:val="auto"/>
        </w:rPr>
        <w:t>The fund or securities referred to herein are not sponsored, endorsed, or promoted by MSCI ESG Research, Bloomberg, or Barclays, and they each bear no liability with respect to any such fund or securities or any index on which such fund or securities are based. The [Prospectus] contains a more detailed description of the limited relationship MSCI ESG Research, Bloomberg, and Barclays have with [Licensee] and any related funds.</w:t>
      </w:r>
    </w:p>
    <w:p>
      <w:pPr>
        <w:spacing w:after="0" w:line="188" w:lineRule="exact"/>
        <w:rPr>
          <w:rFonts w:ascii="Arial" w:cs="Arial" w:eastAsia="Arial" w:hAnsi="Arial"/>
          <w:sz w:val="19"/>
          <w:szCs w:val="19"/>
          <w:color w:val="auto"/>
        </w:rPr>
      </w:pPr>
    </w:p>
    <w:p>
      <w:pPr>
        <w:ind w:left="420" w:hanging="414"/>
        <w:spacing w:after="0"/>
        <w:tabs>
          <w:tab w:leader="none" w:pos="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Licensee hereby acknowledges and agrees that Bloomberg/Barclays is considered a third party beneficiary of this Agreement.</w:t>
      </w:r>
    </w:p>
    <w:p>
      <w:pPr>
        <w:spacing w:after="0" w:line="239" w:lineRule="exact"/>
        <w:rPr>
          <w:rFonts w:ascii="Arial" w:cs="Arial" w:eastAsia="Arial" w:hAnsi="Arial"/>
          <w:sz w:val="18"/>
          <w:szCs w:val="18"/>
          <w:color w:val="auto"/>
        </w:rPr>
      </w:pPr>
    </w:p>
    <w:p>
      <w:pPr>
        <w:ind w:left="420" w:hanging="414"/>
        <w:spacing w:after="0" w:line="275" w:lineRule="auto"/>
        <w:tabs>
          <w:tab w:leader="none" w:pos="42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the Licensee shall not be required to pay twice for the same loss under this Agreement.</w:t>
      </w:r>
    </w:p>
    <w:p>
      <w:pPr>
        <w:spacing w:after="0" w:line="169" w:lineRule="exact"/>
        <w:rPr>
          <w:rFonts w:ascii="Arial" w:cs="Arial" w:eastAsia="Arial" w:hAnsi="Arial"/>
          <w:sz w:val="19"/>
          <w:szCs w:val="19"/>
          <w:color w:val="auto"/>
        </w:rPr>
      </w:pPr>
    </w:p>
    <w:p>
      <w:pPr>
        <w:ind w:left="420" w:hanging="414"/>
        <w:spacing w:after="0" w:line="275" w:lineRule="auto"/>
        <w:tabs>
          <w:tab w:leader="none" w:pos="42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With respect to this Amendment only, the indemnification provision under Section 11(a) of the U.S. Agreement shall be deleted in its entirety and replaced as follows:</w:t>
      </w:r>
    </w:p>
    <w:p>
      <w:pPr>
        <w:spacing w:after="0" w:line="170" w:lineRule="exact"/>
        <w:rPr>
          <w:sz w:val="20"/>
          <w:szCs w:val="20"/>
          <w:color w:val="auto"/>
        </w:rPr>
      </w:pPr>
    </w:p>
    <w:p>
      <w:pPr>
        <w:jc w:val="both"/>
        <w:ind w:left="440" w:right="860"/>
        <w:spacing w:after="0" w:line="278" w:lineRule="auto"/>
        <w:rPr>
          <w:sz w:val="20"/>
          <w:szCs w:val="20"/>
          <w:color w:val="auto"/>
        </w:rPr>
      </w:pPr>
      <w:r>
        <w:rPr>
          <w:rFonts w:ascii="Arial" w:cs="Arial" w:eastAsia="Arial" w:hAnsi="Arial"/>
          <w:sz w:val="17"/>
          <w:szCs w:val="17"/>
          <w:color w:val="auto"/>
        </w:rPr>
        <w:t>“(a) Licensee shall indemnify, defend and hold harmless MSCI and its parent, subsidiaries, affiliates, Bloomberg/Barclays and its parent, subsidiaries and affiliates, and their officers, directors, employees and agents (each, an “Indemnitee”) against any and all judgments, damages, costs or losses of any kind (including reasonable attorney’s and experts’ fees) as a result of claims or actions brought by third parties against any Indemnitee which arise from any act or omission of Licensee which constitutes a breach of this Agreement or is in any manner related to the Fund (except with respect to any claim or action alleging that Licensee’s or Fund’s use of the Index and Marks violates or infringes any trademark, service mark, copyright or other proprietary right of any person not a party to this Agreement); provided, however, that (i) MSCI notifies Licensee promptly of any such claim or action, and (ii) Licensee shall have no liability to an Indemnitee if such judgments, damages, costs or losses are attributable to any breach of the Agreement, negligent act or omission by any Indemnitee with respect to this Agreement. Licensee shall bear all expenses in connection with the defense and/or settlement of any such claim or action. MSCI shall have the right, at its own expense, to participate in the defense of any claim or action against which an Indemnitee is indemnified hereunder; provided, however, it shall have no right to control the defense, consent to judgment, or agree to settle any claim or action, without the written consent of Licensee. Licensee, in the defense of any such claim, except with the written consent of MSCI, shall not consent to entry of any judgment or enter into any settlement which (i) does not include, as an unconditional term, the grant by the claimant to each relevant Indemnitee of a release of all liabilities in respect of such claims or (ii) otherwise adversely affects the rights of an Indemnitee. This provision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209550</wp:posOffset>
            </wp:positionV>
            <wp:extent cx="717804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2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820"/>
          </w:cols>
          <w:pgMar w:left="740" w:top="346" w:right="339" w:bottom="1440" w:gutter="0" w:footer="0" w:header="0"/>
        </w:sectPr>
      </w:pPr>
    </w:p>
    <w:bookmarkStart w:id="199" w:name="page200"/>
    <w:bookmarkEnd w:id="199"/>
    <w:p>
      <w:pPr>
        <w:jc w:val="both"/>
        <w:ind w:left="420" w:hanging="414"/>
        <w:spacing w:after="0" w:line="268" w:lineRule="auto"/>
        <w:tabs>
          <w:tab w:leader="none" w:pos="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MSCI and/or Bloomberg/Barclays may collect data generated as a result of use of the Index by Licensee provided and/or made available to MSCI and/or Bloomberg/Barclays as a result of the Agreement and/or concerning Licensee usage of the Index and Licensee acknowledges and hereby agrees that MSCI and/or Bloomberg/Barclays may use such data, including Licensee’s contact and delivery information to: (i) allow for delivery of the Index to Licensee and for reporting purposes between MSCI and/or Bloomberg/Barclays; (ii) enable MSCI and/or Bloomberg/Barclays to better tailor products to meet its customers’ particular requirements; (iii) improve the Index; and (iv) provided always that such data has been anonymized, for any other purpose.</w:t>
      </w:r>
    </w:p>
    <w:p>
      <w:pPr>
        <w:spacing w:after="0" w:line="177" w:lineRule="exact"/>
        <w:rPr>
          <w:rFonts w:ascii="Arial" w:cs="Arial" w:eastAsia="Arial" w:hAnsi="Arial"/>
          <w:sz w:val="18"/>
          <w:szCs w:val="18"/>
          <w:color w:val="auto"/>
        </w:rPr>
      </w:pPr>
    </w:p>
    <w:p>
      <w:pPr>
        <w:ind w:left="420" w:hanging="414"/>
        <w:spacing w:after="0"/>
        <w:tabs>
          <w:tab w:leader="none" w:pos="4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“Notice” addresses under Section 13 shall be replaced as follows:</w:t>
      </w:r>
    </w:p>
    <w:p>
      <w:pPr>
        <w:spacing w:after="0" w:line="228" w:lineRule="exact"/>
        <w:rPr>
          <w:sz w:val="20"/>
          <w:szCs w:val="20"/>
          <w:color w:val="auto"/>
        </w:rPr>
      </w:pPr>
    </w:p>
    <w:p>
      <w:pPr>
        <w:ind w:left="440"/>
        <w:spacing w:after="0"/>
        <w:tabs>
          <w:tab w:leader="none" w:pos="2080" w:val="left"/>
        </w:tabs>
        <w:rPr>
          <w:sz w:val="20"/>
          <w:szCs w:val="20"/>
          <w:color w:val="auto"/>
        </w:rPr>
      </w:pPr>
      <w:r>
        <w:rPr>
          <w:rFonts w:ascii="Arial" w:cs="Arial" w:eastAsia="Arial" w:hAnsi="Arial"/>
          <w:sz w:val="19"/>
          <w:szCs w:val="19"/>
          <w:color w:val="auto"/>
        </w:rPr>
        <w:t>Notice to MSCI:</w:t>
      </w:r>
      <w:r>
        <w:rPr>
          <w:sz w:val="20"/>
          <w:szCs w:val="20"/>
          <w:color w:val="auto"/>
        </w:rPr>
        <w:tab/>
      </w:r>
      <w:r>
        <w:rPr>
          <w:rFonts w:ascii="Arial" w:cs="Arial" w:eastAsia="Arial" w:hAnsi="Arial"/>
          <w:sz w:val="17"/>
          <w:szCs w:val="17"/>
          <w:color w:val="auto"/>
        </w:rPr>
        <w:t>MSCI ESG Research LLC</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7 World Trade Center</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250 Greenwich Street, 49th Floor</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New York, NY 10007, USA</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Attn: MSCI Finance Department</w:t>
      </w:r>
    </w:p>
    <w:p>
      <w:pPr>
        <w:spacing w:after="0" w:line="5" w:lineRule="exact"/>
        <w:rPr>
          <w:sz w:val="20"/>
          <w:szCs w:val="20"/>
          <w:color w:val="auto"/>
        </w:rPr>
      </w:pPr>
    </w:p>
    <w:p>
      <w:pPr>
        <w:ind w:left="2740"/>
        <w:spacing w:after="0"/>
        <w:tabs>
          <w:tab w:leader="none" w:pos="3260" w:val="left"/>
        </w:tabs>
        <w:rPr>
          <w:sz w:val="20"/>
          <w:szCs w:val="20"/>
          <w:color w:val="auto"/>
        </w:rPr>
      </w:pPr>
      <w:r>
        <w:rPr>
          <w:rFonts w:ascii="Arial" w:cs="Arial" w:eastAsia="Arial" w:hAnsi="Arial"/>
          <w:sz w:val="19"/>
          <w:szCs w:val="19"/>
          <w:color w:val="auto"/>
        </w:rPr>
        <w:t>Fax:</w:t>
      </w:r>
      <w:r>
        <w:rPr>
          <w:sz w:val="20"/>
          <w:szCs w:val="20"/>
          <w:color w:val="auto"/>
        </w:rPr>
        <w:tab/>
      </w:r>
      <w:r>
        <w:rPr>
          <w:rFonts w:ascii="Arial" w:cs="Arial" w:eastAsia="Arial" w:hAnsi="Arial"/>
          <w:sz w:val="17"/>
          <w:szCs w:val="17"/>
          <w:color w:val="auto"/>
        </w:rPr>
        <w:t>212-809-1213</w:t>
      </w:r>
    </w:p>
    <w:p>
      <w:pPr>
        <w:spacing w:after="0" w:line="212"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with a copy to (which shall not constitute notice hereunder):</w:t>
      </w:r>
    </w:p>
    <w:p>
      <w:pPr>
        <w:spacing w:after="0" w:line="228"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MSCI ESG Research LLC</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7 World Trade Center</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250 Greenwich Street, 49th Floor</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New York, NY 10007, USA</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Attn: General Counsel</w:t>
      </w:r>
    </w:p>
    <w:p>
      <w:pPr>
        <w:spacing w:after="0" w:line="5" w:lineRule="exact"/>
        <w:rPr>
          <w:sz w:val="20"/>
          <w:szCs w:val="20"/>
          <w:color w:val="auto"/>
        </w:rPr>
      </w:pPr>
    </w:p>
    <w:p>
      <w:pPr>
        <w:ind w:left="2740"/>
        <w:spacing w:after="0"/>
        <w:tabs>
          <w:tab w:leader="none" w:pos="3260" w:val="left"/>
        </w:tabs>
        <w:rPr>
          <w:sz w:val="20"/>
          <w:szCs w:val="20"/>
          <w:color w:val="auto"/>
        </w:rPr>
      </w:pPr>
      <w:r>
        <w:rPr>
          <w:rFonts w:ascii="Arial" w:cs="Arial" w:eastAsia="Arial" w:hAnsi="Arial"/>
          <w:sz w:val="19"/>
          <w:szCs w:val="19"/>
          <w:color w:val="auto"/>
        </w:rPr>
        <w:t>Fax:</w:t>
      </w:r>
      <w:r>
        <w:rPr>
          <w:sz w:val="20"/>
          <w:szCs w:val="20"/>
          <w:color w:val="auto"/>
        </w:rPr>
        <w:tab/>
      </w:r>
      <w:r>
        <w:rPr>
          <w:rFonts w:ascii="Arial" w:cs="Arial" w:eastAsia="Arial" w:hAnsi="Arial"/>
          <w:sz w:val="17"/>
          <w:szCs w:val="17"/>
          <w:color w:val="auto"/>
        </w:rPr>
        <w:t>212-804-2906</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Notice to Licensee:BlackRock Fund Advisors</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400 Howard Street</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San Francisco, CA 94105</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Attn: U.S. Legal and Compliance Group</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Fax: (415) 618-1025</w:t>
      </w:r>
    </w:p>
    <w:p>
      <w:pPr>
        <w:spacing w:after="0" w:line="212"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with a copy to (which shall not constitute notice hereunder):</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BlackRock Fund Advisors</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55 East 52nd Street</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New York, NY 10055</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Attn: U.S. Legal and Compliance Group</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209550</wp:posOffset>
            </wp:positionV>
            <wp:extent cx="717804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29">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820"/>
          </w:cols>
          <w:pgMar w:left="740" w:top="570" w:right="339" w:bottom="1440" w:gutter="0" w:footer="0" w:header="0"/>
        </w:sectPr>
      </w:pPr>
    </w:p>
    <w:bookmarkStart w:id="200" w:name="page201"/>
    <w:bookmarkEnd w:id="200"/>
    <w:p>
      <w:pPr>
        <w:spacing w:after="0"/>
        <w:rPr>
          <w:sz w:val="20"/>
          <w:szCs w:val="20"/>
          <w:color w:val="auto"/>
        </w:rPr>
      </w:pPr>
      <w:r>
        <w:rPr>
          <w:rFonts w:ascii="Arial" w:cs="Arial" w:eastAsia="Arial" w:hAnsi="Arial"/>
          <w:sz w:val="17"/>
          <w:szCs w:val="17"/>
          <w:color w:val="auto"/>
        </w:rPr>
        <w:t>The parties agree that this Amendment forms an integral part of and is subject to all the terms and conditions of the Agreement.</w:t>
      </w:r>
    </w:p>
    <w:p>
      <w:pPr>
        <w:spacing w:after="0" w:line="196" w:lineRule="exact"/>
        <w:rPr>
          <w:sz w:val="20"/>
          <w:szCs w:val="20"/>
          <w:color w:val="auto"/>
        </w:rPr>
      </w:pPr>
    </w:p>
    <w:tbl>
      <w:tblPr>
        <w:tblLayout w:type="fixed"/>
        <w:tblInd w:w="1530" w:type="dxa"/>
        <w:tblCellMar>
          <w:top w:w="0" w:type="dxa"/>
          <w:left w:w="0" w:type="dxa"/>
          <w:bottom w:w="0" w:type="dxa"/>
          <w:right w:w="0" w:type="dxa"/>
        </w:tblCellMar>
      </w:tblPr>
      <w:tr>
        <w:trPr>
          <w:trHeight w:val="259"/>
        </w:trPr>
        <w:tc>
          <w:tcPr>
            <w:tcW w:w="3940" w:type="dxa"/>
            <w:vAlign w:val="bottom"/>
            <w:tcBorders>
              <w:top w:val="single" w:sz="8" w:color="auto"/>
              <w:left w:val="single" w:sz="8" w:color="auto"/>
            </w:tcBorders>
            <w:gridSpan w:val="3"/>
          </w:tcPr>
          <w:p>
            <w:pPr>
              <w:ind w:left="20"/>
              <w:spacing w:after="0"/>
              <w:rPr>
                <w:sz w:val="20"/>
                <w:szCs w:val="20"/>
                <w:color w:val="auto"/>
              </w:rPr>
            </w:pPr>
            <w:r>
              <w:rPr>
                <w:rFonts w:ascii="Arial" w:cs="Arial" w:eastAsia="Arial" w:hAnsi="Arial"/>
                <w:sz w:val="19"/>
                <w:szCs w:val="19"/>
                <w:color w:val="auto"/>
              </w:rPr>
              <w:t>MSCI ESG Research LLC</w:t>
            </w:r>
          </w:p>
        </w:tc>
        <w:tc>
          <w:tcPr>
            <w:tcW w:w="428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9"/>
                <w:szCs w:val="19"/>
                <w:color w:val="auto"/>
              </w:rPr>
              <w:t>BlackRock Fund Advisors</w:t>
            </w:r>
          </w:p>
        </w:tc>
      </w:tr>
      <w:tr>
        <w:trPr>
          <w:trHeight w:val="385"/>
        </w:trPr>
        <w:tc>
          <w:tcPr>
            <w:tcW w:w="3940" w:type="dxa"/>
            <w:vAlign w:val="bottom"/>
            <w:tcBorders>
              <w:left w:val="single" w:sz="8" w:color="auto"/>
            </w:tcBorders>
            <w:gridSpan w:val="3"/>
          </w:tcPr>
          <w:p>
            <w:pPr>
              <w:ind w:left="20"/>
              <w:spacing w:after="0"/>
              <w:rPr>
                <w:sz w:val="20"/>
                <w:szCs w:val="20"/>
                <w:color w:val="auto"/>
              </w:rPr>
            </w:pPr>
            <w:r>
              <w:rPr>
                <w:rFonts w:ascii="Arial" w:cs="Arial" w:eastAsia="Arial" w:hAnsi="Arial"/>
                <w:sz w:val="19"/>
                <w:szCs w:val="19"/>
                <w:color w:val="auto"/>
              </w:rPr>
              <w:t>By: _/s/ Joke Jacinto____________________</w:t>
            </w:r>
          </w:p>
        </w:tc>
        <w:tc>
          <w:tcPr>
            <w:tcW w:w="4280" w:type="dxa"/>
            <w:vAlign w:val="bottom"/>
            <w:tcBorders>
              <w:right w:val="single" w:sz="8" w:color="auto"/>
            </w:tcBorders>
            <w:gridSpan w:val="3"/>
          </w:tcPr>
          <w:p>
            <w:pPr>
              <w:ind w:left="400"/>
              <w:spacing w:after="0"/>
              <w:rPr>
                <w:sz w:val="20"/>
                <w:szCs w:val="20"/>
                <w:color w:val="auto"/>
              </w:rPr>
            </w:pPr>
            <w:r>
              <w:rPr>
                <w:rFonts w:ascii="Arial" w:cs="Arial" w:eastAsia="Arial" w:hAnsi="Arial"/>
                <w:sz w:val="19"/>
                <w:szCs w:val="19"/>
                <w:color w:val="auto"/>
                <w:w w:val="93"/>
              </w:rPr>
              <w:t>By: _/s/ Ruth Weiss_______________________</w:t>
            </w: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r>
      <w:tr>
        <w:trPr>
          <w:trHeight w:val="432"/>
        </w:trPr>
        <w:tc>
          <w:tcPr>
            <w:tcW w:w="3940" w:type="dxa"/>
            <w:vAlign w:val="bottom"/>
            <w:tcBorders>
              <w:left w:val="single" w:sz="8" w:color="auto"/>
            </w:tcBorders>
            <w:gridSpan w:val="3"/>
          </w:tcPr>
          <w:p>
            <w:pPr>
              <w:ind w:left="20"/>
              <w:spacing w:after="0"/>
              <w:rPr>
                <w:sz w:val="20"/>
                <w:szCs w:val="20"/>
                <w:color w:val="auto"/>
              </w:rPr>
            </w:pPr>
            <w:r>
              <w:rPr>
                <w:rFonts w:ascii="Arial" w:cs="Arial" w:eastAsia="Arial" w:hAnsi="Arial"/>
                <w:sz w:val="19"/>
                <w:szCs w:val="19"/>
                <w:color w:val="auto"/>
              </w:rPr>
              <w:t>Name: Joke Jacinto</w:t>
            </w:r>
          </w:p>
        </w:tc>
        <w:tc>
          <w:tcPr>
            <w:tcW w:w="4280" w:type="dxa"/>
            <w:vAlign w:val="bottom"/>
            <w:tcBorders>
              <w:right w:val="single" w:sz="8" w:color="auto"/>
            </w:tcBorders>
            <w:gridSpan w:val="3"/>
          </w:tcPr>
          <w:p>
            <w:pPr>
              <w:ind w:left="400"/>
              <w:spacing w:after="0"/>
              <w:rPr>
                <w:sz w:val="20"/>
                <w:szCs w:val="20"/>
                <w:color w:val="auto"/>
              </w:rPr>
            </w:pPr>
            <w:r>
              <w:rPr>
                <w:rFonts w:ascii="Arial" w:cs="Arial" w:eastAsia="Arial" w:hAnsi="Arial"/>
                <w:sz w:val="19"/>
                <w:szCs w:val="19"/>
                <w:color w:val="auto"/>
              </w:rPr>
              <w:t>Name: Ruth Weiss</w:t>
            </w:r>
          </w:p>
        </w:tc>
      </w:tr>
      <w:tr>
        <w:trPr>
          <w:trHeight w:val="394"/>
        </w:trPr>
        <w:tc>
          <w:tcPr>
            <w:tcW w:w="3940" w:type="dxa"/>
            <w:vAlign w:val="bottom"/>
            <w:tcBorders>
              <w:left w:val="single" w:sz="8" w:color="auto"/>
            </w:tcBorders>
            <w:gridSpan w:val="3"/>
          </w:tcPr>
          <w:p>
            <w:pPr>
              <w:ind w:left="20"/>
              <w:spacing w:after="0"/>
              <w:rPr>
                <w:sz w:val="20"/>
                <w:szCs w:val="20"/>
                <w:color w:val="auto"/>
              </w:rPr>
            </w:pPr>
            <w:r>
              <w:rPr>
                <w:rFonts w:ascii="Arial" w:cs="Arial" w:eastAsia="Arial" w:hAnsi="Arial"/>
                <w:sz w:val="19"/>
                <w:szCs w:val="19"/>
                <w:color w:val="auto"/>
              </w:rPr>
              <w:t>Title: Executive Director</w:t>
            </w:r>
          </w:p>
        </w:tc>
        <w:tc>
          <w:tcPr>
            <w:tcW w:w="4280" w:type="dxa"/>
            <w:vAlign w:val="bottom"/>
            <w:tcBorders>
              <w:right w:val="single" w:sz="8" w:color="auto"/>
            </w:tcBorders>
            <w:gridSpan w:val="3"/>
          </w:tcPr>
          <w:p>
            <w:pPr>
              <w:ind w:left="400"/>
              <w:spacing w:after="0"/>
              <w:rPr>
                <w:sz w:val="20"/>
                <w:szCs w:val="20"/>
                <w:color w:val="auto"/>
              </w:rPr>
            </w:pPr>
            <w:r>
              <w:rPr>
                <w:rFonts w:ascii="Arial" w:cs="Arial" w:eastAsia="Arial" w:hAnsi="Arial"/>
                <w:sz w:val="19"/>
                <w:szCs w:val="19"/>
                <w:color w:val="auto"/>
              </w:rPr>
              <w:t>Title: Managing Director</w:t>
            </w:r>
          </w:p>
        </w:tc>
      </w:tr>
      <w:tr>
        <w:trPr>
          <w:trHeight w:val="434"/>
        </w:trPr>
        <w:tc>
          <w:tcPr>
            <w:tcW w:w="440" w:type="dxa"/>
            <w:vAlign w:val="bottom"/>
            <w:tcBorders>
              <w:lef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80" w:type="dxa"/>
            <w:vAlign w:val="bottom"/>
            <w:tcBorders>
              <w:right w:val="single" w:sz="8" w:color="auto"/>
            </w:tcBorders>
            <w:gridSpan w:val="3"/>
          </w:tcPr>
          <w:p>
            <w:pPr>
              <w:ind w:left="400"/>
              <w:spacing w:after="0"/>
              <w:rPr>
                <w:sz w:val="20"/>
                <w:szCs w:val="20"/>
                <w:color w:val="auto"/>
              </w:rPr>
            </w:pPr>
            <w:r>
              <w:rPr>
                <w:rFonts w:ascii="Arial" w:cs="Arial" w:eastAsia="Arial" w:hAnsi="Arial"/>
                <w:sz w:val="19"/>
                <w:szCs w:val="19"/>
                <w:color w:val="auto"/>
              </w:rPr>
              <w:t>Mar-20-2020</w:t>
            </w:r>
          </w:p>
        </w:tc>
      </w:tr>
      <w:tr>
        <w:trPr>
          <w:trHeight w:val="205"/>
        </w:trPr>
        <w:tc>
          <w:tcPr>
            <w:tcW w:w="440" w:type="dxa"/>
            <w:vAlign w:val="bottom"/>
            <w:tcBorders>
              <w:left w:val="single" w:sz="8" w:color="auto"/>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39"/>
          </w:cols>
          <w:pgMar w:left="320" w:top="570" w:right="1440" w:bottom="1440" w:gutter="0" w:footer="0" w:header="0"/>
        </w:sectPr>
      </w:pPr>
    </w:p>
    <w:bookmarkStart w:id="201" w:name="page202"/>
    <w:bookmarkEnd w:id="201"/>
    <w:p>
      <w:pPr>
        <w:jc w:val="right"/>
        <w:ind w:right="100"/>
        <w:spacing w:after="0"/>
        <w:rPr>
          <w:sz w:val="20"/>
          <w:szCs w:val="20"/>
          <w:color w:val="auto"/>
        </w:rPr>
      </w:pPr>
      <w:r>
        <w:rPr>
          <w:rFonts w:ascii="Arial" w:cs="Arial" w:eastAsia="Arial" w:hAnsi="Arial"/>
          <w:sz w:val="18"/>
          <w:szCs w:val="18"/>
          <w:b w:val="1"/>
          <w:bCs w:val="1"/>
          <w:color w:val="auto"/>
        </w:rPr>
        <w:t>Exhibit 10.163</w:t>
      </w:r>
    </w:p>
    <w:p>
      <w:pPr>
        <w:spacing w:after="0" w:line="227"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A.N.: 130339</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AMD_00285686.0</w:t>
      </w:r>
    </w:p>
    <w:p>
      <w:pPr>
        <w:spacing w:after="0" w:line="215"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color w:val="auto"/>
        </w:rPr>
        <w:t>CERTAIN IDENTIFIED INFORMATION HAS BEEN EXCLUDED FROM THIS EXHIBIT BECAUSE IT IS NOT MATERIAL AND IS OF THE TYPE THAT THE COMPANY TREATS AS PRIVATE OR CONFIDENTIAL. *** INDICATES THAT INFORMATION HAS BEEN REDACTED.</w:t>
      </w:r>
    </w:p>
    <w:p>
      <w:pPr>
        <w:spacing w:after="0" w:line="36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AMENDMENT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 of Amendment: April 26, 2021</w:t>
      </w:r>
    </w:p>
    <w:p>
      <w:pPr>
        <w:spacing w:after="0" w:line="174" w:lineRule="exact"/>
        <w:rPr>
          <w:sz w:val="20"/>
          <w:szCs w:val="20"/>
          <w:color w:val="auto"/>
        </w:rPr>
      </w:pPr>
    </w:p>
    <w:p>
      <w:pPr>
        <w:jc w:val="both"/>
        <w:ind w:right="100"/>
        <w:spacing w:after="0" w:line="249" w:lineRule="auto"/>
        <w:rPr>
          <w:sz w:val="20"/>
          <w:szCs w:val="20"/>
          <w:color w:val="auto"/>
        </w:rPr>
      </w:pPr>
      <w:r>
        <w:rPr>
          <w:rFonts w:ascii="Arial" w:cs="Arial" w:eastAsia="Arial" w:hAnsi="Arial"/>
          <w:sz w:val="18"/>
          <w:szCs w:val="18"/>
          <w:color w:val="auto"/>
        </w:rPr>
        <w:t>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Index License Agreement for Funds (internal MSCI reference IXF_00040) dated as of March 18, 2000 (as previously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MSCI Inc. (formerly known as Morgan Stanley Capital International Inc.) (“</w:t>
      </w:r>
      <w:r>
        <w:rPr>
          <w:rFonts w:ascii="Arial" w:cs="Arial" w:eastAsia="Arial" w:hAnsi="Arial"/>
          <w:sz w:val="18"/>
          <w:szCs w:val="18"/>
          <w:u w:val="single" w:color="auto"/>
          <w:color w:val="auto"/>
        </w:rPr>
        <w:t>MSCI</w:t>
      </w:r>
      <w:r>
        <w:rPr>
          <w:rFonts w:ascii="Arial" w:cs="Arial" w:eastAsia="Arial" w:hAnsi="Arial"/>
          <w:sz w:val="18"/>
          <w:szCs w:val="18"/>
          <w:color w:val="auto"/>
        </w:rPr>
        <w:t>”) and BlackRock Fund Advisors, a California corporation (as successor to Barclays Global Investors, N.A.) (“</w:t>
      </w:r>
      <w:r>
        <w:rPr>
          <w:rFonts w:ascii="Arial" w:cs="Arial" w:eastAsia="Arial" w:hAnsi="Arial"/>
          <w:sz w:val="18"/>
          <w:szCs w:val="18"/>
          <w:u w:val="single" w:color="auto"/>
          <w:color w:val="auto"/>
        </w:rPr>
        <w:t>Licensee</w:t>
      </w:r>
      <w:r>
        <w:rPr>
          <w:rFonts w:ascii="Arial" w:cs="Arial" w:eastAsia="Arial" w:hAnsi="Arial"/>
          <w:sz w:val="18"/>
          <w:szCs w:val="18"/>
          <w:color w:val="auto"/>
        </w:rPr>
        <w:t>”). Capitalized terms used but not defined herein shall have the meanings ascribed to them in the Agreement.</w:t>
      </w:r>
    </w:p>
    <w:p>
      <w:pPr>
        <w:spacing w:after="0" w:line="206" w:lineRule="exact"/>
        <w:rPr>
          <w:sz w:val="20"/>
          <w:szCs w:val="20"/>
          <w:color w:val="auto"/>
        </w:rPr>
      </w:pPr>
    </w:p>
    <w:p>
      <w:pPr>
        <w:ind w:left="420" w:hanging="415"/>
        <w:spacing w:after="0"/>
        <w:tabs>
          <w:tab w:leader="none" w:pos="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Exhibit A of the Agreement is hereby amended to add the following Index:</w:t>
      </w:r>
    </w:p>
    <w:p>
      <w:pPr>
        <w:spacing w:after="0" w:line="226" w:lineRule="exact"/>
        <w:rPr>
          <w:rFonts w:ascii="Arial" w:cs="Arial" w:eastAsia="Arial" w:hAnsi="Arial"/>
          <w:sz w:val="18"/>
          <w:szCs w:val="18"/>
          <w:color w:val="auto"/>
        </w:rPr>
      </w:pPr>
    </w:p>
    <w:p>
      <w:pPr>
        <w:ind w:left="1300" w:right="4140" w:hanging="7"/>
        <w:spacing w:after="0" w:line="565" w:lineRule="auto"/>
        <w:tabs>
          <w:tab w:leader="none" w:pos="171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MSCI USA Minimum Volatility Extended ESG Reduced Carbon Target Index or such other indexes as agreed by Licensee and MSCI in writing.</w:t>
      </w:r>
    </w:p>
    <w:p>
      <w:pPr>
        <w:spacing w:after="0" w:line="1" w:lineRule="exact"/>
        <w:rPr>
          <w:rFonts w:ascii="Arial" w:cs="Arial" w:eastAsia="Arial" w:hAnsi="Arial"/>
          <w:sz w:val="16"/>
          <w:szCs w:val="16"/>
          <w:color w:val="auto"/>
        </w:rPr>
      </w:pPr>
    </w:p>
    <w:p>
      <w:pPr>
        <w:ind w:left="420" w:right="100" w:hanging="415"/>
        <w:spacing w:after="0" w:line="261" w:lineRule="auto"/>
        <w:tabs>
          <w:tab w:leader="none" w:pos="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Licensee may use the Index set forth in Section 1 above solely with respect to the following Licensee fund (a “</w:t>
      </w:r>
      <w:r>
        <w:rPr>
          <w:rFonts w:ascii="Arial" w:cs="Arial" w:eastAsia="Arial" w:hAnsi="Arial"/>
          <w:sz w:val="18"/>
          <w:szCs w:val="18"/>
          <w:u w:val="single" w:color="auto"/>
          <w:color w:val="auto"/>
        </w:rPr>
        <w:t>Fund</w:t>
      </w:r>
      <w:r>
        <w:rPr>
          <w:rFonts w:ascii="Arial" w:cs="Arial" w:eastAsia="Arial" w:hAnsi="Arial"/>
          <w:sz w:val="18"/>
          <w:szCs w:val="18"/>
          <w:color w:val="auto"/>
        </w:rPr>
        <w:t>” as such term is defined in the Agreement):</w:t>
      </w:r>
    </w:p>
    <w:p>
      <w:pPr>
        <w:spacing w:after="0" w:line="193" w:lineRule="exact"/>
        <w:rPr>
          <w:rFonts w:ascii="Arial" w:cs="Arial" w:eastAsia="Arial" w:hAnsi="Arial"/>
          <w:sz w:val="18"/>
          <w:szCs w:val="18"/>
          <w:color w:val="auto"/>
        </w:rPr>
      </w:pPr>
    </w:p>
    <w:p>
      <w:pPr>
        <w:ind w:left="1720" w:hanging="427"/>
        <w:spacing w:after="0"/>
        <w:tabs>
          <w:tab w:leader="none" w:pos="17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iShares ESG MSCI USA Min Vol Factor ETF</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such other names as agreed by Licensee and MSCI in writing.</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Fund identified above shall be an exchange traded index fund listed on a national securities exchange located in the United States.</w:t>
      </w:r>
    </w:p>
    <w:p>
      <w:pPr>
        <w:spacing w:after="0" w:line="227" w:lineRule="exact"/>
        <w:rPr>
          <w:sz w:val="20"/>
          <w:szCs w:val="20"/>
          <w:color w:val="auto"/>
        </w:rPr>
      </w:pPr>
    </w:p>
    <w:p>
      <w:pPr>
        <w:ind w:left="420" w:hanging="415"/>
        <w:spacing w:after="0"/>
        <w:tabs>
          <w:tab w:leader="none" w:pos="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Licensee shall pay MSCI a *** license fee ********************. The *** license fee shall be calculated as ********************:</w:t>
      </w:r>
    </w:p>
    <w:p>
      <w:pPr>
        <w:spacing w:after="0" w:line="219" w:lineRule="exact"/>
        <w:rPr>
          <w:sz w:val="20"/>
          <w:szCs w:val="20"/>
          <w:color w:val="auto"/>
        </w:rPr>
      </w:pPr>
    </w:p>
    <w:tbl>
      <w:tblPr>
        <w:tblLayout w:type="fixed"/>
        <w:tblInd w:w="430" w:type="dxa"/>
        <w:tblCellMar>
          <w:top w:w="0" w:type="dxa"/>
          <w:left w:w="0" w:type="dxa"/>
          <w:bottom w:w="0" w:type="dxa"/>
          <w:right w:w="0" w:type="dxa"/>
        </w:tblCellMar>
      </w:tblPr>
      <w:tr>
        <w:trPr>
          <w:trHeight w:val="223"/>
        </w:trPr>
        <w:tc>
          <w:tcPr>
            <w:tcW w:w="3280" w:type="dxa"/>
            <w:vAlign w:val="bottom"/>
            <w:tcBorders>
              <w:top w:val="single" w:sz="8" w:color="auto"/>
              <w:left w:val="single" w:sz="8" w:color="auto"/>
              <w:bottom w:val="single" w:sz="8" w:color="auto"/>
              <w:right w:val="single" w:sz="8" w:color="auto"/>
            </w:tcBorders>
          </w:tcPr>
          <w:p>
            <w:pPr>
              <w:jc w:val="right"/>
              <w:ind w:right="672"/>
              <w:spacing w:after="0"/>
              <w:rPr>
                <w:sz w:val="20"/>
                <w:szCs w:val="20"/>
                <w:color w:val="auto"/>
              </w:rPr>
            </w:pPr>
            <w:r>
              <w:rPr>
                <w:rFonts w:ascii="Arial" w:cs="Arial" w:eastAsia="Arial" w:hAnsi="Arial"/>
                <w:sz w:val="18"/>
                <w:szCs w:val="18"/>
                <w:color w:val="auto"/>
              </w:rPr>
              <w:t>********************</w:t>
            </w:r>
          </w:p>
        </w:tc>
        <w:tc>
          <w:tcPr>
            <w:tcW w:w="7640" w:type="dxa"/>
            <w:vAlign w:val="bottom"/>
            <w:tcBorders>
              <w:top w:val="single" w:sz="8" w:color="auto"/>
              <w:bottom w:val="single" w:sz="8" w:color="auto"/>
            </w:tcBorders>
          </w:tcPr>
          <w:p>
            <w:pPr>
              <w:jc w:val="right"/>
              <w:ind w:right="2692"/>
              <w:spacing w:after="0"/>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left w:val="single" w:sz="8" w:color="auto"/>
              <w:bottom w:val="single" w:sz="8" w:color="auto"/>
              <w:right w:val="single" w:sz="8" w:color="auto"/>
            </w:tcBorders>
          </w:tcPr>
          <w:p>
            <w:pPr>
              <w:jc w:val="right"/>
              <w:ind w:right="1412"/>
              <w:spacing w:after="0" w:line="203" w:lineRule="exact"/>
              <w:rPr>
                <w:sz w:val="20"/>
                <w:szCs w:val="20"/>
                <w:color w:val="auto"/>
              </w:rPr>
            </w:pPr>
            <w:r>
              <w:rPr>
                <w:rFonts w:ascii="Arial" w:cs="Arial" w:eastAsia="Arial" w:hAnsi="Arial"/>
                <w:sz w:val="18"/>
                <w:szCs w:val="18"/>
                <w:color w:val="auto"/>
              </w:rPr>
              <w:t>********************</w:t>
            </w:r>
          </w:p>
        </w:tc>
        <w:tc>
          <w:tcPr>
            <w:tcW w:w="7640" w:type="dxa"/>
            <w:vAlign w:val="bottom"/>
            <w:tcBorders>
              <w:bottom w:val="single" w:sz="8" w:color="auto"/>
            </w:tcBorders>
          </w:tcPr>
          <w:p>
            <w:pPr>
              <w:jc w:val="right"/>
              <w:ind w:right="5792"/>
              <w:spacing w:after="0" w:line="203"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left w:val="single" w:sz="8" w:color="auto"/>
              <w:bottom w:val="single" w:sz="8" w:color="auto"/>
              <w:right w:val="single" w:sz="8" w:color="auto"/>
            </w:tcBorders>
          </w:tcPr>
          <w:p>
            <w:pPr>
              <w:jc w:val="right"/>
              <w:ind w:right="1412"/>
              <w:spacing w:after="0" w:line="203" w:lineRule="exact"/>
              <w:rPr>
                <w:sz w:val="20"/>
                <w:szCs w:val="20"/>
                <w:color w:val="auto"/>
              </w:rPr>
            </w:pPr>
            <w:r>
              <w:rPr>
                <w:rFonts w:ascii="Arial" w:cs="Arial" w:eastAsia="Arial" w:hAnsi="Arial"/>
                <w:sz w:val="18"/>
                <w:szCs w:val="18"/>
                <w:color w:val="auto"/>
              </w:rPr>
              <w:t>********************</w:t>
            </w:r>
          </w:p>
        </w:tc>
        <w:tc>
          <w:tcPr>
            <w:tcW w:w="7640" w:type="dxa"/>
            <w:vAlign w:val="bottom"/>
            <w:tcBorders>
              <w:bottom w:val="single" w:sz="8" w:color="auto"/>
            </w:tcBorders>
          </w:tcPr>
          <w:p>
            <w:pPr>
              <w:jc w:val="right"/>
              <w:ind w:right="5792"/>
              <w:spacing w:after="0" w:line="203"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left w:val="single" w:sz="8" w:color="auto"/>
              <w:bottom w:val="single" w:sz="8" w:color="auto"/>
              <w:right w:val="single" w:sz="8" w:color="auto"/>
            </w:tcBorders>
          </w:tcPr>
          <w:p>
            <w:pPr>
              <w:jc w:val="right"/>
              <w:ind w:right="1412"/>
              <w:spacing w:after="0" w:line="203" w:lineRule="exact"/>
              <w:rPr>
                <w:sz w:val="20"/>
                <w:szCs w:val="20"/>
                <w:color w:val="auto"/>
              </w:rPr>
            </w:pPr>
            <w:r>
              <w:rPr>
                <w:rFonts w:ascii="Arial" w:cs="Arial" w:eastAsia="Arial" w:hAnsi="Arial"/>
                <w:sz w:val="18"/>
                <w:szCs w:val="18"/>
                <w:color w:val="auto"/>
              </w:rPr>
              <w:t>********************</w:t>
            </w:r>
          </w:p>
        </w:tc>
        <w:tc>
          <w:tcPr>
            <w:tcW w:w="7640" w:type="dxa"/>
            <w:vAlign w:val="bottom"/>
            <w:tcBorders>
              <w:bottom w:val="single" w:sz="8" w:color="auto"/>
            </w:tcBorders>
          </w:tcPr>
          <w:p>
            <w:pPr>
              <w:jc w:val="right"/>
              <w:ind w:right="5792"/>
              <w:spacing w:after="0" w:line="203"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left w:val="single" w:sz="8" w:color="auto"/>
              <w:bottom w:val="single" w:sz="8" w:color="auto"/>
              <w:right w:val="single" w:sz="8" w:color="auto"/>
            </w:tcBorders>
          </w:tcPr>
          <w:p>
            <w:pPr>
              <w:jc w:val="right"/>
              <w:ind w:right="1412"/>
              <w:spacing w:after="0" w:line="203" w:lineRule="exact"/>
              <w:rPr>
                <w:sz w:val="20"/>
                <w:szCs w:val="20"/>
                <w:color w:val="auto"/>
              </w:rPr>
            </w:pPr>
            <w:r>
              <w:rPr>
                <w:rFonts w:ascii="Arial" w:cs="Arial" w:eastAsia="Arial" w:hAnsi="Arial"/>
                <w:sz w:val="18"/>
                <w:szCs w:val="18"/>
                <w:color w:val="auto"/>
              </w:rPr>
              <w:t>********************</w:t>
            </w:r>
          </w:p>
        </w:tc>
        <w:tc>
          <w:tcPr>
            <w:tcW w:w="7640" w:type="dxa"/>
            <w:vAlign w:val="bottom"/>
            <w:tcBorders>
              <w:bottom w:val="single" w:sz="8" w:color="auto"/>
            </w:tcBorders>
          </w:tcPr>
          <w:p>
            <w:pPr>
              <w:jc w:val="right"/>
              <w:ind w:right="5792"/>
              <w:spacing w:after="0" w:line="203"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Borders>
              <w:left w:val="single" w:sz="8" w:color="auto"/>
              <w:bottom w:val="single" w:sz="8" w:color="auto"/>
              <w:right w:val="single" w:sz="8" w:color="auto"/>
            </w:tcBorders>
          </w:tcPr>
          <w:p>
            <w:pPr>
              <w:jc w:val="right"/>
              <w:ind w:right="1412"/>
              <w:spacing w:after="0" w:line="203" w:lineRule="exact"/>
              <w:rPr>
                <w:sz w:val="20"/>
                <w:szCs w:val="20"/>
                <w:color w:val="auto"/>
              </w:rPr>
            </w:pPr>
            <w:r>
              <w:rPr>
                <w:rFonts w:ascii="Arial" w:cs="Arial" w:eastAsia="Arial" w:hAnsi="Arial"/>
                <w:sz w:val="18"/>
                <w:szCs w:val="18"/>
                <w:color w:val="auto"/>
              </w:rPr>
              <w:t>********************</w:t>
            </w:r>
          </w:p>
        </w:tc>
        <w:tc>
          <w:tcPr>
            <w:tcW w:w="7640" w:type="dxa"/>
            <w:vAlign w:val="bottom"/>
            <w:tcBorders>
              <w:bottom w:val="single" w:sz="8" w:color="auto"/>
            </w:tcBorders>
          </w:tcPr>
          <w:p>
            <w:pPr>
              <w:jc w:val="right"/>
              <w:ind w:right="5792"/>
              <w:spacing w:after="0" w:line="203" w:lineRule="exact"/>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avoidance of doubt, the ****** shall be ******. For example, ********************.</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807085</wp:posOffset>
            </wp:positionV>
            <wp:extent cx="717804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3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340"/>
          </w:cols>
          <w:pgMar w:left="320" w:top="345" w:right="239" w:bottom="1440" w:gutter="0" w:footer="0" w:header="0"/>
        </w:sectPr>
      </w:pPr>
    </w:p>
    <w:bookmarkStart w:id="202" w:name="page203"/>
    <w:bookmarkEnd w:id="202"/>
    <w:p>
      <w:pPr>
        <w:ind w:left="44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tbl>
      <w:tblPr>
        <w:tblLayout w:type="fixed"/>
        <w:tblInd w:w="2410" w:type="dxa"/>
        <w:tblCellMar>
          <w:top w:w="0" w:type="dxa"/>
          <w:left w:w="0" w:type="dxa"/>
          <w:bottom w:w="0" w:type="dxa"/>
          <w:right w:w="0" w:type="dxa"/>
        </w:tblCellMar>
      </w:tblPr>
      <w:tr>
        <w:trPr>
          <w:trHeight w:val="223"/>
        </w:trPr>
        <w:tc>
          <w:tcPr>
            <w:tcW w:w="1980" w:type="dxa"/>
            <w:vAlign w:val="bottom"/>
            <w:tcBorders>
              <w:top w:val="single" w:sz="8" w:color="auto"/>
              <w:left w:val="single" w:sz="8" w:color="auto"/>
              <w:bottom w:val="single" w:sz="8" w:color="auto"/>
              <w:right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w:t>
            </w:r>
          </w:p>
        </w:tc>
        <w:tc>
          <w:tcPr>
            <w:tcW w:w="4500" w:type="dxa"/>
            <w:vAlign w:val="bottom"/>
            <w:tcBorders>
              <w:top w:val="single" w:sz="8" w:color="auto"/>
              <w:bottom w:val="single" w:sz="8" w:color="auto"/>
              <w:right w:val="single" w:sz="8" w:color="auto"/>
            </w:tcBorders>
            <w:shd w:val="clear" w:color="auto" w:fill="D9D9D9"/>
          </w:tcPr>
          <w:p>
            <w:pPr>
              <w:jc w:val="right"/>
              <w:ind w:right="1312"/>
              <w:spacing w:after="0"/>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anything to the contrary, if during any relevant period ********************for the Fund shall equal ********************.</w:t>
      </w:r>
    </w:p>
    <w:p>
      <w:pPr>
        <w:spacing w:after="0" w:line="227" w:lineRule="exact"/>
        <w:rPr>
          <w:sz w:val="20"/>
          <w:szCs w:val="20"/>
          <w:color w:val="auto"/>
        </w:rPr>
      </w:pPr>
    </w:p>
    <w:p>
      <w:pPr>
        <w:ind w:left="420" w:hanging="415"/>
        <w:spacing w:after="0"/>
        <w:tabs>
          <w:tab w:leader="none" w:pos="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Special Conditions:</w:t>
      </w:r>
    </w:p>
    <w:p>
      <w:pPr>
        <w:spacing w:after="0" w:line="226" w:lineRule="exact"/>
        <w:rPr>
          <w:rFonts w:ascii="Arial" w:cs="Arial" w:eastAsia="Arial" w:hAnsi="Arial"/>
          <w:sz w:val="18"/>
          <w:szCs w:val="18"/>
          <w:color w:val="auto"/>
        </w:rPr>
      </w:pPr>
    </w:p>
    <w:p>
      <w:pPr>
        <w:ind w:left="840" w:hanging="414"/>
        <w:spacing w:after="0" w:line="261" w:lineRule="auto"/>
        <w:tabs>
          <w:tab w:leader="none" w:pos="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the extent that this Amendment conflicts with the Agreement, this Amendment shall control. No right or license of any kind is granted to Licensee except as expressly provided in the Agreement and this Amendment.</w:t>
      </w:r>
    </w:p>
    <w:p>
      <w:pPr>
        <w:spacing w:after="0" w:line="193" w:lineRule="exact"/>
        <w:rPr>
          <w:rFonts w:ascii="Arial" w:cs="Arial" w:eastAsia="Arial" w:hAnsi="Arial"/>
          <w:sz w:val="18"/>
          <w:szCs w:val="18"/>
          <w:color w:val="auto"/>
        </w:rPr>
      </w:pPr>
    </w:p>
    <w:p>
      <w:pPr>
        <w:ind w:left="840" w:hanging="414"/>
        <w:spacing w:after="0" w:line="261" w:lineRule="auto"/>
        <w:tabs>
          <w:tab w:leader="none" w:pos="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MSCI may terminate this Amendment with respect to the Index set forth in Section 1 if, within one (1) year of the date of this Amendment, Licensee does not list the Fund based on the Index.</w:t>
      </w:r>
    </w:p>
    <w:p>
      <w:pPr>
        <w:spacing w:after="0" w:line="193" w:lineRule="exact"/>
        <w:rPr>
          <w:rFonts w:ascii="Arial" w:cs="Arial" w:eastAsia="Arial" w:hAnsi="Arial"/>
          <w:sz w:val="18"/>
          <w:szCs w:val="18"/>
          <w:color w:val="auto"/>
        </w:rPr>
      </w:pPr>
    </w:p>
    <w:p>
      <w:pPr>
        <w:ind w:left="840" w:hanging="414"/>
        <w:spacing w:after="0" w:line="261" w:lineRule="auto"/>
        <w:tabs>
          <w:tab w:leader="none" w:pos="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Licensee delists the Fund identified above or changes the underlying Index for the Fund, Licensee’s right to use the Index set forth in Section 1 with respect to the Fund shall automatically and immediately terminate.</w:t>
      </w:r>
    </w:p>
    <w:p>
      <w:pPr>
        <w:spacing w:after="0" w:line="193" w:lineRule="exact"/>
        <w:rPr>
          <w:rFonts w:ascii="Arial" w:cs="Arial" w:eastAsia="Arial" w:hAnsi="Arial"/>
          <w:sz w:val="18"/>
          <w:szCs w:val="18"/>
          <w:color w:val="auto"/>
        </w:rPr>
      </w:pPr>
    </w:p>
    <w:p>
      <w:pPr>
        <w:ind w:left="840" w:hanging="414"/>
        <w:spacing w:after="0" w:line="261" w:lineRule="auto"/>
        <w:tabs>
          <w:tab w:leader="none" w:pos="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 without regard to its conflict or choice of laws principles.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gridSpan w:val="7"/>
          </w:tcPr>
          <w:p>
            <w:pPr>
              <w:spacing w:after="0"/>
              <w:rPr>
                <w:sz w:val="20"/>
                <w:szCs w:val="20"/>
                <w:color w:val="auto"/>
              </w:rPr>
            </w:pPr>
            <w:r>
              <w:rPr>
                <w:rFonts w:ascii="Arial" w:cs="Arial" w:eastAsia="Arial" w:hAnsi="Arial"/>
                <w:sz w:val="18"/>
                <w:szCs w:val="18"/>
                <w:color w:val="auto"/>
              </w:rPr>
              <w:t>ACKNOWLEDGED AND AGREED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4"/>
        </w:trPr>
        <w:tc>
          <w:tcPr>
            <w:tcW w:w="5040" w:type="dxa"/>
            <w:vAlign w:val="bottom"/>
            <w:gridSpan w:val="7"/>
          </w:tcPr>
          <w:p>
            <w:pPr>
              <w:ind w:left="1520"/>
              <w:spacing w:after="0"/>
              <w:rPr>
                <w:sz w:val="20"/>
                <w:szCs w:val="20"/>
                <w:color w:val="auto"/>
              </w:rPr>
            </w:pPr>
            <w:r>
              <w:rPr>
                <w:rFonts w:ascii="Arial" w:cs="Arial" w:eastAsia="Arial" w:hAnsi="Arial"/>
                <w:sz w:val="18"/>
                <w:szCs w:val="18"/>
                <w:color w:val="auto"/>
              </w:rPr>
              <w:t>LICENSEE: BlackRock Fund Advisors</w:t>
            </w:r>
          </w:p>
        </w:tc>
        <w:tc>
          <w:tcPr>
            <w:tcW w:w="2440" w:type="dxa"/>
            <w:vAlign w:val="bottom"/>
            <w:gridSpan w:val="6"/>
          </w:tcPr>
          <w:p>
            <w:pPr>
              <w:ind w:left="780"/>
              <w:spacing w:after="0"/>
              <w:rPr>
                <w:sz w:val="20"/>
                <w:szCs w:val="20"/>
                <w:color w:val="auto"/>
              </w:rPr>
            </w:pPr>
            <w:r>
              <w:rPr>
                <w:rFonts w:ascii="Arial" w:cs="Arial" w:eastAsia="Arial" w:hAnsi="Arial"/>
                <w:sz w:val="18"/>
                <w:szCs w:val="18"/>
                <w:color w:val="auto"/>
              </w:rPr>
              <w:t>MSCI Inc.</w:t>
            </w:r>
          </w:p>
        </w:tc>
      </w:tr>
      <w:tr>
        <w:trPr>
          <w:trHeight w:val="645"/>
        </w:trPr>
        <w:tc>
          <w:tcPr>
            <w:tcW w:w="5040" w:type="dxa"/>
            <w:vAlign w:val="bottom"/>
            <w:gridSpan w:val="7"/>
          </w:tcPr>
          <w:p>
            <w:pPr>
              <w:ind w:left="1520"/>
              <w:spacing w:after="0"/>
              <w:rPr>
                <w:sz w:val="20"/>
                <w:szCs w:val="20"/>
                <w:color w:val="auto"/>
              </w:rPr>
            </w:pPr>
            <w:r>
              <w:rPr>
                <w:rFonts w:ascii="Arial" w:cs="Arial" w:eastAsia="Arial" w:hAnsi="Arial"/>
                <w:sz w:val="18"/>
                <w:szCs w:val="18"/>
                <w:color w:val="auto"/>
              </w:rPr>
              <w:t>By /s/ Ruth Weiss</w:t>
            </w:r>
          </w:p>
        </w:tc>
        <w:tc>
          <w:tcPr>
            <w:tcW w:w="2440" w:type="dxa"/>
            <w:vAlign w:val="bottom"/>
            <w:gridSpan w:val="6"/>
          </w:tcPr>
          <w:p>
            <w:pPr>
              <w:ind w:left="780"/>
              <w:spacing w:after="0"/>
              <w:rPr>
                <w:sz w:val="20"/>
                <w:szCs w:val="20"/>
                <w:color w:val="auto"/>
              </w:rPr>
            </w:pPr>
            <w:r>
              <w:rPr>
                <w:rFonts w:ascii="Arial" w:cs="Arial" w:eastAsia="Arial" w:hAnsi="Arial"/>
                <w:sz w:val="18"/>
                <w:szCs w:val="18"/>
                <w:color w:val="auto"/>
              </w:rPr>
              <w:t>By /s/ Joke Jacinto</w:t>
            </w:r>
          </w:p>
        </w:tc>
      </w:tr>
      <w:tr>
        <w:trPr>
          <w:trHeight w:val="20"/>
        </w:trPr>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4"/>
        </w:trPr>
        <w:tc>
          <w:tcPr>
            <w:tcW w:w="5040" w:type="dxa"/>
            <w:vAlign w:val="bottom"/>
            <w:gridSpan w:val="7"/>
          </w:tcPr>
          <w:p>
            <w:pPr>
              <w:ind w:left="1520"/>
              <w:spacing w:after="0"/>
              <w:rPr>
                <w:sz w:val="20"/>
                <w:szCs w:val="20"/>
                <w:color w:val="auto"/>
              </w:rPr>
            </w:pPr>
            <w:r>
              <w:rPr>
                <w:rFonts w:ascii="Arial" w:cs="Arial" w:eastAsia="Arial" w:hAnsi="Arial"/>
                <w:sz w:val="18"/>
                <w:szCs w:val="18"/>
                <w:color w:val="auto"/>
              </w:rPr>
              <w:t>Name Ruth Weiss</w:t>
            </w:r>
          </w:p>
        </w:tc>
        <w:tc>
          <w:tcPr>
            <w:tcW w:w="2440" w:type="dxa"/>
            <w:vAlign w:val="bottom"/>
            <w:gridSpan w:val="6"/>
          </w:tcPr>
          <w:p>
            <w:pPr>
              <w:ind w:left="780"/>
              <w:spacing w:after="0"/>
              <w:rPr>
                <w:sz w:val="20"/>
                <w:szCs w:val="20"/>
                <w:color w:val="auto"/>
              </w:rPr>
            </w:pPr>
            <w:r>
              <w:rPr>
                <w:rFonts w:ascii="Arial" w:cs="Arial" w:eastAsia="Arial" w:hAnsi="Arial"/>
                <w:sz w:val="18"/>
                <w:szCs w:val="18"/>
                <w:color w:val="auto"/>
              </w:rPr>
              <w:t>Name Joke Jacinto</w:t>
            </w:r>
          </w:p>
        </w:tc>
      </w:tr>
      <w:tr>
        <w:trPr>
          <w:trHeight w:val="20"/>
        </w:trPr>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r>
      <w:tr>
        <w:trPr>
          <w:trHeight w:val="414"/>
        </w:trPr>
        <w:tc>
          <w:tcPr>
            <w:tcW w:w="5040" w:type="dxa"/>
            <w:vAlign w:val="bottom"/>
            <w:gridSpan w:val="7"/>
          </w:tcPr>
          <w:p>
            <w:pPr>
              <w:ind w:left="1520"/>
              <w:spacing w:after="0"/>
              <w:rPr>
                <w:sz w:val="20"/>
                <w:szCs w:val="20"/>
                <w:color w:val="auto"/>
              </w:rPr>
            </w:pPr>
            <w:r>
              <w:rPr>
                <w:rFonts w:ascii="Arial" w:cs="Arial" w:eastAsia="Arial" w:hAnsi="Arial"/>
                <w:sz w:val="18"/>
                <w:szCs w:val="18"/>
                <w:color w:val="auto"/>
              </w:rPr>
              <w:t>Title Managing Director</w:t>
            </w:r>
          </w:p>
        </w:tc>
        <w:tc>
          <w:tcPr>
            <w:tcW w:w="2440" w:type="dxa"/>
            <w:vAlign w:val="bottom"/>
            <w:gridSpan w:val="6"/>
          </w:tcPr>
          <w:p>
            <w:pPr>
              <w:ind w:left="780"/>
              <w:spacing w:after="0"/>
              <w:rPr>
                <w:sz w:val="20"/>
                <w:szCs w:val="20"/>
                <w:color w:val="auto"/>
              </w:rPr>
            </w:pPr>
            <w:r>
              <w:rPr>
                <w:rFonts w:ascii="Arial" w:cs="Arial" w:eastAsia="Arial" w:hAnsi="Arial"/>
                <w:sz w:val="18"/>
                <w:szCs w:val="18"/>
                <w:color w:val="auto"/>
                <w:w w:val="88"/>
              </w:rPr>
              <w:t>Title Executive Director</w:t>
            </w:r>
          </w:p>
        </w:tc>
      </w:tr>
      <w:tr>
        <w:trPr>
          <w:trHeight w:val="20"/>
        </w:trPr>
        <w:tc>
          <w:tcPr>
            <w:tcW w:w="18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r>
      <w:tr>
        <w:trPr>
          <w:trHeight w:val="407"/>
        </w:trPr>
        <w:tc>
          <w:tcPr>
            <w:tcW w:w="5040" w:type="dxa"/>
            <w:vAlign w:val="bottom"/>
            <w:gridSpan w:val="7"/>
          </w:tcPr>
          <w:p>
            <w:pPr>
              <w:ind w:left="1520"/>
              <w:spacing w:after="0"/>
              <w:rPr>
                <w:sz w:val="20"/>
                <w:szCs w:val="20"/>
                <w:color w:val="auto"/>
              </w:rPr>
            </w:pPr>
            <w:r>
              <w:rPr>
                <w:rFonts w:ascii="Arial" w:cs="Arial" w:eastAsia="Arial" w:hAnsi="Arial"/>
                <w:sz w:val="18"/>
                <w:szCs w:val="18"/>
                <w:color w:val="auto"/>
              </w:rPr>
              <w:t>Date May 21, 2021</w:t>
            </w:r>
          </w:p>
        </w:tc>
        <w:tc>
          <w:tcPr>
            <w:tcW w:w="2440" w:type="dxa"/>
            <w:vAlign w:val="bottom"/>
            <w:gridSpan w:val="6"/>
          </w:tcPr>
          <w:p>
            <w:pPr>
              <w:ind w:left="780"/>
              <w:spacing w:after="0"/>
              <w:rPr>
                <w:sz w:val="20"/>
                <w:szCs w:val="20"/>
                <w:color w:val="auto"/>
              </w:rPr>
            </w:pPr>
            <w:r>
              <w:rPr>
                <w:rFonts w:ascii="Arial" w:cs="Arial" w:eastAsia="Arial" w:hAnsi="Arial"/>
                <w:sz w:val="18"/>
                <w:szCs w:val="18"/>
                <w:color w:val="auto"/>
              </w:rPr>
              <w:t>Date July 5, 2021</w:t>
            </w:r>
          </w:p>
        </w:tc>
      </w:tr>
      <w:tr>
        <w:trPr>
          <w:trHeight w:val="26"/>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r>
    </w:tbl>
    <w:p>
      <w:pPr>
        <w:sectPr>
          <w:pgSz w:w="11900" w:h="16838" w:orient="portrait"/>
          <w:cols w:equalWidth="0" w:num="1">
            <w:col w:w="11240"/>
          </w:cols>
          <w:pgMar w:left="320" w:top="351"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10.164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AMD_00283496.0</w:t>
      </w:r>
    </w:p>
    <w:p>
      <w:pPr>
        <w:spacing w:after="0" w:line="200" w:lineRule="exact"/>
        <w:rPr>
          <w:sz w:val="20"/>
          <w:szCs w:val="20"/>
          <w:color w:val="auto"/>
        </w:rPr>
      </w:pPr>
    </w:p>
    <w:p>
      <w:pPr>
        <w:spacing w:after="0" w:line="214"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CERTAIN IDENTIFIED INFORMATION HAS BEEN EXCLUDED FROM THIS EXHIBIT BECAUSE IT IS NOT MATERIAL AND IS OF THE TYPE THAT THE COMPANY TREATS AS PRIVATE OR CONFIDENTIAL. *** INDICATES THAT INFORMATION HAS BEEN REDACTED.</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AMENDMENT</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9"/>
          <w:szCs w:val="19"/>
          <w:color w:val="auto"/>
        </w:rPr>
        <w:t>Effective Date of Amendment: June 30, 2021</w:t>
      </w:r>
    </w:p>
    <w:p>
      <w:pPr>
        <w:spacing w:after="0" w:line="163" w:lineRule="exact"/>
        <w:rPr>
          <w:sz w:val="20"/>
          <w:szCs w:val="20"/>
          <w:color w:val="auto"/>
        </w:rPr>
      </w:pPr>
    </w:p>
    <w:p>
      <w:pPr>
        <w:jc w:val="both"/>
        <w:ind w:left="400" w:right="400"/>
        <w:spacing w:after="0" w:line="274" w:lineRule="auto"/>
        <w:rPr>
          <w:sz w:val="20"/>
          <w:szCs w:val="20"/>
          <w:color w:val="auto"/>
        </w:rPr>
      </w:pPr>
      <w:r>
        <w:rPr>
          <w:rFonts w:ascii="Arial" w:cs="Arial" w:eastAsia="Arial" w:hAnsi="Arial"/>
          <w:sz w:val="18"/>
          <w:szCs w:val="18"/>
          <w:color w:val="auto"/>
        </w:rPr>
        <w:t>This Amendment is made to the Index License Agreement for Funds (internal MSCI reference IXF_00040) dated as of March 18, 2000 (as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MSCI Inc. (formerly known as Morgan Stanley Capital International Inc.) (“MSCI”) and BlackRock Fund Advisors (as successor to Barclays Global Investors, N.A.) (“</w:t>
      </w:r>
      <w:r>
        <w:rPr>
          <w:rFonts w:ascii="Arial" w:cs="Arial" w:eastAsia="Arial" w:hAnsi="Arial"/>
          <w:sz w:val="18"/>
          <w:szCs w:val="18"/>
          <w:u w:val="single" w:color="auto"/>
          <w:color w:val="auto"/>
        </w:rPr>
        <w:t>Licensee</w:t>
      </w:r>
      <w:r>
        <w:rPr>
          <w:rFonts w:ascii="Arial" w:cs="Arial" w:eastAsia="Arial" w:hAnsi="Arial"/>
          <w:sz w:val="18"/>
          <w:szCs w:val="18"/>
          <w:color w:val="auto"/>
        </w:rPr>
        <w:t>”). Capitalized terms used but not defined herein shall have the meanings ascribed to them in the Agreement or the Previous Amendments, as the case may be.</w:t>
      </w:r>
    </w:p>
    <w:p>
      <w:pPr>
        <w:spacing w:after="0" w:line="119"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19"/>
          <w:szCs w:val="19"/>
          <w:color w:val="auto"/>
        </w:rPr>
        <w:t>WHEREAS, pursuant to the terms of prior amendments between MSCI and Licensee which are identified in Attachment 1 to this Amendment (the “</w:t>
      </w:r>
      <w:r>
        <w:rPr>
          <w:rFonts w:ascii="Arial" w:cs="Arial" w:eastAsia="Arial" w:hAnsi="Arial"/>
          <w:sz w:val="19"/>
          <w:szCs w:val="19"/>
          <w:u w:val="single" w:color="auto"/>
          <w:color w:val="auto"/>
        </w:rPr>
        <w:t>Previous Amendments</w:t>
      </w:r>
      <w:r>
        <w:rPr>
          <w:rFonts w:ascii="Arial" w:cs="Arial" w:eastAsia="Arial" w:hAnsi="Arial"/>
          <w:sz w:val="19"/>
          <w:szCs w:val="19"/>
          <w:color w:val="auto"/>
        </w:rPr>
        <w:t>”), MSCI granted Licensee the right to use the identified MSCI indexes as the basis for the identified Licensee Funds; and</w:t>
      </w:r>
    </w:p>
    <w:p>
      <w:pPr>
        <w:spacing w:after="0" w:line="118" w:lineRule="exact"/>
        <w:rPr>
          <w:sz w:val="20"/>
          <w:szCs w:val="20"/>
          <w:color w:val="auto"/>
        </w:rPr>
      </w:pPr>
    </w:p>
    <w:p>
      <w:pPr>
        <w:jc w:val="both"/>
        <w:ind w:left="400" w:right="400"/>
        <w:spacing w:after="0" w:line="275" w:lineRule="auto"/>
        <w:rPr>
          <w:sz w:val="20"/>
          <w:szCs w:val="20"/>
          <w:color w:val="auto"/>
        </w:rPr>
      </w:pPr>
      <w:r>
        <w:rPr>
          <w:rFonts w:ascii="Arial" w:cs="Arial" w:eastAsia="Arial" w:hAnsi="Arial"/>
          <w:sz w:val="19"/>
          <w:szCs w:val="19"/>
          <w:color w:val="auto"/>
        </w:rPr>
        <w:t>WHEREAS, the parties wish to further amend the Agreement to allow for the cross-listing of the Licensee Funds identified in Attachment 1 to this Amendment, as set forth below.</w:t>
      </w:r>
    </w:p>
    <w:p>
      <w:pPr>
        <w:spacing w:after="0" w:line="104" w:lineRule="exact"/>
        <w:rPr>
          <w:sz w:val="20"/>
          <w:szCs w:val="20"/>
          <w:color w:val="auto"/>
        </w:rPr>
      </w:pPr>
    </w:p>
    <w:p>
      <w:pPr>
        <w:jc w:val="both"/>
        <w:ind w:left="400" w:right="400"/>
        <w:spacing w:after="0" w:line="275" w:lineRule="auto"/>
        <w:rPr>
          <w:sz w:val="20"/>
          <w:szCs w:val="20"/>
          <w:color w:val="auto"/>
        </w:rPr>
      </w:pPr>
      <w:r>
        <w:rPr>
          <w:rFonts w:ascii="Arial" w:cs="Arial" w:eastAsia="Arial" w:hAnsi="Arial"/>
          <w:sz w:val="19"/>
          <w:szCs w:val="19"/>
          <w:color w:val="auto"/>
        </w:rPr>
        <w:t>NOW, THEREFORE, for good and valuable consideration, the receipt and sufficiency of which is hereby acknowledged, the parties hereto agree as follows:</w:t>
      </w:r>
    </w:p>
    <w:p>
      <w:pPr>
        <w:spacing w:after="0" w:line="130" w:lineRule="exact"/>
        <w:rPr>
          <w:sz w:val="20"/>
          <w:szCs w:val="20"/>
          <w:color w:val="auto"/>
        </w:rPr>
      </w:pPr>
    </w:p>
    <w:p>
      <w:pPr>
        <w:jc w:val="both"/>
        <w:ind w:left="800" w:right="400" w:hanging="401"/>
        <w:spacing w:after="0" w:line="262" w:lineRule="auto"/>
        <w:tabs>
          <w:tab w:leader="none" w:pos="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Exhibit B of the Agreement is hereby amended to allow the Licensee Funds identified in Attachment 1 to this Amendment to be listed and traded on the Santiago Stock Exchange (Bolsa de Comercio de Santiago) (herein referred to as the “Chile Listed Funds”) after such Licensee Funds are listed on a United States exchange. The Chile Listed Funds must be issued, sold and traded on a public basis in accordance with applicable Chilean securities law. All other terms and restrictions contained in the Previous Amendments and the Agreement shall apply to the Chile Listed Funds. For clarity, there</w:t>
      </w:r>
    </w:p>
    <w:p>
      <w:pPr>
        <w:spacing w:after="0" w:line="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9"/>
          <w:szCs w:val="19"/>
          <w:color w:val="auto"/>
        </w:rPr>
        <w:t>************************************************************.</w:t>
      </w:r>
    </w:p>
    <w:p>
      <w:pPr>
        <w:spacing w:after="0" w:line="133" w:lineRule="exact"/>
        <w:rPr>
          <w:rFonts w:ascii="Arial" w:cs="Arial" w:eastAsia="Arial" w:hAnsi="Arial"/>
          <w:sz w:val="18"/>
          <w:szCs w:val="18"/>
          <w:color w:val="auto"/>
        </w:rPr>
      </w:pPr>
    </w:p>
    <w:p>
      <w:pPr>
        <w:jc w:val="both"/>
        <w:ind w:left="800" w:right="400" w:hanging="401"/>
        <w:spacing w:after="0" w:line="251" w:lineRule="auto"/>
        <w:tabs>
          <w:tab w:leader="none" w:pos="8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This Amendment is intended to amend and operate in conjunction with the Previous Amendments and the Agreement, and together this Amendment, the Previous Amendments and the Agreement constitute the complete and exclusive statement of the agreement between the parties and supersede in full all prior proposals and understandings, oral or written, relating to the subject matter hereof. To the extent any terms of this Amendment conflict with any terms of the Previous Amendments or the Agreement, the terms of this Amendment shall control. No right or license of any kind is granted to Licensee except as expressly provided in the Agreement, the Previous Amendments and this Amendment.</w:t>
      </w:r>
    </w:p>
    <w:p>
      <w:pPr>
        <w:spacing w:after="0" w:line="127" w:lineRule="exact"/>
        <w:rPr>
          <w:rFonts w:ascii="Arial" w:cs="Arial" w:eastAsia="Arial" w:hAnsi="Arial"/>
          <w:sz w:val="19"/>
          <w:szCs w:val="19"/>
          <w:color w:val="auto"/>
        </w:rPr>
      </w:pPr>
    </w:p>
    <w:p>
      <w:pPr>
        <w:ind w:left="800" w:right="400" w:hanging="401"/>
        <w:spacing w:after="0" w:line="275" w:lineRule="auto"/>
        <w:tabs>
          <w:tab w:leader="none" w:pos="8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This Amendment shall be governed by, and construed in accordance with, the laws of the State of New York without regard to its conflict or choice of laws principles.</w:t>
      </w:r>
    </w:p>
    <w:p>
      <w:pPr>
        <w:spacing w:after="0" w:line="104" w:lineRule="exact"/>
        <w:rPr>
          <w:sz w:val="20"/>
          <w:szCs w:val="20"/>
          <w:color w:val="auto"/>
        </w:rPr>
      </w:pPr>
    </w:p>
    <w:p>
      <w:pPr>
        <w:ind w:left="400" w:right="500"/>
        <w:spacing w:after="0" w:line="275" w:lineRule="auto"/>
        <w:rPr>
          <w:sz w:val="20"/>
          <w:szCs w:val="20"/>
          <w:color w:val="auto"/>
        </w:rPr>
      </w:pPr>
      <w:r>
        <w:rPr>
          <w:rFonts w:ascii="Arial" w:cs="Arial" w:eastAsia="Arial" w:hAnsi="Arial"/>
          <w:sz w:val="19"/>
          <w:szCs w:val="19"/>
          <w:color w:val="auto"/>
        </w:rPr>
        <w:t>IN WITNESS WHEREOF, the parties have caused this Amendment to be executed as of the Amendment Effective Date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548005</wp:posOffset>
            </wp:positionV>
            <wp:extent cx="717804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3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04" w:name="page205"/>
    <w:bookmarkEnd w:id="204"/>
    <w:p>
      <w:pPr>
        <w:ind w:left="340"/>
        <w:spacing w:after="0"/>
        <w:rPr>
          <w:sz w:val="20"/>
          <w:szCs w:val="20"/>
          <w:color w:val="auto"/>
        </w:rPr>
      </w:pPr>
      <w:r>
        <w:rPr>
          <w:rFonts w:ascii="Arial" w:cs="Arial" w:eastAsia="Arial" w:hAnsi="Arial"/>
          <w:sz w:val="16"/>
          <w:szCs w:val="16"/>
          <w:color w:val="auto"/>
        </w:rPr>
        <w:t>LICENSEE: BlackRock Fund Advisors</w:t>
      </w: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Ruth Weiss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Ruth Weiss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Managing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MSCI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Joke Jacinto</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Joke Jacinto</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u w:val="single" w:color="auto"/>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1005205</wp:posOffset>
            </wp:positionV>
            <wp:extent cx="717804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3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2">
            <w:col w:w="4000" w:space="720"/>
            <w:col w:w="4299"/>
          </w:cols>
          <w:pgMar w:left="1440" w:top="561" w:right="1440" w:bottom="1440" w:gutter="0" w:footer="0" w:header="0"/>
        </w:sectPr>
      </w:pPr>
    </w:p>
    <w:bookmarkStart w:id="205" w:name="page206"/>
    <w:bookmarkEnd w:id="205"/>
    <w:p>
      <w:pPr>
        <w:jc w:val="center"/>
        <w:spacing w:after="0"/>
        <w:rPr>
          <w:sz w:val="20"/>
          <w:szCs w:val="20"/>
          <w:color w:val="auto"/>
        </w:rPr>
      </w:pPr>
      <w:r>
        <w:rPr>
          <w:rFonts w:ascii="Arial" w:cs="Arial" w:eastAsia="Arial" w:hAnsi="Arial"/>
          <w:sz w:val="19"/>
          <w:szCs w:val="19"/>
          <w:b w:val="1"/>
          <w:bCs w:val="1"/>
          <w:color w:val="auto"/>
        </w:rPr>
        <w:t>Attachment 1</w:t>
      </w:r>
    </w:p>
    <w:p>
      <w:pPr>
        <w:spacing w:after="0" w:line="218" w:lineRule="exact"/>
        <w:rPr>
          <w:sz w:val="20"/>
          <w:szCs w:val="20"/>
          <w:color w:val="auto"/>
        </w:rPr>
      </w:pPr>
    </w:p>
    <w:tbl>
      <w:tblPr>
        <w:tblLayout w:type="fixed"/>
        <w:tblInd w:w="90" w:type="dxa"/>
        <w:tblCellMar>
          <w:top w:w="0" w:type="dxa"/>
          <w:left w:w="0" w:type="dxa"/>
          <w:bottom w:w="0" w:type="dxa"/>
          <w:right w:w="0" w:type="dxa"/>
        </w:tblCellMar>
      </w:tblPr>
      <w:tr>
        <w:trPr>
          <w:trHeight w:val="197"/>
        </w:trPr>
        <w:tc>
          <w:tcPr>
            <w:tcW w:w="3760" w:type="dxa"/>
            <w:vAlign w:val="bottom"/>
            <w:tcBorders>
              <w:top w:val="single" w:sz="8" w:color="auto"/>
              <w:left w:val="single" w:sz="8" w:color="auto"/>
              <w:bottom w:val="single" w:sz="8" w:color="auto"/>
              <w:right w:val="single" w:sz="8" w:color="BFBFBF"/>
            </w:tcBorders>
            <w:shd w:val="clear" w:color="auto" w:fill="BFBFBF"/>
          </w:tcPr>
          <w:p>
            <w:pPr>
              <w:ind w:left="2380"/>
              <w:spacing w:after="0" w:line="197" w:lineRule="exact"/>
              <w:rPr>
                <w:sz w:val="20"/>
                <w:szCs w:val="20"/>
                <w:color w:val="auto"/>
              </w:rPr>
            </w:pPr>
            <w:r>
              <w:rPr>
                <w:rFonts w:ascii="Arial" w:cs="Arial" w:eastAsia="Arial" w:hAnsi="Arial"/>
                <w:sz w:val="18"/>
                <w:szCs w:val="18"/>
                <w:b w:val="1"/>
                <w:bCs w:val="1"/>
                <w:color w:val="auto"/>
              </w:rPr>
              <w:t>Amendment</w:t>
            </w:r>
          </w:p>
        </w:tc>
        <w:tc>
          <w:tcPr>
            <w:tcW w:w="1340" w:type="dxa"/>
            <w:vAlign w:val="bottom"/>
            <w:tcBorders>
              <w:top w:val="single" w:sz="8" w:color="auto"/>
              <w:bottom w:val="single" w:sz="8" w:color="auto"/>
              <w:right w:val="single" w:sz="8" w:color="auto"/>
            </w:tcBorders>
            <w:shd w:val="clear" w:color="auto" w:fill="BFBFBF"/>
          </w:tcPr>
          <w:p>
            <w:pPr>
              <w:spacing w:after="0"/>
              <w:rPr>
                <w:sz w:val="17"/>
                <w:szCs w:val="17"/>
                <w:color w:val="auto"/>
              </w:rPr>
            </w:pPr>
          </w:p>
        </w:tc>
        <w:tc>
          <w:tcPr>
            <w:tcW w:w="1980" w:type="dxa"/>
            <w:vAlign w:val="bottom"/>
            <w:tcBorders>
              <w:top w:val="single" w:sz="8" w:color="auto"/>
              <w:bottom w:val="single" w:sz="8" w:color="auto"/>
              <w:right w:val="single" w:sz="8" w:color="auto"/>
            </w:tcBorders>
            <w:vMerge w:val="restart"/>
            <w:shd w:val="clear" w:color="auto" w:fill="BFBFBF"/>
          </w:tcPr>
          <w:p>
            <w:pPr>
              <w:ind w:left="760"/>
              <w:spacing w:after="0"/>
              <w:rPr>
                <w:sz w:val="20"/>
                <w:szCs w:val="20"/>
                <w:color w:val="auto"/>
              </w:rPr>
            </w:pPr>
            <w:r>
              <w:rPr>
                <w:rFonts w:ascii="Arial" w:cs="Arial" w:eastAsia="Arial" w:hAnsi="Arial"/>
                <w:sz w:val="18"/>
                <w:szCs w:val="18"/>
                <w:b w:val="1"/>
                <w:bCs w:val="1"/>
                <w:color w:val="auto"/>
              </w:rPr>
              <w:t>MSCI Index</w:t>
            </w:r>
          </w:p>
        </w:tc>
        <w:tc>
          <w:tcPr>
            <w:tcW w:w="1780" w:type="dxa"/>
            <w:vAlign w:val="bottom"/>
            <w:tcBorders>
              <w:top w:val="single" w:sz="8" w:color="auto"/>
              <w:bottom w:val="single" w:sz="8" w:color="auto"/>
              <w:right w:val="single" w:sz="8" w:color="auto"/>
            </w:tcBorders>
            <w:vMerge w:val="restart"/>
            <w:shd w:val="clear" w:color="auto" w:fill="BFBFBF"/>
          </w:tcPr>
          <w:p>
            <w:pPr>
              <w:ind w:left="780"/>
              <w:spacing w:after="0"/>
              <w:rPr>
                <w:sz w:val="20"/>
                <w:szCs w:val="20"/>
                <w:color w:val="auto"/>
              </w:rPr>
            </w:pPr>
            <w:r>
              <w:rPr>
                <w:rFonts w:ascii="Arial" w:cs="Arial" w:eastAsia="Arial" w:hAnsi="Arial"/>
                <w:sz w:val="18"/>
                <w:szCs w:val="18"/>
                <w:b w:val="1"/>
                <w:bCs w:val="1"/>
                <w:color w:val="auto"/>
                <w:w w:val="97"/>
              </w:rPr>
              <w:t>Fund Name</w:t>
            </w:r>
          </w:p>
        </w:tc>
        <w:tc>
          <w:tcPr>
            <w:tcW w:w="0" w:type="dxa"/>
            <w:vAlign w:val="bottom"/>
          </w:tcPr>
          <w:p>
            <w:pPr>
              <w:spacing w:after="0"/>
              <w:rPr>
                <w:sz w:val="1"/>
                <w:szCs w:val="1"/>
                <w:color w:val="auto"/>
              </w:rPr>
            </w:pPr>
          </w:p>
        </w:tc>
      </w:tr>
      <w:tr>
        <w:trPr>
          <w:trHeight w:val="164"/>
        </w:trPr>
        <w:tc>
          <w:tcPr>
            <w:tcW w:w="3760" w:type="dxa"/>
            <w:vAlign w:val="bottom"/>
            <w:tcBorders>
              <w:left w:val="single" w:sz="8" w:color="auto"/>
              <w:right w:val="single" w:sz="8" w:color="auto"/>
            </w:tcBorders>
            <w:shd w:val="clear" w:color="auto" w:fill="BFBFBF"/>
          </w:tcPr>
          <w:p>
            <w:pPr>
              <w:ind w:left="200"/>
              <w:spacing w:after="0" w:line="164" w:lineRule="exact"/>
              <w:rPr>
                <w:sz w:val="20"/>
                <w:szCs w:val="20"/>
                <w:color w:val="auto"/>
              </w:rPr>
            </w:pPr>
            <w:r>
              <w:rPr>
                <w:rFonts w:ascii="Arial" w:cs="Arial" w:eastAsia="Arial" w:hAnsi="Arial"/>
                <w:sz w:val="18"/>
                <w:szCs w:val="18"/>
                <w:b w:val="1"/>
                <w:bCs w:val="1"/>
                <w:color w:val="auto"/>
              </w:rPr>
              <w:t>Internal MSCI reference number of the</w:t>
            </w:r>
          </w:p>
        </w:tc>
        <w:tc>
          <w:tcPr>
            <w:tcW w:w="1340" w:type="dxa"/>
            <w:vAlign w:val="bottom"/>
            <w:tcBorders>
              <w:right w:val="single" w:sz="8" w:color="auto"/>
            </w:tcBorders>
            <w:shd w:val="clear" w:color="auto" w:fill="BFBFBF"/>
          </w:tcPr>
          <w:p>
            <w:pPr>
              <w:ind w:left="140"/>
              <w:spacing w:after="0" w:line="164" w:lineRule="exact"/>
              <w:rPr>
                <w:sz w:val="20"/>
                <w:szCs w:val="20"/>
                <w:color w:val="auto"/>
              </w:rPr>
            </w:pPr>
            <w:r>
              <w:rPr>
                <w:rFonts w:ascii="Arial" w:cs="Arial" w:eastAsia="Arial" w:hAnsi="Arial"/>
                <w:sz w:val="18"/>
                <w:szCs w:val="18"/>
                <w:b w:val="1"/>
                <w:bCs w:val="1"/>
                <w:color w:val="auto"/>
                <w:w w:val="97"/>
              </w:rPr>
              <w:t>Effective Date</w:t>
            </w:r>
          </w:p>
        </w:tc>
        <w:tc>
          <w:tcPr>
            <w:tcW w:w="1980" w:type="dxa"/>
            <w:vAlign w:val="bottom"/>
            <w:tcBorders>
              <w:right w:val="single" w:sz="8" w:color="auto"/>
            </w:tcBorders>
            <w:vMerge w:val="continue"/>
            <w:shd w:val="clear" w:color="auto" w:fill="BFBFBF"/>
          </w:tcPr>
          <w:p>
            <w:pPr>
              <w:spacing w:after="0"/>
              <w:rPr>
                <w:sz w:val="14"/>
                <w:szCs w:val="14"/>
                <w:color w:val="auto"/>
              </w:rPr>
            </w:pPr>
          </w:p>
        </w:tc>
        <w:tc>
          <w:tcPr>
            <w:tcW w:w="1780" w:type="dxa"/>
            <w:vAlign w:val="bottom"/>
            <w:tcBorders>
              <w:right w:val="single" w:sz="8" w:color="auto"/>
            </w:tcBorders>
            <w:vMerge w:val="continue"/>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Borders>
              <w:left w:val="single" w:sz="8" w:color="auto"/>
              <w:right w:val="single" w:sz="8" w:color="auto"/>
            </w:tcBorders>
            <w:shd w:val="clear" w:color="auto" w:fill="BFBFBF"/>
          </w:tcPr>
          <w:p>
            <w:pPr>
              <w:ind w:left="120"/>
              <w:spacing w:after="0" w:line="166" w:lineRule="exact"/>
              <w:rPr>
                <w:sz w:val="20"/>
                <w:szCs w:val="20"/>
                <w:color w:val="auto"/>
              </w:rPr>
            </w:pPr>
            <w:r>
              <w:rPr>
                <w:rFonts w:ascii="Arial" w:cs="Arial" w:eastAsia="Arial" w:hAnsi="Arial"/>
                <w:sz w:val="18"/>
                <w:szCs w:val="18"/>
                <w:b w:val="1"/>
                <w:bCs w:val="1"/>
                <w:color w:val="auto"/>
              </w:rPr>
              <w:t>Amendment</w:t>
            </w:r>
          </w:p>
        </w:tc>
        <w:tc>
          <w:tcPr>
            <w:tcW w:w="1340" w:type="dxa"/>
            <w:vAlign w:val="bottom"/>
            <w:tcBorders>
              <w:right w:val="single" w:sz="8" w:color="auto"/>
            </w:tcBorders>
            <w:shd w:val="clear" w:color="auto" w:fill="BFBFBF"/>
          </w:tcPr>
          <w:p>
            <w:pPr>
              <w:ind w:left="160"/>
              <w:spacing w:after="0" w:line="166" w:lineRule="exact"/>
              <w:rPr>
                <w:sz w:val="20"/>
                <w:szCs w:val="20"/>
                <w:color w:val="auto"/>
              </w:rPr>
            </w:pPr>
            <w:r>
              <w:rPr>
                <w:rFonts w:ascii="Arial" w:cs="Arial" w:eastAsia="Arial" w:hAnsi="Arial"/>
                <w:sz w:val="18"/>
                <w:szCs w:val="18"/>
                <w:b w:val="1"/>
                <w:bCs w:val="1"/>
                <w:color w:val="auto"/>
              </w:rPr>
              <w:t>of the</w:t>
            </w:r>
          </w:p>
        </w:tc>
        <w:tc>
          <w:tcPr>
            <w:tcW w:w="1980" w:type="dxa"/>
            <w:vAlign w:val="bottom"/>
            <w:tcBorders>
              <w:right w:val="single" w:sz="8" w:color="auto"/>
            </w:tcBorders>
            <w:shd w:val="clear" w:color="auto" w:fill="BFBFBF"/>
          </w:tcPr>
          <w:p>
            <w:pPr>
              <w:spacing w:after="0"/>
              <w:rPr>
                <w:sz w:val="14"/>
                <w:szCs w:val="14"/>
                <w:color w:val="auto"/>
              </w:rPr>
            </w:pPr>
          </w:p>
        </w:tc>
        <w:tc>
          <w:tcPr>
            <w:tcW w:w="1780" w:type="dxa"/>
            <w:vAlign w:val="bottom"/>
            <w:tcBorders>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bottom w:val="single" w:sz="8" w:color="auto"/>
              <w:right w:val="single" w:sz="8" w:color="auto"/>
            </w:tcBorders>
            <w:shd w:val="clear" w:color="auto" w:fill="BFBFBF"/>
          </w:tcPr>
          <w:p>
            <w:pPr>
              <w:spacing w:after="0"/>
              <w:rPr>
                <w:sz w:val="18"/>
                <w:szCs w:val="18"/>
                <w:color w:val="auto"/>
              </w:rPr>
            </w:pPr>
          </w:p>
        </w:tc>
        <w:tc>
          <w:tcPr>
            <w:tcW w:w="1340" w:type="dxa"/>
            <w:vAlign w:val="bottom"/>
            <w:tcBorders>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Amendment</w:t>
            </w:r>
          </w:p>
        </w:tc>
        <w:tc>
          <w:tcPr>
            <w:tcW w:w="1980" w:type="dxa"/>
            <w:vAlign w:val="bottom"/>
            <w:tcBorders>
              <w:bottom w:val="single" w:sz="8" w:color="auto"/>
              <w:right w:val="single" w:sz="8" w:color="auto"/>
            </w:tcBorders>
            <w:shd w:val="clear" w:color="auto" w:fill="BFBFBF"/>
          </w:tcPr>
          <w:p>
            <w:pPr>
              <w:spacing w:after="0"/>
              <w:rPr>
                <w:sz w:val="18"/>
                <w:szCs w:val="18"/>
                <w:color w:val="auto"/>
              </w:rPr>
            </w:pPr>
          </w:p>
        </w:tc>
        <w:tc>
          <w:tcPr>
            <w:tcW w:w="1780" w:type="dxa"/>
            <w:vAlign w:val="bottom"/>
            <w:tcBorders>
              <w:bottom w:val="single" w:sz="8" w:color="auto"/>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760" w:type="dxa"/>
            <w:vAlign w:val="bottom"/>
            <w:tcBorders>
              <w:left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AMD_00083357.0</w:t>
            </w:r>
          </w:p>
        </w:tc>
        <w:tc>
          <w:tcPr>
            <w:tcW w:w="134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November 6,</w:t>
            </w:r>
          </w:p>
        </w:tc>
        <w:tc>
          <w:tcPr>
            <w:tcW w:w="19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MSCI ACWI ex USA IMI</w:t>
            </w:r>
          </w:p>
        </w:tc>
        <w:tc>
          <w:tcPr>
            <w:tcW w:w="17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iShares Core MSCI</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8"/>
                <w:szCs w:val="18"/>
                <w:color w:val="auto"/>
              </w:rPr>
              <w:t>2012</w:t>
            </w:r>
          </w:p>
        </w:tc>
        <w:tc>
          <w:tcPr>
            <w:tcW w:w="19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Index</w:t>
            </w:r>
          </w:p>
        </w:tc>
        <w:tc>
          <w:tcPr>
            <w:tcW w:w="17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w w:val="88"/>
              </w:rPr>
              <w:t>International Stock ETF</w:t>
            </w:r>
          </w:p>
        </w:tc>
        <w:tc>
          <w:tcPr>
            <w:tcW w:w="0" w:type="dxa"/>
            <w:vAlign w:val="bottom"/>
          </w:tcPr>
          <w:p>
            <w:pPr>
              <w:spacing w:after="0"/>
              <w:rPr>
                <w:sz w:val="1"/>
                <w:szCs w:val="1"/>
                <w:color w:val="auto"/>
              </w:rPr>
            </w:pPr>
          </w:p>
        </w:tc>
      </w:tr>
      <w:tr>
        <w:trPr>
          <w:trHeight w:val="165"/>
        </w:trPr>
        <w:tc>
          <w:tcPr>
            <w:tcW w:w="3760" w:type="dxa"/>
            <w:vAlign w:val="bottom"/>
            <w:tcBorders>
              <w:left w:val="single" w:sz="8" w:color="auto"/>
              <w:right w:val="single" w:sz="8" w:color="auto"/>
            </w:tcBorders>
          </w:tcPr>
          <w:p>
            <w:pPr>
              <w:ind w:left="100"/>
              <w:spacing w:after="0" w:line="165" w:lineRule="exact"/>
              <w:rPr>
                <w:sz w:val="20"/>
                <w:szCs w:val="20"/>
                <w:color w:val="auto"/>
              </w:rPr>
            </w:pPr>
            <w:r>
              <w:rPr>
                <w:rFonts w:ascii="Arial" w:cs="Arial" w:eastAsia="Arial" w:hAnsi="Arial"/>
                <w:sz w:val="18"/>
                <w:szCs w:val="18"/>
                <w:color w:val="auto"/>
              </w:rPr>
              <w:t>AMD_00269210.0 (as</w:t>
            </w:r>
          </w:p>
        </w:tc>
        <w:tc>
          <w:tcPr>
            <w:tcW w:w="1340" w:type="dxa"/>
            <w:vAlign w:val="bottom"/>
            <w:tcBorders>
              <w:right w:val="single" w:sz="8" w:color="auto"/>
            </w:tcBorders>
          </w:tcPr>
          <w:p>
            <w:pPr>
              <w:ind w:left="100"/>
              <w:spacing w:after="0" w:line="165" w:lineRule="exact"/>
              <w:rPr>
                <w:sz w:val="20"/>
                <w:szCs w:val="20"/>
                <w:color w:val="auto"/>
              </w:rPr>
            </w:pPr>
            <w:r>
              <w:rPr>
                <w:rFonts w:ascii="Arial" w:cs="Arial" w:eastAsia="Arial" w:hAnsi="Arial"/>
                <w:sz w:val="18"/>
                <w:szCs w:val="18"/>
                <w:color w:val="auto"/>
              </w:rPr>
              <w:t>March 9, 2020</w:t>
            </w:r>
          </w:p>
        </w:tc>
        <w:tc>
          <w:tcPr>
            <w:tcW w:w="198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8"/>
                <w:szCs w:val="18"/>
                <w:color w:val="auto"/>
              </w:rPr>
              <w:t>MSCI USA Extended</w:t>
            </w:r>
          </w:p>
        </w:tc>
        <w:tc>
          <w:tcPr>
            <w:tcW w:w="178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8"/>
                <w:szCs w:val="18"/>
                <w:color w:val="auto"/>
              </w:rPr>
              <w:t>iShares ESG Aware</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previously modified by AMD_00250009.0,</w:t>
            </w:r>
          </w:p>
        </w:tc>
        <w:tc>
          <w:tcPr>
            <w:tcW w:w="13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ESG Focus Index</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MSCI USA ETF</w:t>
            </w:r>
          </w:p>
        </w:tc>
        <w:tc>
          <w:tcPr>
            <w:tcW w:w="0" w:type="dxa"/>
            <w:vAlign w:val="bottom"/>
          </w:tcPr>
          <w:p>
            <w:pPr>
              <w:spacing w:after="0"/>
              <w:rPr>
                <w:sz w:val="1"/>
                <w:szCs w:val="1"/>
                <w:color w:val="auto"/>
              </w:rPr>
            </w:pPr>
          </w:p>
        </w:tc>
      </w:tr>
      <w:tr>
        <w:trPr>
          <w:trHeight w:val="222"/>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AMD_00243265.0, AMD_00208225.0)</w:t>
            </w:r>
          </w:p>
        </w:tc>
        <w:tc>
          <w:tcPr>
            <w:tcW w:w="13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760" w:type="dxa"/>
            <w:vAlign w:val="bottom"/>
            <w:tcBorders>
              <w:left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AMD_00054</w:t>
            </w:r>
          </w:p>
        </w:tc>
        <w:tc>
          <w:tcPr>
            <w:tcW w:w="134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April 26, 2005</w:t>
            </w:r>
          </w:p>
        </w:tc>
        <w:tc>
          <w:tcPr>
            <w:tcW w:w="19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MSCI EAFE Growth</w:t>
            </w:r>
          </w:p>
        </w:tc>
        <w:tc>
          <w:tcPr>
            <w:tcW w:w="17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iShares MSCI EAFE</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Index</w:t>
            </w:r>
          </w:p>
        </w:tc>
        <w:tc>
          <w:tcPr>
            <w:tcW w:w="17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Growth</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152"/>
        </w:trPr>
        <w:tc>
          <w:tcPr>
            <w:tcW w:w="3760" w:type="dxa"/>
            <w:vAlign w:val="bottom"/>
            <w:tcBorders>
              <w:left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AMD_00269210.0 (as</w:t>
            </w:r>
          </w:p>
        </w:tc>
        <w:tc>
          <w:tcPr>
            <w:tcW w:w="134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March 9, 2020</w:t>
            </w:r>
          </w:p>
        </w:tc>
        <w:tc>
          <w:tcPr>
            <w:tcW w:w="19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MSCI Emerging Markets</w:t>
            </w:r>
          </w:p>
        </w:tc>
        <w:tc>
          <w:tcPr>
            <w:tcW w:w="17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iShares ESG Aware</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previously modified by AMD_00250009.0,</w:t>
            </w:r>
          </w:p>
        </w:tc>
        <w:tc>
          <w:tcPr>
            <w:tcW w:w="13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Extended ESG Focus</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MSCI EM ETF</w:t>
            </w: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right w:val="single" w:sz="8" w:color="auto"/>
            </w:tcBorders>
          </w:tcPr>
          <w:p>
            <w:pPr>
              <w:ind w:left="100"/>
              <w:spacing w:after="0" w:line="158" w:lineRule="exact"/>
              <w:rPr>
                <w:sz w:val="20"/>
                <w:szCs w:val="20"/>
                <w:color w:val="auto"/>
              </w:rPr>
            </w:pPr>
            <w:r>
              <w:rPr>
                <w:rFonts w:ascii="Arial" w:cs="Arial" w:eastAsia="Arial" w:hAnsi="Arial"/>
                <w:sz w:val="18"/>
                <w:szCs w:val="18"/>
                <w:color w:val="auto"/>
              </w:rPr>
              <w:t>AMD_00243265.0, AMD_00209563.0,</w:t>
            </w:r>
          </w:p>
        </w:tc>
        <w:tc>
          <w:tcPr>
            <w:tcW w:w="13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Index</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7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AMD_00200775.0)</w:t>
            </w:r>
          </w:p>
        </w:tc>
        <w:tc>
          <w:tcPr>
            <w:tcW w:w="134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47"/>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760" w:type="dxa"/>
            <w:vAlign w:val="bottom"/>
            <w:tcBorders>
              <w:left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AMD_00269210.0 (as</w:t>
            </w:r>
          </w:p>
        </w:tc>
        <w:tc>
          <w:tcPr>
            <w:tcW w:w="134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March 9, 2020</w:t>
            </w:r>
          </w:p>
        </w:tc>
        <w:tc>
          <w:tcPr>
            <w:tcW w:w="19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MSCI EAFE Extended</w:t>
            </w:r>
          </w:p>
        </w:tc>
        <w:tc>
          <w:tcPr>
            <w:tcW w:w="17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iShares ESG Aware</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previously modified by AMD_00250009.0,</w:t>
            </w:r>
          </w:p>
        </w:tc>
        <w:tc>
          <w:tcPr>
            <w:tcW w:w="13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ESG Focus Index</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MSCI EAFE ETF</w:t>
            </w: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right w:val="single" w:sz="8" w:color="auto"/>
            </w:tcBorders>
          </w:tcPr>
          <w:p>
            <w:pPr>
              <w:ind w:left="100"/>
              <w:spacing w:after="0" w:line="158" w:lineRule="exact"/>
              <w:rPr>
                <w:sz w:val="20"/>
                <w:szCs w:val="20"/>
                <w:color w:val="auto"/>
              </w:rPr>
            </w:pPr>
            <w:r>
              <w:rPr>
                <w:rFonts w:ascii="Arial" w:cs="Arial" w:eastAsia="Arial" w:hAnsi="Arial"/>
                <w:sz w:val="18"/>
                <w:szCs w:val="18"/>
                <w:color w:val="auto"/>
              </w:rPr>
              <w:t>AMD_00243265.0, AMD_00209563.0,</w:t>
            </w:r>
          </w:p>
        </w:tc>
        <w:tc>
          <w:tcPr>
            <w:tcW w:w="13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AMD_00200775.0)</w:t>
            </w:r>
          </w:p>
        </w:tc>
        <w:tc>
          <w:tcPr>
            <w:tcW w:w="13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760" w:type="dxa"/>
            <w:vAlign w:val="bottom"/>
            <w:tcBorders>
              <w:left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AMD_00255400.0</w:t>
            </w:r>
          </w:p>
        </w:tc>
        <w:tc>
          <w:tcPr>
            <w:tcW w:w="134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w w:val="98"/>
              </w:rPr>
              <w:t>February 1, 2019</w:t>
            </w:r>
          </w:p>
        </w:tc>
        <w:tc>
          <w:tcPr>
            <w:tcW w:w="19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w w:val="99"/>
              </w:rPr>
              <w:t>MSCI USA Extended ESG</w:t>
            </w:r>
          </w:p>
        </w:tc>
        <w:tc>
          <w:tcPr>
            <w:tcW w:w="17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iShares ESG MSCI</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Leaders Index</w:t>
            </w:r>
          </w:p>
        </w:tc>
        <w:tc>
          <w:tcPr>
            <w:tcW w:w="17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Leaders ETF</w:t>
            </w:r>
          </w:p>
        </w:tc>
        <w:tc>
          <w:tcPr>
            <w:tcW w:w="0" w:type="dxa"/>
            <w:vAlign w:val="bottom"/>
          </w:tcPr>
          <w:p>
            <w:pPr>
              <w:spacing w:after="0"/>
              <w:rPr>
                <w:sz w:val="1"/>
                <w:szCs w:val="1"/>
                <w:color w:val="auto"/>
              </w:rPr>
            </w:pPr>
          </w:p>
        </w:tc>
      </w:tr>
      <w:tr>
        <w:trPr>
          <w:trHeight w:val="152"/>
        </w:trPr>
        <w:tc>
          <w:tcPr>
            <w:tcW w:w="3760" w:type="dxa"/>
            <w:vAlign w:val="bottom"/>
            <w:tcBorders>
              <w:left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AMD_00243265.0 (as</w:t>
            </w:r>
          </w:p>
        </w:tc>
        <w:tc>
          <w:tcPr>
            <w:tcW w:w="134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May 15, 2018</w:t>
            </w:r>
          </w:p>
        </w:tc>
        <w:tc>
          <w:tcPr>
            <w:tcW w:w="19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MSCI USA Extended</w:t>
            </w:r>
          </w:p>
        </w:tc>
        <w:tc>
          <w:tcPr>
            <w:tcW w:w="17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iShares MSCI USA</w:t>
            </w:r>
          </w:p>
        </w:tc>
        <w:tc>
          <w:tcPr>
            <w:tcW w:w="0" w:type="dxa"/>
            <w:vAlign w:val="bottom"/>
          </w:tcPr>
          <w:p>
            <w:pPr>
              <w:spacing w:after="0"/>
              <w:rPr>
                <w:sz w:val="1"/>
                <w:szCs w:val="1"/>
                <w:color w:val="auto"/>
              </w:rPr>
            </w:pPr>
          </w:p>
        </w:tc>
      </w:tr>
      <w:tr>
        <w:trPr>
          <w:trHeight w:val="262"/>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previously modified by SCA_11043)</w:t>
            </w:r>
          </w:p>
        </w:tc>
        <w:tc>
          <w:tcPr>
            <w:tcW w:w="134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ESG Select Index</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ESG Select ETF</w:t>
            </w:r>
          </w:p>
        </w:tc>
        <w:tc>
          <w:tcPr>
            <w:tcW w:w="0" w:type="dxa"/>
            <w:vAlign w:val="bottom"/>
          </w:tcPr>
          <w:p>
            <w:pPr>
              <w:spacing w:after="0"/>
              <w:rPr>
                <w:sz w:val="1"/>
                <w:szCs w:val="1"/>
                <w:color w:val="auto"/>
              </w:rPr>
            </w:pPr>
          </w:p>
        </w:tc>
      </w:tr>
      <w:tr>
        <w:trPr>
          <w:trHeight w:val="171"/>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760" w:type="dxa"/>
            <w:vAlign w:val="bottom"/>
            <w:tcBorders>
              <w:left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AMD_00264512.0</w:t>
            </w:r>
          </w:p>
        </w:tc>
        <w:tc>
          <w:tcPr>
            <w:tcW w:w="134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October 1, 2019</w:t>
            </w:r>
          </w:p>
        </w:tc>
        <w:tc>
          <w:tcPr>
            <w:tcW w:w="19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MSCI EM Extended ESG</w:t>
            </w:r>
          </w:p>
        </w:tc>
        <w:tc>
          <w:tcPr>
            <w:tcW w:w="17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iShares ESG MSCI EM</w:t>
            </w:r>
          </w:p>
        </w:tc>
        <w:tc>
          <w:tcPr>
            <w:tcW w:w="0" w:type="dxa"/>
            <w:vAlign w:val="bottom"/>
          </w:tcPr>
          <w:p>
            <w:pPr>
              <w:spacing w:after="0"/>
              <w:rPr>
                <w:sz w:val="1"/>
                <w:szCs w:val="1"/>
                <w:color w:val="auto"/>
              </w:rPr>
            </w:pPr>
          </w:p>
        </w:tc>
      </w:tr>
      <w:tr>
        <w:trPr>
          <w:trHeight w:val="171"/>
        </w:trPr>
        <w:tc>
          <w:tcPr>
            <w:tcW w:w="3760" w:type="dxa"/>
            <w:vAlign w:val="bottom"/>
            <w:tcBorders>
              <w:left w:val="single" w:sz="8" w:color="auto"/>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8"/>
                <w:szCs w:val="18"/>
                <w:color w:val="auto"/>
                <w:w w:val="85"/>
              </w:rPr>
              <w:t>Leaders 5% Issuer Capped</w:t>
            </w:r>
          </w:p>
        </w:tc>
        <w:tc>
          <w:tcPr>
            <w:tcW w:w="178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8"/>
                <w:szCs w:val="18"/>
                <w:color w:val="auto"/>
              </w:rPr>
              <w:t>Leaders</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Index</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152"/>
        </w:trPr>
        <w:tc>
          <w:tcPr>
            <w:tcW w:w="3760" w:type="dxa"/>
            <w:vAlign w:val="bottom"/>
            <w:tcBorders>
              <w:left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AMD_00145581.0</w:t>
            </w:r>
          </w:p>
        </w:tc>
        <w:tc>
          <w:tcPr>
            <w:tcW w:w="134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September 22,</w:t>
            </w:r>
          </w:p>
        </w:tc>
        <w:tc>
          <w:tcPr>
            <w:tcW w:w="19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MSCI ACWI Low</w:t>
            </w:r>
          </w:p>
        </w:tc>
        <w:tc>
          <w:tcPr>
            <w:tcW w:w="17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iShares MSCI ACWI</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8"/>
                <w:szCs w:val="18"/>
                <w:color w:val="auto"/>
              </w:rPr>
              <w:t>2014</w:t>
            </w:r>
          </w:p>
        </w:tc>
        <w:tc>
          <w:tcPr>
            <w:tcW w:w="19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Carbon Target Index</w:t>
            </w:r>
          </w:p>
        </w:tc>
        <w:tc>
          <w:tcPr>
            <w:tcW w:w="17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Low Carbon Target</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165"/>
        </w:trPr>
        <w:tc>
          <w:tcPr>
            <w:tcW w:w="3760" w:type="dxa"/>
            <w:vAlign w:val="bottom"/>
            <w:tcBorders>
              <w:left w:val="single" w:sz="8" w:color="auto"/>
              <w:right w:val="single" w:sz="8" w:color="auto"/>
            </w:tcBorders>
          </w:tcPr>
          <w:p>
            <w:pPr>
              <w:ind w:left="100"/>
              <w:spacing w:after="0" w:line="165" w:lineRule="exact"/>
              <w:rPr>
                <w:sz w:val="20"/>
                <w:szCs w:val="20"/>
                <w:color w:val="auto"/>
              </w:rPr>
            </w:pPr>
            <w:r>
              <w:rPr>
                <w:rFonts w:ascii="Arial" w:cs="Arial" w:eastAsia="Arial" w:hAnsi="Arial"/>
                <w:sz w:val="18"/>
                <w:szCs w:val="18"/>
                <w:color w:val="auto"/>
              </w:rPr>
              <w:t>AMD_00269210.0 (as</w:t>
            </w:r>
          </w:p>
        </w:tc>
        <w:tc>
          <w:tcPr>
            <w:tcW w:w="1340" w:type="dxa"/>
            <w:vAlign w:val="bottom"/>
            <w:tcBorders>
              <w:right w:val="single" w:sz="8" w:color="auto"/>
            </w:tcBorders>
          </w:tcPr>
          <w:p>
            <w:pPr>
              <w:ind w:left="100"/>
              <w:spacing w:after="0" w:line="165" w:lineRule="exact"/>
              <w:rPr>
                <w:sz w:val="20"/>
                <w:szCs w:val="20"/>
                <w:color w:val="auto"/>
              </w:rPr>
            </w:pPr>
            <w:r>
              <w:rPr>
                <w:rFonts w:ascii="Arial" w:cs="Arial" w:eastAsia="Arial" w:hAnsi="Arial"/>
                <w:sz w:val="18"/>
                <w:szCs w:val="18"/>
                <w:color w:val="auto"/>
              </w:rPr>
              <w:t>March 9, 2020</w:t>
            </w:r>
          </w:p>
        </w:tc>
        <w:tc>
          <w:tcPr>
            <w:tcW w:w="198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8"/>
                <w:szCs w:val="18"/>
                <w:color w:val="auto"/>
              </w:rPr>
              <w:t>MSCI USA Small Cap</w:t>
            </w:r>
          </w:p>
        </w:tc>
        <w:tc>
          <w:tcPr>
            <w:tcW w:w="178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8"/>
                <w:szCs w:val="18"/>
                <w:color w:val="auto"/>
              </w:rPr>
              <w:t>iShares ESG Aware</w:t>
            </w:r>
          </w:p>
        </w:tc>
        <w:tc>
          <w:tcPr>
            <w:tcW w:w="0" w:type="dxa"/>
            <w:vAlign w:val="bottom"/>
          </w:tcPr>
          <w:p>
            <w:pPr>
              <w:spacing w:after="0"/>
              <w:rPr>
                <w:sz w:val="1"/>
                <w:szCs w:val="1"/>
                <w:color w:val="auto"/>
              </w:rPr>
            </w:pPr>
          </w:p>
        </w:tc>
      </w:tr>
      <w:tr>
        <w:trPr>
          <w:trHeight w:val="197"/>
        </w:trPr>
        <w:tc>
          <w:tcPr>
            <w:tcW w:w="3760" w:type="dxa"/>
            <w:vAlign w:val="bottom"/>
            <w:tcBorders>
              <w:left w:val="single" w:sz="8" w:color="auto"/>
              <w:right w:val="single" w:sz="8" w:color="auto"/>
            </w:tcBorders>
          </w:tcPr>
          <w:p>
            <w:pPr>
              <w:ind w:left="100"/>
              <w:spacing w:after="0" w:line="197" w:lineRule="exact"/>
              <w:rPr>
                <w:sz w:val="20"/>
                <w:szCs w:val="20"/>
                <w:color w:val="auto"/>
              </w:rPr>
            </w:pPr>
            <w:r>
              <w:rPr>
                <w:rFonts w:ascii="Arial" w:cs="Arial" w:eastAsia="Arial" w:hAnsi="Arial"/>
                <w:sz w:val="18"/>
                <w:szCs w:val="18"/>
                <w:color w:val="auto"/>
              </w:rPr>
              <w:t>previously modified by</w:t>
            </w:r>
          </w:p>
        </w:tc>
        <w:tc>
          <w:tcPr>
            <w:tcW w:w="134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ind w:left="80"/>
              <w:spacing w:after="0" w:line="197" w:lineRule="exact"/>
              <w:rPr>
                <w:sz w:val="20"/>
                <w:szCs w:val="20"/>
                <w:color w:val="auto"/>
              </w:rPr>
            </w:pPr>
            <w:r>
              <w:rPr>
                <w:rFonts w:ascii="Arial" w:cs="Arial" w:eastAsia="Arial" w:hAnsi="Arial"/>
                <w:sz w:val="18"/>
                <w:szCs w:val="18"/>
                <w:color w:val="auto"/>
              </w:rPr>
              <w:t>Extended ESG Focus</w:t>
            </w:r>
          </w:p>
        </w:tc>
        <w:tc>
          <w:tcPr>
            <w:tcW w:w="1780" w:type="dxa"/>
            <w:vAlign w:val="bottom"/>
            <w:tcBorders>
              <w:right w:val="single" w:sz="8" w:color="auto"/>
            </w:tcBorders>
          </w:tcPr>
          <w:p>
            <w:pPr>
              <w:ind w:left="80"/>
              <w:spacing w:after="0" w:line="197" w:lineRule="exact"/>
              <w:rPr>
                <w:sz w:val="20"/>
                <w:szCs w:val="20"/>
                <w:color w:val="auto"/>
              </w:rPr>
            </w:pPr>
            <w:r>
              <w:rPr>
                <w:rFonts w:ascii="Arial" w:cs="Arial" w:eastAsia="Arial" w:hAnsi="Arial"/>
                <w:sz w:val="18"/>
                <w:szCs w:val="18"/>
                <w:color w:val="auto"/>
                <w:w w:val="94"/>
              </w:rPr>
              <w:t>MSCI USA Small-Cap</w:t>
            </w:r>
          </w:p>
        </w:tc>
        <w:tc>
          <w:tcPr>
            <w:tcW w:w="0" w:type="dxa"/>
            <w:vAlign w:val="bottom"/>
          </w:tcPr>
          <w:p>
            <w:pPr>
              <w:spacing w:after="0"/>
              <w:rPr>
                <w:sz w:val="1"/>
                <w:szCs w:val="1"/>
                <w:color w:val="auto"/>
              </w:rPr>
            </w:pPr>
          </w:p>
        </w:tc>
      </w:tr>
      <w:tr>
        <w:trPr>
          <w:trHeight w:val="262"/>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AMD_00250009.0, AMD_00235248.0)</w:t>
            </w:r>
          </w:p>
        </w:tc>
        <w:tc>
          <w:tcPr>
            <w:tcW w:w="134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Index</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60" w:type="dxa"/>
            <w:vAlign w:val="bottom"/>
            <w:tcBorders>
              <w:left w:val="single" w:sz="8" w:color="auto"/>
              <w:right w:val="single" w:sz="8" w:color="auto"/>
            </w:tcBorders>
          </w:tcPr>
          <w:p>
            <w:pPr>
              <w:ind w:left="100"/>
              <w:spacing w:after="0" w:line="165" w:lineRule="exact"/>
              <w:rPr>
                <w:sz w:val="20"/>
                <w:szCs w:val="20"/>
                <w:color w:val="auto"/>
              </w:rPr>
            </w:pPr>
            <w:r>
              <w:rPr>
                <w:rFonts w:ascii="Arial" w:cs="Arial" w:eastAsia="Arial" w:hAnsi="Arial"/>
                <w:sz w:val="18"/>
                <w:szCs w:val="18"/>
                <w:color w:val="auto"/>
              </w:rPr>
              <w:t>AMD_00265489.0 (as</w:t>
            </w:r>
          </w:p>
        </w:tc>
        <w:tc>
          <w:tcPr>
            <w:tcW w:w="1340" w:type="dxa"/>
            <w:vAlign w:val="bottom"/>
            <w:tcBorders>
              <w:right w:val="single" w:sz="8" w:color="auto"/>
            </w:tcBorders>
          </w:tcPr>
          <w:p>
            <w:pPr>
              <w:ind w:left="100"/>
              <w:spacing w:after="0" w:line="165" w:lineRule="exact"/>
              <w:rPr>
                <w:sz w:val="20"/>
                <w:szCs w:val="20"/>
                <w:color w:val="auto"/>
              </w:rPr>
            </w:pPr>
            <w:r>
              <w:rPr>
                <w:rFonts w:ascii="Arial" w:cs="Arial" w:eastAsia="Arial" w:hAnsi="Arial"/>
                <w:sz w:val="18"/>
                <w:szCs w:val="18"/>
                <w:color w:val="auto"/>
              </w:rPr>
              <w:t>March 9, 2020</w:t>
            </w:r>
          </w:p>
        </w:tc>
        <w:tc>
          <w:tcPr>
            <w:tcW w:w="198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8"/>
                <w:szCs w:val="18"/>
                <w:color w:val="auto"/>
                <w:w w:val="92"/>
              </w:rPr>
              <w:t>MSCI EAFE Choice ESG</w:t>
            </w:r>
          </w:p>
        </w:tc>
        <w:tc>
          <w:tcPr>
            <w:tcW w:w="178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8"/>
                <w:szCs w:val="18"/>
                <w:color w:val="auto"/>
                <w:w w:val="87"/>
              </w:rPr>
              <w:t>iShares ESG Advanced</w:t>
            </w:r>
          </w:p>
        </w:tc>
        <w:tc>
          <w:tcPr>
            <w:tcW w:w="0" w:type="dxa"/>
            <w:vAlign w:val="bottom"/>
          </w:tcPr>
          <w:p>
            <w:pPr>
              <w:spacing w:after="0"/>
              <w:rPr>
                <w:sz w:val="1"/>
                <w:szCs w:val="1"/>
                <w:color w:val="auto"/>
              </w:rPr>
            </w:pPr>
          </w:p>
        </w:tc>
      </w:tr>
      <w:tr>
        <w:trPr>
          <w:trHeight w:val="248"/>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previously modified by AMD_00270883.0)</w:t>
            </w:r>
          </w:p>
        </w:tc>
        <w:tc>
          <w:tcPr>
            <w:tcW w:w="134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Screened Index</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MSCI EAFE ETF</w:t>
            </w:r>
          </w:p>
        </w:tc>
        <w:tc>
          <w:tcPr>
            <w:tcW w:w="0" w:type="dxa"/>
            <w:vAlign w:val="bottom"/>
          </w:tcPr>
          <w:p>
            <w:pPr>
              <w:spacing w:after="0"/>
              <w:rPr>
                <w:sz w:val="1"/>
                <w:szCs w:val="1"/>
                <w:color w:val="auto"/>
              </w:rPr>
            </w:pPr>
          </w:p>
        </w:tc>
      </w:tr>
      <w:tr>
        <w:trPr>
          <w:trHeight w:val="171"/>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760" w:type="dxa"/>
            <w:vAlign w:val="bottom"/>
            <w:tcBorders>
              <w:left w:val="single" w:sz="8" w:color="auto"/>
              <w:right w:val="single" w:sz="8" w:color="auto"/>
            </w:tcBorders>
          </w:tcPr>
          <w:p>
            <w:pPr>
              <w:ind w:left="100"/>
              <w:spacing w:after="0" w:line="165" w:lineRule="exact"/>
              <w:rPr>
                <w:sz w:val="20"/>
                <w:szCs w:val="20"/>
                <w:color w:val="auto"/>
              </w:rPr>
            </w:pPr>
            <w:r>
              <w:rPr>
                <w:rFonts w:ascii="Arial" w:cs="Arial" w:eastAsia="Arial" w:hAnsi="Arial"/>
                <w:sz w:val="18"/>
                <w:szCs w:val="18"/>
                <w:color w:val="auto"/>
              </w:rPr>
              <w:t>AMD_00265489.0 (as</w:t>
            </w:r>
          </w:p>
        </w:tc>
        <w:tc>
          <w:tcPr>
            <w:tcW w:w="1340" w:type="dxa"/>
            <w:vAlign w:val="bottom"/>
            <w:tcBorders>
              <w:right w:val="single" w:sz="8" w:color="auto"/>
            </w:tcBorders>
          </w:tcPr>
          <w:p>
            <w:pPr>
              <w:ind w:left="100"/>
              <w:spacing w:after="0" w:line="165" w:lineRule="exact"/>
              <w:rPr>
                <w:sz w:val="20"/>
                <w:szCs w:val="20"/>
                <w:color w:val="auto"/>
              </w:rPr>
            </w:pPr>
            <w:r>
              <w:rPr>
                <w:rFonts w:ascii="Arial" w:cs="Arial" w:eastAsia="Arial" w:hAnsi="Arial"/>
                <w:sz w:val="18"/>
                <w:szCs w:val="18"/>
                <w:color w:val="auto"/>
              </w:rPr>
              <w:t>March 9, 2020</w:t>
            </w:r>
          </w:p>
        </w:tc>
        <w:tc>
          <w:tcPr>
            <w:tcW w:w="198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8"/>
                <w:szCs w:val="18"/>
                <w:color w:val="auto"/>
                <w:w w:val="97"/>
              </w:rPr>
              <w:t>MSCI USA Choice ESG</w:t>
            </w:r>
          </w:p>
        </w:tc>
        <w:tc>
          <w:tcPr>
            <w:tcW w:w="178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8"/>
                <w:szCs w:val="18"/>
                <w:color w:val="auto"/>
                <w:w w:val="87"/>
              </w:rPr>
              <w:t>iShares ESG Advanced</w:t>
            </w:r>
          </w:p>
        </w:tc>
        <w:tc>
          <w:tcPr>
            <w:tcW w:w="0" w:type="dxa"/>
            <w:vAlign w:val="bottom"/>
          </w:tcPr>
          <w:p>
            <w:pPr>
              <w:spacing w:after="0"/>
              <w:rPr>
                <w:sz w:val="1"/>
                <w:szCs w:val="1"/>
                <w:color w:val="auto"/>
              </w:rPr>
            </w:pPr>
          </w:p>
        </w:tc>
      </w:tr>
      <w:tr>
        <w:trPr>
          <w:trHeight w:val="248"/>
        </w:trPr>
        <w:tc>
          <w:tcPr>
            <w:tcW w:w="3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previously modified by AMD_00270883.0)</w:t>
            </w:r>
          </w:p>
        </w:tc>
        <w:tc>
          <w:tcPr>
            <w:tcW w:w="134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Screened Index</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MSCI USA ETF</w:t>
            </w: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6"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21"/>
          <w:szCs w:val="21"/>
          <w:b w:val="1"/>
          <w:bCs w:val="1"/>
          <w:color w:val="auto"/>
        </w:rPr>
        <w:t>Exhibit 10.165</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A.N.: 130339</w:t>
      </w:r>
    </w:p>
    <w:p>
      <w:pPr>
        <w:spacing w:after="0" w:line="24"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auto"/>
        </w:rPr>
        <w:t>AMD_ 00289245.0</w:t>
      </w:r>
    </w:p>
    <w:p>
      <w:pPr>
        <w:spacing w:after="0" w:line="236"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CERTAIN IDENTIFIED INFORMATION HAS BEEN EXCLUDED FROM THIS EXHIBIT BECAUSE IT IS NOT MATERIAL AND IS OF THE TYPE THAT THE COMPANY TREATS AS PRIVATE OR CONFIDENTIAL. *** INDICATES THAT INFORMATION HAS BEEN REDACTED.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 of Amendment: July 26, 2021</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Index License Agreement for Funds (internal MSCI reference IXF_00040) dated as of March 18, 2000 (as previously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MSCI Inc. (formerly known as Morgan Stanley Capital International Inc.) (“</w:t>
      </w:r>
      <w:r>
        <w:rPr>
          <w:rFonts w:ascii="Arial" w:cs="Arial" w:eastAsia="Arial" w:hAnsi="Arial"/>
          <w:sz w:val="18"/>
          <w:szCs w:val="18"/>
          <w:u w:val="single" w:color="auto"/>
          <w:color w:val="auto"/>
        </w:rPr>
        <w:t>MSCI</w:t>
      </w:r>
      <w:r>
        <w:rPr>
          <w:rFonts w:ascii="Arial" w:cs="Arial" w:eastAsia="Arial" w:hAnsi="Arial"/>
          <w:sz w:val="18"/>
          <w:szCs w:val="18"/>
          <w:color w:val="auto"/>
        </w:rPr>
        <w:t>”) and BlackRock Fund Advisors, a California corporation (as successor to Barclays Global Investors, N.A.) (“</w:t>
      </w:r>
      <w:r>
        <w:rPr>
          <w:rFonts w:ascii="Arial" w:cs="Arial" w:eastAsia="Arial" w:hAnsi="Arial"/>
          <w:sz w:val="18"/>
          <w:szCs w:val="18"/>
          <w:u w:val="single" w:color="auto"/>
          <w:color w:val="auto"/>
        </w:rPr>
        <w:t>Licensee</w:t>
      </w:r>
      <w:r>
        <w:rPr>
          <w:rFonts w:ascii="Arial" w:cs="Arial" w:eastAsia="Arial" w:hAnsi="Arial"/>
          <w:sz w:val="18"/>
          <w:szCs w:val="18"/>
          <w:color w:val="auto"/>
        </w:rPr>
        <w:t>”). Capitalized terms used but not defined herein shall have the meanings ascribed to them in the Agreement.</w:t>
      </w:r>
    </w:p>
    <w:p>
      <w:pPr>
        <w:spacing w:after="0" w:line="206" w:lineRule="exact"/>
        <w:rPr>
          <w:sz w:val="20"/>
          <w:szCs w:val="20"/>
          <w:color w:val="auto"/>
        </w:rPr>
      </w:pPr>
    </w:p>
    <w:p>
      <w:pPr>
        <w:ind w:left="420" w:hanging="415"/>
        <w:spacing w:after="0"/>
        <w:tabs>
          <w:tab w:leader="none" w:pos="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Exhibit A of the Agreement is hereby amended to add the following Index:</w:t>
      </w:r>
    </w:p>
    <w:p>
      <w:pPr>
        <w:spacing w:after="0" w:line="226" w:lineRule="exact"/>
        <w:rPr>
          <w:rFonts w:ascii="Arial" w:cs="Arial" w:eastAsia="Arial" w:hAnsi="Arial"/>
          <w:sz w:val="18"/>
          <w:szCs w:val="18"/>
          <w:color w:val="auto"/>
        </w:rPr>
      </w:pPr>
    </w:p>
    <w:p>
      <w:pPr>
        <w:ind w:left="1260" w:right="5280" w:hanging="19"/>
        <w:spacing w:after="0" w:line="594" w:lineRule="auto"/>
        <w:tabs>
          <w:tab w:leader="none" w:pos="1654" w:val="left"/>
        </w:tabs>
        <w:numPr>
          <w:ilvl w:val="1"/>
          <w:numId w:val="148"/>
        </w:numPr>
        <w:rPr>
          <w:rFonts w:ascii="Arial" w:cs="Arial" w:eastAsia="Arial" w:hAnsi="Arial"/>
          <w:sz w:val="15"/>
          <w:szCs w:val="15"/>
          <w:color w:val="auto"/>
        </w:rPr>
      </w:pPr>
      <w:r>
        <w:rPr>
          <w:rFonts w:ascii="Arial" w:cs="Arial" w:eastAsia="Arial" w:hAnsi="Arial"/>
          <w:sz w:val="15"/>
          <w:szCs w:val="15"/>
          <w:color w:val="auto"/>
        </w:rPr>
        <w:t>MSCI China Technology Sub-Industries Select Capped Index or such other indexes as agreed by Licensee and MSCI in writing.</w:t>
      </w:r>
    </w:p>
    <w:p>
      <w:pPr>
        <w:ind w:left="420" w:hanging="415"/>
        <w:spacing w:after="0" w:line="261" w:lineRule="auto"/>
        <w:tabs>
          <w:tab w:leader="none" w:pos="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Licensee may use the Index set forth in Section 1 above solely with respect to the following Licensee fund (a “</w:t>
      </w:r>
      <w:r>
        <w:rPr>
          <w:rFonts w:ascii="Arial" w:cs="Arial" w:eastAsia="Arial" w:hAnsi="Arial"/>
          <w:sz w:val="18"/>
          <w:szCs w:val="18"/>
          <w:u w:val="single" w:color="auto"/>
          <w:color w:val="auto"/>
        </w:rPr>
        <w:t>Fund</w:t>
      </w:r>
      <w:r>
        <w:rPr>
          <w:rFonts w:ascii="Arial" w:cs="Arial" w:eastAsia="Arial" w:hAnsi="Arial"/>
          <w:sz w:val="18"/>
          <w:szCs w:val="18"/>
          <w:color w:val="auto"/>
        </w:rPr>
        <w:t>” as such term is defined in the Agreement):</w:t>
      </w:r>
    </w:p>
    <w:p>
      <w:pPr>
        <w:spacing w:after="0" w:line="193" w:lineRule="exact"/>
        <w:rPr>
          <w:rFonts w:ascii="Arial" w:cs="Arial" w:eastAsia="Arial" w:hAnsi="Arial"/>
          <w:sz w:val="18"/>
          <w:szCs w:val="18"/>
          <w:color w:val="auto"/>
        </w:rPr>
      </w:pPr>
    </w:p>
    <w:p>
      <w:pPr>
        <w:ind w:left="1640" w:hanging="399"/>
        <w:spacing w:after="0"/>
        <w:tabs>
          <w:tab w:leader="none" w:pos="16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iShares MSCI China Multisector Tech ETF</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such other names as agreed by Licensee and MSCI in writing.</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Fund identified above shall be an exchange traded index fund listed on a national securities exchange located in the United States.</w:t>
      </w:r>
    </w:p>
    <w:p>
      <w:pPr>
        <w:spacing w:after="0" w:line="227" w:lineRule="exact"/>
        <w:rPr>
          <w:sz w:val="20"/>
          <w:szCs w:val="20"/>
          <w:color w:val="auto"/>
        </w:rPr>
      </w:pPr>
    </w:p>
    <w:p>
      <w:pPr>
        <w:ind w:left="420" w:hanging="415"/>
        <w:spacing w:after="0"/>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Licensee shall pay MSCI a *** license fee ********************. The *** license fee shall be calculated as ********************:</w:t>
      </w:r>
    </w:p>
    <w:p>
      <w:pPr>
        <w:spacing w:after="0" w:line="219" w:lineRule="exact"/>
        <w:rPr>
          <w:sz w:val="20"/>
          <w:szCs w:val="20"/>
          <w:color w:val="auto"/>
        </w:rPr>
      </w:pPr>
    </w:p>
    <w:tbl>
      <w:tblPr>
        <w:tblLayout w:type="fixed"/>
        <w:tblInd w:w="430" w:type="dxa"/>
        <w:tblCellMar>
          <w:top w:w="0" w:type="dxa"/>
          <w:left w:w="0" w:type="dxa"/>
          <w:bottom w:w="0" w:type="dxa"/>
          <w:right w:w="0" w:type="dxa"/>
        </w:tblCellMar>
      </w:tblPr>
      <w:tr>
        <w:trPr>
          <w:trHeight w:val="223"/>
        </w:trPr>
        <w:tc>
          <w:tcPr>
            <w:tcW w:w="3140" w:type="dxa"/>
            <w:vAlign w:val="bottom"/>
            <w:tcBorders>
              <w:top w:val="single" w:sz="8" w:color="auto"/>
              <w:left w:val="single" w:sz="8" w:color="auto"/>
              <w:bottom w:val="single" w:sz="8" w:color="auto"/>
              <w:right w:val="single" w:sz="8" w:color="auto"/>
            </w:tcBorders>
          </w:tcPr>
          <w:p>
            <w:pPr>
              <w:jc w:val="right"/>
              <w:ind w:right="612"/>
              <w:spacing w:after="0"/>
              <w:rPr>
                <w:sz w:val="20"/>
                <w:szCs w:val="20"/>
                <w:color w:val="auto"/>
              </w:rPr>
            </w:pPr>
            <w:r>
              <w:rPr>
                <w:rFonts w:ascii="Arial" w:cs="Arial" w:eastAsia="Arial" w:hAnsi="Arial"/>
                <w:sz w:val="18"/>
                <w:szCs w:val="18"/>
                <w:color w:val="auto"/>
              </w:rPr>
              <w:t>********************</w:t>
            </w:r>
          </w:p>
        </w:tc>
        <w:tc>
          <w:tcPr>
            <w:tcW w:w="7680" w:type="dxa"/>
            <w:vAlign w:val="bottom"/>
            <w:tcBorders>
              <w:top w:val="single" w:sz="8" w:color="auto"/>
              <w:bottom w:val="single" w:sz="8" w:color="auto"/>
              <w:right w:val="single" w:sz="8" w:color="auto"/>
            </w:tcBorders>
          </w:tcPr>
          <w:p>
            <w:pPr>
              <w:jc w:val="right"/>
              <w:ind w:right="2892"/>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avoidance of doubt, the ****** shall be ******. For example, ****************************************.</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78040"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33">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07" w:name="page208"/>
    <w:bookmarkEnd w:id="207"/>
    <w:p>
      <w:pPr>
        <w:ind w:left="4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tbl>
      <w:tblPr>
        <w:tblLayout w:type="fixed"/>
        <w:tblInd w:w="2410" w:type="dxa"/>
        <w:tblCellMar>
          <w:top w:w="0" w:type="dxa"/>
          <w:left w:w="0" w:type="dxa"/>
          <w:bottom w:w="0" w:type="dxa"/>
          <w:right w:w="0" w:type="dxa"/>
        </w:tblCellMar>
      </w:tblPr>
      <w:tr>
        <w:trPr>
          <w:trHeight w:val="223"/>
        </w:trPr>
        <w:tc>
          <w:tcPr>
            <w:tcW w:w="1980" w:type="dxa"/>
            <w:vAlign w:val="bottom"/>
            <w:tcBorders>
              <w:top w:val="single" w:sz="8" w:color="auto"/>
              <w:left w:val="single" w:sz="8" w:color="auto"/>
              <w:bottom w:val="single" w:sz="8" w:color="auto"/>
              <w:right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w:t>
            </w:r>
          </w:p>
        </w:tc>
        <w:tc>
          <w:tcPr>
            <w:tcW w:w="4500" w:type="dxa"/>
            <w:vAlign w:val="bottom"/>
            <w:tcBorders>
              <w:top w:val="single" w:sz="8" w:color="auto"/>
              <w:bottom w:val="single" w:sz="8" w:color="auto"/>
              <w:right w:val="single" w:sz="8" w:color="auto"/>
            </w:tcBorders>
            <w:shd w:val="clear" w:color="auto" w:fill="D9D9D9"/>
          </w:tcPr>
          <w:p>
            <w:pPr>
              <w:jc w:val="right"/>
              <w:ind w:right="1312"/>
              <w:spacing w:after="0"/>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Notwithstanding anything to the contrary, if during any relevant period ********************for the Fund shall equal ********************.</w:t>
      </w:r>
    </w:p>
    <w:p>
      <w:pPr>
        <w:spacing w:after="0" w:line="227" w:lineRule="exact"/>
        <w:rPr>
          <w:sz w:val="20"/>
          <w:szCs w:val="20"/>
          <w:color w:val="auto"/>
        </w:rPr>
      </w:pPr>
    </w:p>
    <w:p>
      <w:pPr>
        <w:ind w:left="420" w:hanging="415"/>
        <w:spacing w:after="0"/>
        <w:tabs>
          <w:tab w:leader="none" w:pos="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Special Conditions:</w:t>
      </w:r>
    </w:p>
    <w:p>
      <w:pPr>
        <w:spacing w:after="0" w:line="226" w:lineRule="exact"/>
        <w:rPr>
          <w:rFonts w:ascii="Arial" w:cs="Arial" w:eastAsia="Arial" w:hAnsi="Arial"/>
          <w:sz w:val="18"/>
          <w:szCs w:val="18"/>
          <w:color w:val="auto"/>
        </w:rPr>
      </w:pPr>
    </w:p>
    <w:p>
      <w:pPr>
        <w:ind w:left="820" w:hanging="407"/>
        <w:spacing w:after="0" w:line="261" w:lineRule="auto"/>
        <w:tabs>
          <w:tab w:leader="none" w:pos="8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the extent that this Amendment conflicts with the Agreement, this Amendment shall control. No right or license of any kind is granted to Licensee except as expressly provided in the Agreement and this Amendment.</w:t>
      </w:r>
    </w:p>
    <w:p>
      <w:pPr>
        <w:spacing w:after="0" w:line="193" w:lineRule="exact"/>
        <w:rPr>
          <w:rFonts w:ascii="Arial" w:cs="Arial" w:eastAsia="Arial" w:hAnsi="Arial"/>
          <w:sz w:val="18"/>
          <w:szCs w:val="18"/>
          <w:color w:val="auto"/>
        </w:rPr>
      </w:pPr>
    </w:p>
    <w:p>
      <w:pPr>
        <w:ind w:left="820" w:hanging="407"/>
        <w:spacing w:after="0" w:line="261" w:lineRule="auto"/>
        <w:tabs>
          <w:tab w:leader="none" w:pos="8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MSCI may terminate this Amendment with respect to the Index set forth in Section 1 if, within one (1) year of the date of this Amendment, Licensee does not list the Fund based on the Index.</w:t>
      </w:r>
    </w:p>
    <w:p>
      <w:pPr>
        <w:spacing w:after="0" w:line="193" w:lineRule="exact"/>
        <w:rPr>
          <w:rFonts w:ascii="Arial" w:cs="Arial" w:eastAsia="Arial" w:hAnsi="Arial"/>
          <w:sz w:val="18"/>
          <w:szCs w:val="18"/>
          <w:color w:val="auto"/>
        </w:rPr>
      </w:pPr>
    </w:p>
    <w:p>
      <w:pPr>
        <w:ind w:left="820" w:hanging="407"/>
        <w:spacing w:after="0" w:line="261" w:lineRule="auto"/>
        <w:tabs>
          <w:tab w:leader="none" w:pos="8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Licensee delists the Fund identified above or changes the underlying Index for the Fund, Licensee’s right to use the Index set forth in Section 1 with respect to the Fund shall automatically and immediately terminate.</w:t>
      </w:r>
    </w:p>
    <w:p>
      <w:pPr>
        <w:spacing w:after="0" w:line="193" w:lineRule="exact"/>
        <w:rPr>
          <w:rFonts w:ascii="Arial" w:cs="Arial" w:eastAsia="Arial" w:hAnsi="Arial"/>
          <w:sz w:val="18"/>
          <w:szCs w:val="18"/>
          <w:color w:val="auto"/>
        </w:rPr>
      </w:pPr>
    </w:p>
    <w:p>
      <w:pPr>
        <w:ind w:left="820" w:hanging="407"/>
        <w:spacing w:after="0" w:line="261" w:lineRule="auto"/>
        <w:tabs>
          <w:tab w:leader="none" w:pos="8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 without regard to its conflict or choice of laws principles.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40" w:type="dxa"/>
            <w:vAlign w:val="bottom"/>
            <w:gridSpan w:val="8"/>
          </w:tcPr>
          <w:p>
            <w:pPr>
              <w:spacing w:after="0"/>
              <w:rPr>
                <w:sz w:val="20"/>
                <w:szCs w:val="20"/>
                <w:color w:val="auto"/>
              </w:rPr>
            </w:pPr>
            <w:r>
              <w:rPr>
                <w:rFonts w:ascii="Arial" w:cs="Arial" w:eastAsia="Arial" w:hAnsi="Arial"/>
                <w:sz w:val="18"/>
                <w:szCs w:val="18"/>
                <w:color w:val="auto"/>
              </w:rPr>
              <w:t>ACKNOWLEDGED AND AGREED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4"/>
        </w:trPr>
        <w:tc>
          <w:tcPr>
            <w:tcW w:w="4840" w:type="dxa"/>
            <w:vAlign w:val="bottom"/>
            <w:gridSpan w:val="8"/>
          </w:tcPr>
          <w:p>
            <w:pPr>
              <w:ind w:left="1360"/>
              <w:spacing w:after="0"/>
              <w:rPr>
                <w:sz w:val="20"/>
                <w:szCs w:val="20"/>
                <w:color w:val="auto"/>
              </w:rPr>
            </w:pPr>
            <w:r>
              <w:rPr>
                <w:rFonts w:ascii="Arial" w:cs="Arial" w:eastAsia="Arial" w:hAnsi="Arial"/>
                <w:sz w:val="18"/>
                <w:szCs w:val="18"/>
                <w:color w:val="auto"/>
              </w:rPr>
              <w:t>LICENSEE: BlackRock Fund Advisors</w:t>
            </w:r>
          </w:p>
        </w:tc>
        <w:tc>
          <w:tcPr>
            <w:tcW w:w="2660" w:type="dxa"/>
            <w:vAlign w:val="bottom"/>
            <w:gridSpan w:val="7"/>
          </w:tcPr>
          <w:p>
            <w:pPr>
              <w:ind w:left="1000"/>
              <w:spacing w:after="0"/>
              <w:rPr>
                <w:sz w:val="20"/>
                <w:szCs w:val="20"/>
                <w:color w:val="auto"/>
              </w:rPr>
            </w:pPr>
            <w:r>
              <w:rPr>
                <w:rFonts w:ascii="Arial" w:cs="Arial" w:eastAsia="Arial" w:hAnsi="Arial"/>
                <w:sz w:val="18"/>
                <w:szCs w:val="18"/>
                <w:color w:val="auto"/>
              </w:rPr>
              <w:t>MSCI Inc.</w:t>
            </w:r>
          </w:p>
        </w:tc>
      </w:tr>
      <w:tr>
        <w:trPr>
          <w:trHeight w:val="645"/>
        </w:trPr>
        <w:tc>
          <w:tcPr>
            <w:tcW w:w="4840" w:type="dxa"/>
            <w:vAlign w:val="bottom"/>
            <w:gridSpan w:val="8"/>
          </w:tcPr>
          <w:p>
            <w:pPr>
              <w:ind w:left="1360"/>
              <w:spacing w:after="0"/>
              <w:rPr>
                <w:sz w:val="20"/>
                <w:szCs w:val="20"/>
                <w:color w:val="auto"/>
              </w:rPr>
            </w:pPr>
            <w:r>
              <w:rPr>
                <w:rFonts w:ascii="Arial" w:cs="Arial" w:eastAsia="Arial" w:hAnsi="Arial"/>
                <w:sz w:val="18"/>
                <w:szCs w:val="18"/>
                <w:color w:val="auto"/>
              </w:rPr>
              <w:t>By /s/ Ruth Weiss</w:t>
            </w:r>
          </w:p>
        </w:tc>
        <w:tc>
          <w:tcPr>
            <w:tcW w:w="2660" w:type="dxa"/>
            <w:vAlign w:val="bottom"/>
            <w:gridSpan w:val="7"/>
          </w:tcPr>
          <w:p>
            <w:pPr>
              <w:ind w:left="1000"/>
              <w:spacing w:after="0"/>
              <w:rPr>
                <w:sz w:val="20"/>
                <w:szCs w:val="20"/>
                <w:color w:val="auto"/>
              </w:rPr>
            </w:pPr>
            <w:r>
              <w:rPr>
                <w:rFonts w:ascii="Arial" w:cs="Arial" w:eastAsia="Arial" w:hAnsi="Arial"/>
                <w:sz w:val="18"/>
                <w:szCs w:val="18"/>
                <w:color w:val="auto"/>
              </w:rPr>
              <w:t>By /s/ Joke Jacinto</w:t>
            </w:r>
          </w:p>
        </w:tc>
      </w:tr>
      <w:tr>
        <w:trPr>
          <w:trHeight w:val="20"/>
        </w:trPr>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4"/>
        </w:trPr>
        <w:tc>
          <w:tcPr>
            <w:tcW w:w="4840" w:type="dxa"/>
            <w:vAlign w:val="bottom"/>
            <w:gridSpan w:val="8"/>
          </w:tcPr>
          <w:p>
            <w:pPr>
              <w:ind w:left="1360"/>
              <w:spacing w:after="0"/>
              <w:rPr>
                <w:sz w:val="20"/>
                <w:szCs w:val="20"/>
                <w:color w:val="auto"/>
              </w:rPr>
            </w:pPr>
            <w:r>
              <w:rPr>
                <w:rFonts w:ascii="Arial" w:cs="Arial" w:eastAsia="Arial" w:hAnsi="Arial"/>
                <w:sz w:val="18"/>
                <w:szCs w:val="18"/>
                <w:color w:val="auto"/>
              </w:rPr>
              <w:t>Name Ruth Weiss</w:t>
            </w:r>
          </w:p>
        </w:tc>
        <w:tc>
          <w:tcPr>
            <w:tcW w:w="2660" w:type="dxa"/>
            <w:vAlign w:val="bottom"/>
            <w:gridSpan w:val="7"/>
          </w:tcPr>
          <w:p>
            <w:pPr>
              <w:ind w:left="1000"/>
              <w:spacing w:after="0"/>
              <w:rPr>
                <w:sz w:val="20"/>
                <w:szCs w:val="20"/>
                <w:color w:val="auto"/>
              </w:rPr>
            </w:pPr>
            <w:r>
              <w:rPr>
                <w:rFonts w:ascii="Arial" w:cs="Arial" w:eastAsia="Arial" w:hAnsi="Arial"/>
                <w:sz w:val="18"/>
                <w:szCs w:val="18"/>
                <w:color w:val="auto"/>
              </w:rPr>
              <w:t>Name Joke Jacinto</w:t>
            </w:r>
          </w:p>
        </w:tc>
      </w:tr>
      <w:tr>
        <w:trPr>
          <w:trHeight w:val="20"/>
        </w:trPr>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4"/>
        </w:trPr>
        <w:tc>
          <w:tcPr>
            <w:tcW w:w="4840" w:type="dxa"/>
            <w:vAlign w:val="bottom"/>
            <w:gridSpan w:val="8"/>
          </w:tcPr>
          <w:p>
            <w:pPr>
              <w:ind w:left="1360"/>
              <w:spacing w:after="0"/>
              <w:rPr>
                <w:sz w:val="20"/>
                <w:szCs w:val="20"/>
                <w:color w:val="auto"/>
              </w:rPr>
            </w:pPr>
            <w:r>
              <w:rPr>
                <w:rFonts w:ascii="Arial" w:cs="Arial" w:eastAsia="Arial" w:hAnsi="Arial"/>
                <w:sz w:val="18"/>
                <w:szCs w:val="18"/>
                <w:color w:val="auto"/>
              </w:rPr>
              <w:t>Title Managing Director</w:t>
            </w:r>
          </w:p>
        </w:tc>
        <w:tc>
          <w:tcPr>
            <w:tcW w:w="2660" w:type="dxa"/>
            <w:vAlign w:val="bottom"/>
            <w:gridSpan w:val="7"/>
          </w:tcPr>
          <w:p>
            <w:pPr>
              <w:ind w:left="1000"/>
              <w:spacing w:after="0"/>
              <w:rPr>
                <w:sz w:val="20"/>
                <w:szCs w:val="20"/>
                <w:color w:val="auto"/>
              </w:rPr>
            </w:pPr>
            <w:r>
              <w:rPr>
                <w:rFonts w:ascii="Arial" w:cs="Arial" w:eastAsia="Arial" w:hAnsi="Arial"/>
                <w:sz w:val="18"/>
                <w:szCs w:val="18"/>
                <w:color w:val="auto"/>
                <w:w w:val="88"/>
              </w:rPr>
              <w:t>Title Executive Director</w:t>
            </w:r>
          </w:p>
        </w:tc>
      </w:tr>
      <w:tr>
        <w:trPr>
          <w:trHeight w:val="20"/>
        </w:trPr>
        <w:tc>
          <w:tcPr>
            <w:tcW w:w="17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840" w:type="dxa"/>
            <w:vAlign w:val="bottom"/>
            <w:gridSpan w:val="8"/>
          </w:tcPr>
          <w:p>
            <w:pPr>
              <w:ind w:left="1360"/>
              <w:spacing w:after="0"/>
              <w:rPr>
                <w:sz w:val="20"/>
                <w:szCs w:val="20"/>
                <w:color w:val="auto"/>
              </w:rPr>
            </w:pPr>
            <w:r>
              <w:rPr>
                <w:rFonts w:ascii="Arial" w:cs="Arial" w:eastAsia="Arial" w:hAnsi="Arial"/>
                <w:sz w:val="18"/>
                <w:szCs w:val="18"/>
                <w:color w:val="auto"/>
              </w:rPr>
              <w:t>Date August 3, 2021</w:t>
            </w:r>
          </w:p>
        </w:tc>
        <w:tc>
          <w:tcPr>
            <w:tcW w:w="2660" w:type="dxa"/>
            <w:vAlign w:val="bottom"/>
            <w:gridSpan w:val="7"/>
          </w:tcPr>
          <w:p>
            <w:pPr>
              <w:ind w:left="1000"/>
              <w:spacing w:after="0"/>
              <w:rPr>
                <w:sz w:val="20"/>
                <w:szCs w:val="20"/>
                <w:color w:val="auto"/>
              </w:rPr>
            </w:pPr>
            <w:r>
              <w:rPr>
                <w:rFonts w:ascii="Arial" w:cs="Arial" w:eastAsia="Arial" w:hAnsi="Arial"/>
                <w:sz w:val="18"/>
                <w:szCs w:val="18"/>
                <w:color w:val="auto"/>
                <w:w w:val="99"/>
              </w:rPr>
              <w:t>Date August 5, 2021</w:t>
            </w:r>
          </w:p>
        </w:tc>
      </w:tr>
      <w:tr>
        <w:trPr>
          <w:trHeight w:val="893"/>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1"/>
          <w:szCs w:val="21"/>
          <w:b w:val="1"/>
          <w:bCs w:val="1"/>
          <w:color w:val="auto"/>
        </w:rPr>
        <w:t>Exhibit 10.166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A.N.: 130339</w:t>
      </w:r>
    </w:p>
    <w:p>
      <w:pPr>
        <w:spacing w:after="0" w:line="18"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AMD_00291150.0</w:t>
      </w:r>
    </w:p>
    <w:p>
      <w:pPr>
        <w:spacing w:after="0" w:line="236"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CERTAIN IDENTIFIED INFORMATION HAS BEEN EXCLUDED FROM THIS EXHIBIT BECAUSE IT IS NOT MATERIAL AND IS OF THE TYPE THAT THE COMPANY TREATS AS PRIVATE OR CONFIDENTIAL. *** INDICATES THAT INFORMATION HAS BEEN REDACTED.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 of Amendment: August 23, 2021</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Index License Agreement for Funds (internal MSCI reference IXF_00040) dated as of March 18, 2000 (as previously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MSCI Inc. (formerly known as Morgan Stanley Capital International Inc.) (“</w:t>
      </w:r>
      <w:r>
        <w:rPr>
          <w:rFonts w:ascii="Arial" w:cs="Arial" w:eastAsia="Arial" w:hAnsi="Arial"/>
          <w:sz w:val="18"/>
          <w:szCs w:val="18"/>
          <w:u w:val="single" w:color="auto"/>
          <w:color w:val="auto"/>
        </w:rPr>
        <w:t>MSCI</w:t>
      </w:r>
      <w:r>
        <w:rPr>
          <w:rFonts w:ascii="Arial" w:cs="Arial" w:eastAsia="Arial" w:hAnsi="Arial"/>
          <w:sz w:val="18"/>
          <w:szCs w:val="18"/>
          <w:color w:val="auto"/>
        </w:rPr>
        <w:t>”) and BlackRock Fund Advisors, a California corporation (as successor to Barclays Global Investors, N.A.) (“</w:t>
      </w:r>
      <w:r>
        <w:rPr>
          <w:rFonts w:ascii="Arial" w:cs="Arial" w:eastAsia="Arial" w:hAnsi="Arial"/>
          <w:sz w:val="18"/>
          <w:szCs w:val="18"/>
          <w:u w:val="single" w:color="auto"/>
          <w:color w:val="auto"/>
        </w:rPr>
        <w:t>Licensee</w:t>
      </w:r>
      <w:r>
        <w:rPr>
          <w:rFonts w:ascii="Arial" w:cs="Arial" w:eastAsia="Arial" w:hAnsi="Arial"/>
          <w:sz w:val="18"/>
          <w:szCs w:val="18"/>
          <w:color w:val="auto"/>
        </w:rPr>
        <w:t>”). Capitalized terms used but not defined herein shall have the meanings ascribed to them in the Agreement.</w:t>
      </w:r>
    </w:p>
    <w:p>
      <w:pPr>
        <w:spacing w:after="0" w:line="206" w:lineRule="exact"/>
        <w:rPr>
          <w:sz w:val="20"/>
          <w:szCs w:val="20"/>
          <w:color w:val="auto"/>
        </w:rPr>
      </w:pPr>
    </w:p>
    <w:p>
      <w:pPr>
        <w:ind w:left="420" w:hanging="415"/>
        <w:spacing w:after="0"/>
        <w:tabs>
          <w:tab w:leader="none" w:pos="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Exhibit A of the Agreement is hereby amended to add the following Index:</w:t>
      </w:r>
    </w:p>
    <w:p>
      <w:pPr>
        <w:spacing w:after="0" w:line="226" w:lineRule="exact"/>
        <w:rPr>
          <w:rFonts w:ascii="Arial" w:cs="Arial" w:eastAsia="Arial" w:hAnsi="Arial"/>
          <w:sz w:val="18"/>
          <w:szCs w:val="18"/>
          <w:color w:val="auto"/>
        </w:rPr>
      </w:pPr>
    </w:p>
    <w:p>
      <w:pPr>
        <w:ind w:left="1260" w:right="4700" w:hanging="19"/>
        <w:spacing w:after="0" w:line="557" w:lineRule="auto"/>
        <w:tabs>
          <w:tab w:leader="none" w:pos="165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MSCI USA Climate Paris Aligned Benchmark Extended Select Index or such other indexes as agreed by Licensee and MSCI in writing.</w:t>
      </w:r>
    </w:p>
    <w:p>
      <w:pPr>
        <w:ind w:left="420" w:hanging="415"/>
        <w:spacing w:after="0" w:line="261" w:lineRule="auto"/>
        <w:tabs>
          <w:tab w:leader="none" w:pos="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Licensee may use the Index set forth in Section 1 above solely with respect to the following Licensee fund (a “</w:t>
      </w:r>
      <w:r>
        <w:rPr>
          <w:rFonts w:ascii="Arial" w:cs="Arial" w:eastAsia="Arial" w:hAnsi="Arial"/>
          <w:sz w:val="18"/>
          <w:szCs w:val="18"/>
          <w:u w:val="single" w:color="auto"/>
          <w:color w:val="auto"/>
        </w:rPr>
        <w:t>Fund</w:t>
      </w:r>
      <w:r>
        <w:rPr>
          <w:rFonts w:ascii="Arial" w:cs="Arial" w:eastAsia="Arial" w:hAnsi="Arial"/>
          <w:sz w:val="18"/>
          <w:szCs w:val="18"/>
          <w:color w:val="auto"/>
        </w:rPr>
        <w:t>” as such term is defined in the Agreement):</w:t>
      </w:r>
    </w:p>
    <w:p>
      <w:pPr>
        <w:spacing w:after="0" w:line="193" w:lineRule="exact"/>
        <w:rPr>
          <w:rFonts w:ascii="Arial" w:cs="Arial" w:eastAsia="Arial" w:hAnsi="Arial"/>
          <w:sz w:val="18"/>
          <w:szCs w:val="18"/>
          <w:color w:val="auto"/>
        </w:rPr>
      </w:pPr>
    </w:p>
    <w:p>
      <w:pPr>
        <w:ind w:left="1640" w:hanging="399"/>
        <w:spacing w:after="0"/>
        <w:tabs>
          <w:tab w:leader="none" w:pos="16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iShares Paris-Aligned Climate MSCI USA ETF</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such other names as agreed by Licensee and MSCI in writing.</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Fund identified above shall be an exchange traded index fund listed on a national securities exchange located in the United States.</w:t>
      </w:r>
    </w:p>
    <w:p>
      <w:pPr>
        <w:spacing w:after="0" w:line="227" w:lineRule="exact"/>
        <w:rPr>
          <w:sz w:val="20"/>
          <w:szCs w:val="20"/>
          <w:color w:val="auto"/>
        </w:rPr>
      </w:pPr>
    </w:p>
    <w:p>
      <w:pPr>
        <w:ind w:left="420" w:hanging="415"/>
        <w:spacing w:after="0"/>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Licensee shall pay MSCI a *** license fee ********************. The *** license fee shall ********************:</w:t>
      </w:r>
    </w:p>
    <w:p>
      <w:pPr>
        <w:spacing w:after="0" w:line="219" w:lineRule="exact"/>
        <w:rPr>
          <w:sz w:val="20"/>
          <w:szCs w:val="20"/>
          <w:color w:val="auto"/>
        </w:rPr>
      </w:pPr>
    </w:p>
    <w:tbl>
      <w:tblPr>
        <w:tblLayout w:type="fixed"/>
        <w:tblInd w:w="430" w:type="dxa"/>
        <w:tblCellMar>
          <w:top w:w="0" w:type="dxa"/>
          <w:left w:w="0" w:type="dxa"/>
          <w:bottom w:w="0" w:type="dxa"/>
          <w:right w:w="0" w:type="dxa"/>
        </w:tblCellMar>
      </w:tblPr>
      <w:tr>
        <w:trPr>
          <w:trHeight w:val="223"/>
        </w:trPr>
        <w:tc>
          <w:tcPr>
            <w:tcW w:w="3140" w:type="dxa"/>
            <w:vAlign w:val="bottom"/>
            <w:tcBorders>
              <w:top w:val="single" w:sz="8" w:color="auto"/>
              <w:left w:val="single" w:sz="8" w:color="auto"/>
              <w:bottom w:val="single" w:sz="8" w:color="auto"/>
              <w:right w:val="single" w:sz="8" w:color="auto"/>
            </w:tcBorders>
          </w:tcPr>
          <w:p>
            <w:pPr>
              <w:jc w:val="right"/>
              <w:ind w:right="612"/>
              <w:spacing w:after="0"/>
              <w:rPr>
                <w:sz w:val="20"/>
                <w:szCs w:val="20"/>
                <w:color w:val="auto"/>
              </w:rPr>
            </w:pPr>
            <w:r>
              <w:rPr>
                <w:rFonts w:ascii="Arial" w:cs="Arial" w:eastAsia="Arial" w:hAnsi="Arial"/>
                <w:sz w:val="18"/>
                <w:szCs w:val="18"/>
                <w:color w:val="auto"/>
              </w:rPr>
              <w:t>********************</w:t>
            </w:r>
          </w:p>
        </w:tc>
        <w:tc>
          <w:tcPr>
            <w:tcW w:w="7680" w:type="dxa"/>
            <w:vAlign w:val="bottom"/>
            <w:tcBorders>
              <w:top w:val="single" w:sz="8" w:color="auto"/>
              <w:bottom w:val="single" w:sz="8" w:color="auto"/>
              <w:right w:val="single" w:sz="8" w:color="auto"/>
            </w:tcBorders>
          </w:tcPr>
          <w:p>
            <w:pPr>
              <w:jc w:val="right"/>
              <w:ind w:right="2892"/>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r>
        <w:trPr>
          <w:trHeight w:val="203"/>
        </w:trPr>
        <w:tc>
          <w:tcPr>
            <w:tcW w:w="3140" w:type="dxa"/>
            <w:vAlign w:val="bottom"/>
            <w:tcBorders>
              <w:left w:val="single" w:sz="8" w:color="auto"/>
              <w:bottom w:val="single" w:sz="8" w:color="auto"/>
              <w:right w:val="single" w:sz="8" w:color="auto"/>
            </w:tcBorders>
          </w:tcPr>
          <w:p>
            <w:pPr>
              <w:jc w:val="right"/>
              <w:ind w:right="1292"/>
              <w:spacing w:after="0" w:line="203" w:lineRule="exact"/>
              <w:rPr>
                <w:sz w:val="20"/>
                <w:szCs w:val="20"/>
                <w:color w:val="auto"/>
              </w:rPr>
            </w:pPr>
            <w:r>
              <w:rPr>
                <w:rFonts w:ascii="Arial" w:cs="Arial" w:eastAsia="Arial" w:hAnsi="Arial"/>
                <w:sz w:val="18"/>
                <w:szCs w:val="18"/>
                <w:color w:val="auto"/>
              </w:rPr>
              <w:t>********************</w:t>
            </w:r>
          </w:p>
        </w:tc>
        <w:tc>
          <w:tcPr>
            <w:tcW w:w="7680" w:type="dxa"/>
            <w:vAlign w:val="bottom"/>
            <w:tcBorders>
              <w:bottom w:val="single" w:sz="8" w:color="auto"/>
              <w:right w:val="single" w:sz="8" w:color="auto"/>
            </w:tcBorders>
          </w:tcPr>
          <w:p>
            <w:pPr>
              <w:jc w:val="right"/>
              <w:ind w:right="5852"/>
              <w:spacing w:after="0" w:line="203" w:lineRule="exact"/>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avoidance of doubt, the ****** shall be ***. For example, ****************************************.</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220345</wp:posOffset>
            </wp:positionV>
            <wp:extent cx="717804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34">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09" w:name="page210"/>
    <w:bookmarkEnd w:id="209"/>
    <w:p>
      <w:pPr>
        <w:ind w:left="4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tbl>
      <w:tblPr>
        <w:tblLayout w:type="fixed"/>
        <w:tblInd w:w="2410" w:type="dxa"/>
        <w:tblCellMar>
          <w:top w:w="0" w:type="dxa"/>
          <w:left w:w="0" w:type="dxa"/>
          <w:bottom w:w="0" w:type="dxa"/>
          <w:right w:w="0" w:type="dxa"/>
        </w:tblCellMar>
      </w:tblPr>
      <w:tr>
        <w:trPr>
          <w:trHeight w:val="223"/>
        </w:trPr>
        <w:tc>
          <w:tcPr>
            <w:tcW w:w="1980" w:type="dxa"/>
            <w:vAlign w:val="bottom"/>
            <w:tcBorders>
              <w:top w:val="single" w:sz="8" w:color="auto"/>
              <w:left w:val="single" w:sz="8" w:color="auto"/>
              <w:bottom w:val="single" w:sz="8" w:color="auto"/>
              <w:right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w:t>
            </w:r>
          </w:p>
        </w:tc>
        <w:tc>
          <w:tcPr>
            <w:tcW w:w="4500" w:type="dxa"/>
            <w:vAlign w:val="bottom"/>
            <w:tcBorders>
              <w:top w:val="single" w:sz="8" w:color="auto"/>
              <w:bottom w:val="single" w:sz="8" w:color="auto"/>
              <w:right w:val="single" w:sz="8" w:color="auto"/>
            </w:tcBorders>
            <w:shd w:val="clear" w:color="auto" w:fill="D9D9D9"/>
          </w:tcPr>
          <w:p>
            <w:pPr>
              <w:jc w:val="right"/>
              <w:ind w:right="1312"/>
              <w:spacing w:after="0"/>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Borders>
              <w:left w:val="single" w:sz="8" w:color="auto"/>
              <w:bottom w:val="single" w:sz="8" w:color="auto"/>
              <w:right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tcPr>
          <w:p>
            <w:pPr>
              <w:jc w:val="right"/>
              <w:ind w:right="2672"/>
              <w:spacing w:after="0" w:line="203" w:lineRule="exact"/>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Notwithstanding anything to the contrary, if during any relevant period ********************for the Fund shall equal ********************.</w:t>
      </w:r>
    </w:p>
    <w:p>
      <w:pPr>
        <w:spacing w:after="0" w:line="227" w:lineRule="exact"/>
        <w:rPr>
          <w:sz w:val="20"/>
          <w:szCs w:val="20"/>
          <w:color w:val="auto"/>
        </w:rPr>
      </w:pPr>
    </w:p>
    <w:p>
      <w:pPr>
        <w:ind w:left="420" w:hanging="415"/>
        <w:spacing w:after="0"/>
        <w:tabs>
          <w:tab w:leader="none" w:pos="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Special Conditions:</w:t>
      </w:r>
    </w:p>
    <w:p>
      <w:pPr>
        <w:spacing w:after="0" w:line="226" w:lineRule="exact"/>
        <w:rPr>
          <w:rFonts w:ascii="Arial" w:cs="Arial" w:eastAsia="Arial" w:hAnsi="Arial"/>
          <w:sz w:val="18"/>
          <w:szCs w:val="18"/>
          <w:color w:val="auto"/>
        </w:rPr>
      </w:pPr>
    </w:p>
    <w:p>
      <w:pPr>
        <w:ind w:left="820" w:hanging="407"/>
        <w:spacing w:after="0" w:line="261" w:lineRule="auto"/>
        <w:tabs>
          <w:tab w:leader="none" w:pos="8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the extent that this Amendment conflicts with the Agreement, this Amendment shall control. No right or license of any kind is granted to Licensee except as expressly provided in the Agreement and this Amendment.</w:t>
      </w:r>
    </w:p>
    <w:p>
      <w:pPr>
        <w:spacing w:after="0" w:line="193" w:lineRule="exact"/>
        <w:rPr>
          <w:rFonts w:ascii="Arial" w:cs="Arial" w:eastAsia="Arial" w:hAnsi="Arial"/>
          <w:sz w:val="18"/>
          <w:szCs w:val="18"/>
          <w:color w:val="auto"/>
        </w:rPr>
      </w:pPr>
    </w:p>
    <w:p>
      <w:pPr>
        <w:ind w:left="820" w:hanging="407"/>
        <w:spacing w:after="0" w:line="261" w:lineRule="auto"/>
        <w:tabs>
          <w:tab w:leader="none" w:pos="8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MSCI may terminate this Amendment with respect to the Index set forth in Section 1 if, within one (1) year of the date of this Amendment, Licensee does not list the Fund based on the Index.</w:t>
      </w:r>
    </w:p>
    <w:p>
      <w:pPr>
        <w:spacing w:after="0" w:line="193" w:lineRule="exact"/>
        <w:rPr>
          <w:rFonts w:ascii="Arial" w:cs="Arial" w:eastAsia="Arial" w:hAnsi="Arial"/>
          <w:sz w:val="18"/>
          <w:szCs w:val="18"/>
          <w:color w:val="auto"/>
        </w:rPr>
      </w:pPr>
    </w:p>
    <w:p>
      <w:pPr>
        <w:ind w:left="820" w:hanging="407"/>
        <w:spacing w:after="0" w:line="261" w:lineRule="auto"/>
        <w:tabs>
          <w:tab w:leader="none" w:pos="8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Licensee delists the Fund identified above or changes the underlying Index for the Fund, Licensee’s right to use the Index set forth in Section 1 with respect to the Fund shall automatically and immediately terminate.</w:t>
      </w:r>
    </w:p>
    <w:p>
      <w:pPr>
        <w:spacing w:after="0" w:line="193" w:lineRule="exact"/>
        <w:rPr>
          <w:rFonts w:ascii="Arial" w:cs="Arial" w:eastAsia="Arial" w:hAnsi="Arial"/>
          <w:sz w:val="18"/>
          <w:szCs w:val="18"/>
          <w:color w:val="auto"/>
        </w:rPr>
      </w:pPr>
    </w:p>
    <w:p>
      <w:pPr>
        <w:ind w:left="820" w:hanging="407"/>
        <w:spacing w:after="0" w:line="261" w:lineRule="auto"/>
        <w:tabs>
          <w:tab w:leader="none" w:pos="8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 without regard to its conflict or choice of laws principles.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gridSpan w:val="8"/>
          </w:tcPr>
          <w:p>
            <w:pPr>
              <w:spacing w:after="0"/>
              <w:rPr>
                <w:sz w:val="20"/>
                <w:szCs w:val="20"/>
                <w:color w:val="auto"/>
              </w:rPr>
            </w:pPr>
            <w:r>
              <w:rPr>
                <w:rFonts w:ascii="Arial" w:cs="Arial" w:eastAsia="Arial" w:hAnsi="Arial"/>
                <w:sz w:val="18"/>
                <w:szCs w:val="18"/>
                <w:color w:val="auto"/>
              </w:rPr>
              <w:t>ACKNOWLEDGED AND AGREED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4"/>
        </w:trPr>
        <w:tc>
          <w:tcPr>
            <w:tcW w:w="5000" w:type="dxa"/>
            <w:vAlign w:val="bottom"/>
            <w:gridSpan w:val="8"/>
          </w:tcPr>
          <w:p>
            <w:pPr>
              <w:ind w:left="1460"/>
              <w:spacing w:after="0"/>
              <w:rPr>
                <w:sz w:val="20"/>
                <w:szCs w:val="20"/>
                <w:color w:val="auto"/>
              </w:rPr>
            </w:pPr>
            <w:r>
              <w:rPr>
                <w:rFonts w:ascii="Arial" w:cs="Arial" w:eastAsia="Arial" w:hAnsi="Arial"/>
                <w:sz w:val="18"/>
                <w:szCs w:val="18"/>
                <w:color w:val="auto"/>
              </w:rPr>
              <w:t>LICENSEE: BlackRock Fund Advisors</w:t>
            </w:r>
          </w:p>
        </w:tc>
        <w:tc>
          <w:tcPr>
            <w:tcW w:w="2500" w:type="dxa"/>
            <w:vAlign w:val="bottom"/>
            <w:gridSpan w:val="7"/>
          </w:tcPr>
          <w:p>
            <w:pPr>
              <w:ind w:left="840"/>
              <w:spacing w:after="0"/>
              <w:rPr>
                <w:sz w:val="20"/>
                <w:szCs w:val="20"/>
                <w:color w:val="auto"/>
              </w:rPr>
            </w:pPr>
            <w:r>
              <w:rPr>
                <w:rFonts w:ascii="Arial" w:cs="Arial" w:eastAsia="Arial" w:hAnsi="Arial"/>
                <w:sz w:val="18"/>
                <w:szCs w:val="18"/>
                <w:color w:val="auto"/>
              </w:rPr>
              <w:t>MSCI Inc.</w:t>
            </w:r>
          </w:p>
        </w:tc>
      </w:tr>
      <w:tr>
        <w:trPr>
          <w:trHeight w:val="645"/>
        </w:trPr>
        <w:tc>
          <w:tcPr>
            <w:tcW w:w="5000" w:type="dxa"/>
            <w:vAlign w:val="bottom"/>
            <w:gridSpan w:val="8"/>
          </w:tcPr>
          <w:p>
            <w:pPr>
              <w:ind w:left="1460"/>
              <w:spacing w:after="0"/>
              <w:rPr>
                <w:sz w:val="20"/>
                <w:szCs w:val="20"/>
                <w:color w:val="auto"/>
              </w:rPr>
            </w:pPr>
            <w:r>
              <w:rPr>
                <w:rFonts w:ascii="Arial" w:cs="Arial" w:eastAsia="Arial" w:hAnsi="Arial"/>
                <w:sz w:val="18"/>
                <w:szCs w:val="18"/>
                <w:color w:val="auto"/>
              </w:rPr>
              <w:t>By /s/ Ruth Weiss</w:t>
            </w:r>
          </w:p>
        </w:tc>
        <w:tc>
          <w:tcPr>
            <w:tcW w:w="2500" w:type="dxa"/>
            <w:vAlign w:val="bottom"/>
            <w:gridSpan w:val="7"/>
          </w:tcPr>
          <w:p>
            <w:pPr>
              <w:ind w:left="840"/>
              <w:spacing w:after="0"/>
              <w:rPr>
                <w:sz w:val="20"/>
                <w:szCs w:val="20"/>
                <w:color w:val="auto"/>
              </w:rPr>
            </w:pPr>
            <w:r>
              <w:rPr>
                <w:rFonts w:ascii="Arial" w:cs="Arial" w:eastAsia="Arial" w:hAnsi="Arial"/>
                <w:sz w:val="18"/>
                <w:szCs w:val="18"/>
                <w:color w:val="auto"/>
              </w:rPr>
              <w:t>By /s/ Joke Jacinto</w:t>
            </w: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4"/>
        </w:trPr>
        <w:tc>
          <w:tcPr>
            <w:tcW w:w="5000" w:type="dxa"/>
            <w:vAlign w:val="bottom"/>
            <w:gridSpan w:val="8"/>
          </w:tcPr>
          <w:p>
            <w:pPr>
              <w:ind w:left="1460"/>
              <w:spacing w:after="0"/>
              <w:rPr>
                <w:sz w:val="20"/>
                <w:szCs w:val="20"/>
                <w:color w:val="auto"/>
              </w:rPr>
            </w:pPr>
            <w:r>
              <w:rPr>
                <w:rFonts w:ascii="Arial" w:cs="Arial" w:eastAsia="Arial" w:hAnsi="Arial"/>
                <w:sz w:val="18"/>
                <w:szCs w:val="18"/>
                <w:color w:val="auto"/>
              </w:rPr>
              <w:t>Name Ruth Weiss</w:t>
            </w:r>
          </w:p>
        </w:tc>
        <w:tc>
          <w:tcPr>
            <w:tcW w:w="2500" w:type="dxa"/>
            <w:vAlign w:val="bottom"/>
            <w:gridSpan w:val="7"/>
          </w:tcPr>
          <w:p>
            <w:pPr>
              <w:ind w:left="840"/>
              <w:spacing w:after="0"/>
              <w:rPr>
                <w:sz w:val="20"/>
                <w:szCs w:val="20"/>
                <w:color w:val="auto"/>
              </w:rPr>
            </w:pPr>
            <w:r>
              <w:rPr>
                <w:rFonts w:ascii="Arial" w:cs="Arial" w:eastAsia="Arial" w:hAnsi="Arial"/>
                <w:sz w:val="18"/>
                <w:szCs w:val="18"/>
                <w:color w:val="auto"/>
              </w:rPr>
              <w:t>Name Joke Jacinto</w:t>
            </w:r>
          </w:p>
        </w:tc>
      </w:tr>
      <w:tr>
        <w:trPr>
          <w:trHeight w:val="20"/>
        </w:trPr>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4"/>
        </w:trPr>
        <w:tc>
          <w:tcPr>
            <w:tcW w:w="5000" w:type="dxa"/>
            <w:vAlign w:val="bottom"/>
            <w:gridSpan w:val="8"/>
          </w:tcPr>
          <w:p>
            <w:pPr>
              <w:ind w:left="1460"/>
              <w:spacing w:after="0"/>
              <w:rPr>
                <w:sz w:val="20"/>
                <w:szCs w:val="20"/>
                <w:color w:val="auto"/>
              </w:rPr>
            </w:pPr>
            <w:r>
              <w:rPr>
                <w:rFonts w:ascii="Arial" w:cs="Arial" w:eastAsia="Arial" w:hAnsi="Arial"/>
                <w:sz w:val="18"/>
                <w:szCs w:val="18"/>
                <w:color w:val="auto"/>
              </w:rPr>
              <w:t>Title Managing Director</w:t>
            </w:r>
          </w:p>
        </w:tc>
        <w:tc>
          <w:tcPr>
            <w:tcW w:w="2500" w:type="dxa"/>
            <w:vAlign w:val="bottom"/>
            <w:gridSpan w:val="7"/>
          </w:tcPr>
          <w:p>
            <w:pPr>
              <w:ind w:left="840"/>
              <w:spacing w:after="0"/>
              <w:rPr>
                <w:sz w:val="20"/>
                <w:szCs w:val="20"/>
                <w:color w:val="auto"/>
              </w:rPr>
            </w:pPr>
            <w:r>
              <w:rPr>
                <w:rFonts w:ascii="Arial" w:cs="Arial" w:eastAsia="Arial" w:hAnsi="Arial"/>
                <w:sz w:val="18"/>
                <w:szCs w:val="18"/>
                <w:color w:val="auto"/>
                <w:w w:val="88"/>
              </w:rPr>
              <w:t>Title Executive Director</w:t>
            </w:r>
          </w:p>
        </w:tc>
      </w:tr>
      <w:tr>
        <w:trPr>
          <w:trHeight w:val="20"/>
        </w:trPr>
        <w:tc>
          <w:tcPr>
            <w:tcW w:w="182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7"/>
        </w:trPr>
        <w:tc>
          <w:tcPr>
            <w:tcW w:w="5000" w:type="dxa"/>
            <w:vAlign w:val="bottom"/>
            <w:gridSpan w:val="8"/>
          </w:tcPr>
          <w:p>
            <w:pPr>
              <w:ind w:left="1460"/>
              <w:spacing w:after="0"/>
              <w:rPr>
                <w:sz w:val="20"/>
                <w:szCs w:val="20"/>
                <w:color w:val="auto"/>
              </w:rPr>
            </w:pPr>
            <w:r>
              <w:rPr>
                <w:rFonts w:ascii="Arial" w:cs="Arial" w:eastAsia="Arial" w:hAnsi="Arial"/>
                <w:sz w:val="18"/>
                <w:szCs w:val="18"/>
                <w:color w:val="auto"/>
              </w:rPr>
              <w:t>Date September 24, 2021</w:t>
            </w:r>
          </w:p>
        </w:tc>
        <w:tc>
          <w:tcPr>
            <w:tcW w:w="2500" w:type="dxa"/>
            <w:vAlign w:val="bottom"/>
            <w:gridSpan w:val="7"/>
          </w:tcPr>
          <w:p>
            <w:pPr>
              <w:ind w:left="840"/>
              <w:spacing w:after="0"/>
              <w:rPr>
                <w:sz w:val="20"/>
                <w:szCs w:val="20"/>
                <w:color w:val="auto"/>
              </w:rPr>
            </w:pPr>
            <w:r>
              <w:rPr>
                <w:rFonts w:ascii="Arial" w:cs="Arial" w:eastAsia="Arial" w:hAnsi="Arial"/>
                <w:sz w:val="18"/>
                <w:szCs w:val="18"/>
                <w:color w:val="auto"/>
                <w:w w:val="95"/>
              </w:rPr>
              <w:t>Date October 5, 2021</w:t>
            </w:r>
          </w:p>
        </w:tc>
      </w:tr>
      <w:tr>
        <w:trPr>
          <w:trHeight w:val="26"/>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574"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9"/>
          <w:szCs w:val="19"/>
          <w:b w:val="1"/>
          <w:bCs w:val="1"/>
          <w:color w:val="auto"/>
        </w:rPr>
        <w:t>Exhibit 10.167</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AMD_00283497.0</w:t>
      </w:r>
    </w:p>
    <w:p>
      <w:pPr>
        <w:spacing w:after="0" w:line="223" w:lineRule="exact"/>
        <w:rPr>
          <w:sz w:val="20"/>
          <w:szCs w:val="20"/>
          <w:color w:val="auto"/>
        </w:rPr>
      </w:pPr>
    </w:p>
    <w:p>
      <w:pPr>
        <w:jc w:val="both"/>
        <w:ind w:right="220"/>
        <w:spacing w:after="0" w:line="305" w:lineRule="auto"/>
        <w:rPr>
          <w:sz w:val="20"/>
          <w:szCs w:val="20"/>
          <w:color w:val="auto"/>
        </w:rPr>
      </w:pPr>
      <w:r>
        <w:rPr>
          <w:rFonts w:ascii="Arial" w:cs="Arial" w:eastAsia="Arial" w:hAnsi="Arial"/>
          <w:sz w:val="17"/>
          <w:szCs w:val="17"/>
          <w:color w:val="auto"/>
        </w:rPr>
        <w:t>CERTAIN IDENTIFIED INFORMATION HAS BEEN EXCLUDED FROM THIS EXHIBIT BECAUSE IT IS NOT MATERIAL AND IS OF THE TYPE THAT THE COMPANY TREATS AS PRIVATE OR CONFIDENTIAL. *** INDICATES THAT INFORMATION HAS BEEN REDACTED.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of Amendment: August 30, 2021</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Amendment is made to the amendments which are identified in Attachment 1 to this Amendment (the “</w:t>
      </w:r>
      <w:r>
        <w:rPr>
          <w:rFonts w:ascii="Arial" w:cs="Arial" w:eastAsia="Arial" w:hAnsi="Arial"/>
          <w:sz w:val="19"/>
          <w:szCs w:val="19"/>
          <w:u w:val="single" w:color="auto"/>
          <w:color w:val="auto"/>
        </w:rPr>
        <w:t>Previous Amendments</w:t>
      </w:r>
      <w:r>
        <w:rPr>
          <w:rFonts w:ascii="Arial" w:cs="Arial" w:eastAsia="Arial" w:hAnsi="Arial"/>
          <w:sz w:val="19"/>
          <w:szCs w:val="19"/>
          <w:color w:val="auto"/>
        </w:rPr>
        <w:t>”) by and between MSCI ESG Research LLC (“</w:t>
      </w:r>
      <w:r>
        <w:rPr>
          <w:rFonts w:ascii="Arial" w:cs="Arial" w:eastAsia="Arial" w:hAnsi="Arial"/>
          <w:sz w:val="19"/>
          <w:szCs w:val="19"/>
          <w:u w:val="single" w:color="auto"/>
          <w:color w:val="auto"/>
        </w:rPr>
        <w:t>MSCI</w:t>
      </w:r>
      <w:r>
        <w:rPr>
          <w:rFonts w:ascii="Arial" w:cs="Arial" w:eastAsia="Arial" w:hAnsi="Arial"/>
          <w:sz w:val="19"/>
          <w:szCs w:val="19"/>
          <w:color w:val="auto"/>
        </w:rPr>
        <w:t>”) and BlackRock Fund Advisors (“</w:t>
      </w:r>
      <w:r>
        <w:rPr>
          <w:rFonts w:ascii="Arial" w:cs="Arial" w:eastAsia="Arial" w:hAnsi="Arial"/>
          <w:sz w:val="19"/>
          <w:szCs w:val="19"/>
          <w:u w:val="single" w:color="auto"/>
          <w:color w:val="auto"/>
        </w:rPr>
        <w:t>Licensee</w:t>
      </w:r>
      <w:r>
        <w:rPr>
          <w:rFonts w:ascii="Arial" w:cs="Arial" w:eastAsia="Arial" w:hAnsi="Arial"/>
          <w:sz w:val="19"/>
          <w:szCs w:val="19"/>
          <w:color w:val="auto"/>
        </w:rPr>
        <w:t>”). Capitalized terms used but not defined herein shall have the meanings ascribed to them in the Previous Amendments.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WHEREAS, pursuant to the terms of the Previous Amendments, MSCI granted Licensee the right to use the MSCI indexes identified in Attachment 1 to this Amendment as the basis for the Licensee Funds identified in Attachment 1 to this Amendment; and</w:t>
      </w:r>
    </w:p>
    <w:p>
      <w:pPr>
        <w:spacing w:after="0" w:line="130" w:lineRule="exact"/>
        <w:rPr>
          <w:sz w:val="20"/>
          <w:szCs w:val="20"/>
          <w:color w:val="auto"/>
        </w:rPr>
      </w:pPr>
    </w:p>
    <w:p>
      <w:pPr>
        <w:jc w:val="both"/>
        <w:spacing w:after="0" w:line="234" w:lineRule="exact"/>
        <w:rPr>
          <w:sz w:val="20"/>
          <w:szCs w:val="20"/>
          <w:color w:val="auto"/>
        </w:rPr>
      </w:pPr>
      <w:r>
        <w:rPr>
          <w:rFonts w:ascii="Arial" w:cs="Arial" w:eastAsia="Arial" w:hAnsi="Arial"/>
          <w:sz w:val="19"/>
          <w:szCs w:val="19"/>
          <w:color w:val="auto"/>
        </w:rPr>
        <w:t>WHEREAS, the parties wish to amend the Previous Amendments to allow for the cross</w:t>
      </w:r>
      <w:r>
        <w:rPr>
          <w:rFonts w:ascii="MS PGothic" w:cs="MS PGothic" w:eastAsia="MS PGothic" w:hAnsi="MS PGothic"/>
          <w:sz w:val="19"/>
          <w:szCs w:val="19"/>
          <w:color w:val="auto"/>
        </w:rPr>
        <w:t>‑</w:t>
      </w:r>
      <w:r>
        <w:rPr>
          <w:rFonts w:ascii="Arial" w:cs="Arial" w:eastAsia="Arial" w:hAnsi="Arial"/>
          <w:sz w:val="19"/>
          <w:szCs w:val="19"/>
          <w:color w:val="auto"/>
        </w:rPr>
        <w:t>listing of the Licensee Funds identified in Attachment 1 to this Amendment, as set forth below.</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NOW, THEREFORE, for good and valuable consideration, the receipt and sufficiency of which is hereby acknowledged, the parties hereto agree as follows:</w:t>
      </w:r>
    </w:p>
    <w:p>
      <w:pPr>
        <w:spacing w:after="0" w:line="117" w:lineRule="exact"/>
        <w:rPr>
          <w:sz w:val="20"/>
          <w:szCs w:val="20"/>
          <w:color w:val="auto"/>
        </w:rPr>
      </w:pPr>
    </w:p>
    <w:p>
      <w:pPr>
        <w:jc w:val="both"/>
        <w:ind w:left="420" w:hanging="415"/>
        <w:spacing w:after="0" w:line="270" w:lineRule="auto"/>
        <w:tabs>
          <w:tab w:leader="none" w:pos="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Previous Amendments are hereby amended to allow the Licensee Funds identified in Attachment 1 to this Amendment to be listed and traded on the Santiago Stock Exchange (Bolsa de Comercio de Santiago) (herein referred to as the “Chile Listed Funds”) after such Licensee Funds are listed on a United States exchange. The Chile Listed Funds must be issued, sold and traded on a public basis in accordance with applicable Chilean securities law. All other terms and restrictions contained in the Previous Amendments and the Agreement shall apply to the Chile Listed Funds. For clarity, there </w:t>
      </w:r>
      <w:r>
        <w:rPr>
          <w:rFonts w:ascii="Arial" w:cs="Arial" w:eastAsia="Arial" w:hAnsi="Arial"/>
          <w:sz w:val="17"/>
          <w:szCs w:val="17"/>
          <w:color w:val="auto"/>
        </w:rPr>
        <w:t>****************************************</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jc w:val="both"/>
        <w:ind w:left="420" w:hanging="415"/>
        <w:spacing w:after="0" w:line="251" w:lineRule="auto"/>
        <w:tabs>
          <w:tab w:leader="none" w:pos="42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This Amendment is intended to amend and operate in conjunction with the Previous Amendments and the Agreement, and together this Amendment, the Previous Amendments and the Agreement constitute the complete and exclusive statement of the agreement between the parties and supersede in full all prior proposals and understandings, oral or written, relating to the subject matter hereof. To the extent any terms of this Amendment conflict with any terms of the Previous Amendments or the Agreement, the terms of this Amendment shall control. No right or license of any kind is granted to Licensee except as expressly provided in the Agreement, the Previous Amendments and this Amendment.</w:t>
      </w:r>
    </w:p>
    <w:p>
      <w:pPr>
        <w:spacing w:after="0" w:line="140" w:lineRule="exact"/>
        <w:rPr>
          <w:rFonts w:ascii="Arial" w:cs="Arial" w:eastAsia="Arial" w:hAnsi="Arial"/>
          <w:sz w:val="19"/>
          <w:szCs w:val="19"/>
          <w:color w:val="auto"/>
        </w:rPr>
      </w:pPr>
    </w:p>
    <w:p>
      <w:pPr>
        <w:ind w:left="420" w:hanging="415"/>
        <w:spacing w:after="0" w:line="275" w:lineRule="auto"/>
        <w:tabs>
          <w:tab w:leader="none" w:pos="42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This Amendment shall be governed by, and construed in accordance with, the laws of the State of New York without regard to its conflict or choice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739775</wp:posOffset>
            </wp:positionV>
            <wp:extent cx="717804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3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11" w:name="page212"/>
    <w:bookmarkEnd w:id="211"/>
    <w:p>
      <w:pPr>
        <w:spacing w:after="0"/>
        <w:rPr>
          <w:sz w:val="20"/>
          <w:szCs w:val="20"/>
          <w:color w:val="auto"/>
        </w:rPr>
      </w:pPr>
      <w:r>
        <w:rPr>
          <w:rFonts w:ascii="Arial" w:cs="Arial" w:eastAsia="Arial" w:hAnsi="Arial"/>
          <w:sz w:val="17"/>
          <w:szCs w:val="17"/>
          <w:color w:val="auto"/>
        </w:rPr>
        <w:t>IN WITNESS WHEREOF, the parties have caused this Amendment to be executed as of the Amendment Effective Date set forth above.</w:t>
      </w:r>
    </w:p>
    <w:p>
      <w:pPr>
        <w:sectPr>
          <w:pgSz w:w="11900" w:h="16838" w:orient="portrait"/>
          <w:cols w:equalWidth="0" w:num="1">
            <w:col w:w="11260"/>
          </w:cols>
          <w:pgMar w:left="320" w:top="346" w:right="31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00" w:type="dxa"/>
            <w:vAlign w:val="bottom"/>
            <w:gridSpan w:val="7"/>
          </w:tcPr>
          <w:p>
            <w:pPr>
              <w:ind w:left="1580"/>
              <w:spacing w:after="0"/>
              <w:rPr>
                <w:sz w:val="20"/>
                <w:szCs w:val="20"/>
                <w:color w:val="auto"/>
              </w:rPr>
            </w:pPr>
            <w:r>
              <w:rPr>
                <w:rFonts w:ascii="Arial" w:cs="Arial" w:eastAsia="Arial" w:hAnsi="Arial"/>
                <w:sz w:val="19"/>
                <w:szCs w:val="19"/>
                <w:color w:val="auto"/>
              </w:rPr>
              <w:t>LICENSEE: BlackRock Fund Advisors</w:t>
            </w:r>
          </w:p>
        </w:tc>
        <w:tc>
          <w:tcPr>
            <w:tcW w:w="6160" w:type="dxa"/>
            <w:vAlign w:val="bottom"/>
            <w:gridSpan w:val="6"/>
          </w:tcPr>
          <w:p>
            <w:pPr>
              <w:ind w:left="520"/>
              <w:spacing w:after="0"/>
              <w:rPr>
                <w:sz w:val="20"/>
                <w:szCs w:val="20"/>
                <w:color w:val="auto"/>
              </w:rPr>
            </w:pPr>
            <w:r>
              <w:rPr>
                <w:rFonts w:ascii="Arial" w:cs="Arial" w:eastAsia="Arial" w:hAnsi="Arial"/>
                <w:sz w:val="19"/>
                <w:szCs w:val="19"/>
                <w:color w:val="auto"/>
              </w:rPr>
              <w:t>MSCI ESG Research LLC</w:t>
            </w:r>
          </w:p>
        </w:tc>
      </w:tr>
      <w:tr>
        <w:trPr>
          <w:trHeight w:val="402"/>
        </w:trPr>
        <w:tc>
          <w:tcPr>
            <w:tcW w:w="5100" w:type="dxa"/>
            <w:vAlign w:val="bottom"/>
            <w:gridSpan w:val="7"/>
          </w:tcPr>
          <w:p>
            <w:pPr>
              <w:ind w:left="1580"/>
              <w:spacing w:after="0"/>
              <w:rPr>
                <w:sz w:val="20"/>
                <w:szCs w:val="20"/>
                <w:color w:val="auto"/>
              </w:rPr>
            </w:pPr>
            <w:r>
              <w:rPr>
                <w:rFonts w:ascii="Arial" w:cs="Arial" w:eastAsia="Arial" w:hAnsi="Arial"/>
                <w:sz w:val="19"/>
                <w:szCs w:val="19"/>
                <w:color w:val="auto"/>
              </w:rPr>
              <w:t>By /s/ Ruth Weiss</w:t>
            </w:r>
          </w:p>
        </w:tc>
        <w:tc>
          <w:tcPr>
            <w:tcW w:w="6160" w:type="dxa"/>
            <w:vAlign w:val="bottom"/>
            <w:gridSpan w:val="6"/>
          </w:tcPr>
          <w:p>
            <w:pPr>
              <w:ind w:left="520"/>
              <w:spacing w:after="0"/>
              <w:rPr>
                <w:sz w:val="20"/>
                <w:szCs w:val="20"/>
                <w:color w:val="auto"/>
              </w:rPr>
            </w:pPr>
            <w:r>
              <w:rPr>
                <w:rFonts w:ascii="Arial" w:cs="Arial" w:eastAsia="Arial" w:hAnsi="Arial"/>
                <w:sz w:val="19"/>
                <w:szCs w:val="19"/>
                <w:color w:val="auto"/>
              </w:rPr>
              <w:t>By /s/ Joke Jacinto</w:t>
            </w:r>
          </w:p>
        </w:tc>
      </w:tr>
      <w:tr>
        <w:trPr>
          <w:trHeight w:val="20"/>
        </w:trPr>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27"/>
        </w:trPr>
        <w:tc>
          <w:tcPr>
            <w:tcW w:w="5100" w:type="dxa"/>
            <w:vAlign w:val="bottom"/>
            <w:gridSpan w:val="7"/>
          </w:tcPr>
          <w:p>
            <w:pPr>
              <w:ind w:left="1580"/>
              <w:spacing w:after="0"/>
              <w:rPr>
                <w:sz w:val="20"/>
                <w:szCs w:val="20"/>
                <w:color w:val="auto"/>
              </w:rPr>
            </w:pPr>
            <w:r>
              <w:rPr>
                <w:rFonts w:ascii="Arial" w:cs="Arial" w:eastAsia="Arial" w:hAnsi="Arial"/>
                <w:sz w:val="19"/>
                <w:szCs w:val="19"/>
                <w:color w:val="auto"/>
              </w:rPr>
              <w:t>Name Ruth Weiss</w:t>
            </w:r>
          </w:p>
        </w:tc>
        <w:tc>
          <w:tcPr>
            <w:tcW w:w="6160" w:type="dxa"/>
            <w:vAlign w:val="bottom"/>
            <w:gridSpan w:val="6"/>
          </w:tcPr>
          <w:p>
            <w:pPr>
              <w:ind w:left="520"/>
              <w:spacing w:after="0"/>
              <w:rPr>
                <w:sz w:val="20"/>
                <w:szCs w:val="20"/>
                <w:color w:val="auto"/>
              </w:rPr>
            </w:pPr>
            <w:r>
              <w:rPr>
                <w:rFonts w:ascii="Arial" w:cs="Arial" w:eastAsia="Arial" w:hAnsi="Arial"/>
                <w:sz w:val="19"/>
                <w:szCs w:val="19"/>
                <w:color w:val="auto"/>
              </w:rPr>
              <w:t>Name Joke Jacinto</w:t>
            </w:r>
          </w:p>
        </w:tc>
      </w:tr>
      <w:tr>
        <w:trPr>
          <w:trHeight w:val="20"/>
        </w:trPr>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26"/>
        </w:trPr>
        <w:tc>
          <w:tcPr>
            <w:tcW w:w="5100" w:type="dxa"/>
            <w:vAlign w:val="bottom"/>
            <w:gridSpan w:val="7"/>
          </w:tcPr>
          <w:p>
            <w:pPr>
              <w:ind w:left="1580"/>
              <w:spacing w:after="0"/>
              <w:rPr>
                <w:sz w:val="20"/>
                <w:szCs w:val="20"/>
                <w:color w:val="auto"/>
              </w:rPr>
            </w:pPr>
            <w:r>
              <w:rPr>
                <w:rFonts w:ascii="Arial" w:cs="Arial" w:eastAsia="Arial" w:hAnsi="Arial"/>
                <w:sz w:val="19"/>
                <w:szCs w:val="19"/>
                <w:color w:val="auto"/>
              </w:rPr>
              <w:t>(printed)</w:t>
            </w:r>
          </w:p>
        </w:tc>
        <w:tc>
          <w:tcPr>
            <w:tcW w:w="6160" w:type="dxa"/>
            <w:vAlign w:val="bottom"/>
            <w:gridSpan w:val="6"/>
          </w:tcPr>
          <w:p>
            <w:pPr>
              <w:ind w:left="520"/>
              <w:spacing w:after="0"/>
              <w:rPr>
                <w:sz w:val="20"/>
                <w:szCs w:val="20"/>
                <w:color w:val="auto"/>
              </w:rPr>
            </w:pPr>
            <w:r>
              <w:rPr>
                <w:rFonts w:ascii="Arial" w:cs="Arial" w:eastAsia="Arial" w:hAnsi="Arial"/>
                <w:sz w:val="19"/>
                <w:szCs w:val="19"/>
                <w:color w:val="auto"/>
              </w:rPr>
              <w:t>(printed)</w:t>
            </w:r>
          </w:p>
        </w:tc>
      </w:tr>
      <w:tr>
        <w:trPr>
          <w:trHeight w:val="201"/>
        </w:trPr>
        <w:tc>
          <w:tcPr>
            <w:tcW w:w="5100" w:type="dxa"/>
            <w:vAlign w:val="bottom"/>
            <w:gridSpan w:val="7"/>
          </w:tcPr>
          <w:p>
            <w:pPr>
              <w:ind w:left="1580"/>
              <w:spacing w:after="0" w:line="201" w:lineRule="exact"/>
              <w:rPr>
                <w:sz w:val="20"/>
                <w:szCs w:val="20"/>
                <w:color w:val="auto"/>
              </w:rPr>
            </w:pPr>
            <w:r>
              <w:rPr>
                <w:rFonts w:ascii="Arial" w:cs="Arial" w:eastAsia="Arial" w:hAnsi="Arial"/>
                <w:sz w:val="19"/>
                <w:szCs w:val="19"/>
                <w:color w:val="auto"/>
              </w:rPr>
              <w:t>Title Managing Director</w:t>
            </w:r>
          </w:p>
        </w:tc>
        <w:tc>
          <w:tcPr>
            <w:tcW w:w="6160" w:type="dxa"/>
            <w:vAlign w:val="bottom"/>
            <w:gridSpan w:val="6"/>
          </w:tcPr>
          <w:p>
            <w:pPr>
              <w:ind w:left="520"/>
              <w:spacing w:after="0" w:line="201" w:lineRule="exact"/>
              <w:rPr>
                <w:sz w:val="20"/>
                <w:szCs w:val="20"/>
                <w:color w:val="auto"/>
              </w:rPr>
            </w:pPr>
            <w:r>
              <w:rPr>
                <w:rFonts w:ascii="Arial" w:cs="Arial" w:eastAsia="Arial" w:hAnsi="Arial"/>
                <w:sz w:val="19"/>
                <w:szCs w:val="19"/>
                <w:color w:val="auto"/>
              </w:rPr>
              <w:t>Title Executive Director</w:t>
            </w:r>
          </w:p>
        </w:tc>
      </w:tr>
      <w:tr>
        <w:trPr>
          <w:trHeight w:val="1406"/>
        </w:trPr>
        <w:tc>
          <w:tcPr>
            <w:tcW w:w="1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type w:val="continuous"/>
        </w:sectPr>
      </w:pPr>
    </w:p>
    <w:bookmarkStart w:id="212" w:name="page213"/>
    <w:bookmarkEnd w:id="212"/>
    <w:p>
      <w:pPr>
        <w:jc w:val="center"/>
        <w:ind w:right="40"/>
        <w:spacing w:after="0"/>
        <w:rPr>
          <w:sz w:val="20"/>
          <w:szCs w:val="20"/>
          <w:color w:val="auto"/>
        </w:rPr>
      </w:pPr>
      <w:r>
        <w:rPr>
          <w:rFonts w:ascii="Arial" w:cs="Arial" w:eastAsia="Arial" w:hAnsi="Arial"/>
          <w:sz w:val="19"/>
          <w:szCs w:val="19"/>
          <w:b w:val="1"/>
          <w:bCs w:val="1"/>
          <w:color w:val="auto"/>
        </w:rPr>
        <w:t>Attachment 1</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840" w:type="dxa"/>
            <w:vAlign w:val="bottom"/>
            <w:tcBorders>
              <w:top w:val="single" w:sz="8" w:color="auto"/>
              <w:left w:val="single" w:sz="8" w:color="auto"/>
              <w:bottom w:val="single" w:sz="8" w:color="auto"/>
              <w:right w:val="single" w:sz="8" w:color="BFBFBF"/>
            </w:tcBorders>
            <w:shd w:val="clear" w:color="auto" w:fill="BFBFBF"/>
          </w:tcPr>
          <w:p>
            <w:pPr>
              <w:ind w:left="1920"/>
              <w:spacing w:after="0"/>
              <w:rPr>
                <w:sz w:val="20"/>
                <w:szCs w:val="20"/>
                <w:color w:val="auto"/>
              </w:rPr>
            </w:pPr>
            <w:r>
              <w:rPr>
                <w:rFonts w:ascii="Arial" w:cs="Arial" w:eastAsia="Arial" w:hAnsi="Arial"/>
                <w:sz w:val="18"/>
                <w:szCs w:val="18"/>
                <w:b w:val="1"/>
                <w:bCs w:val="1"/>
                <w:color w:val="auto"/>
                <w:w w:val="84"/>
              </w:rPr>
              <w:t>Amendment</w:t>
            </w:r>
          </w:p>
        </w:tc>
        <w:tc>
          <w:tcPr>
            <w:tcW w:w="1920" w:type="dxa"/>
            <w:vAlign w:val="bottom"/>
            <w:tcBorders>
              <w:top w:val="single" w:sz="8" w:color="auto"/>
              <w:bottom w:val="single" w:sz="8" w:color="auto"/>
              <w:right w:val="single" w:sz="8" w:color="auto"/>
            </w:tcBorders>
            <w:shd w:val="clear" w:color="auto" w:fill="BFBFBF"/>
          </w:tcPr>
          <w:p>
            <w:pPr>
              <w:spacing w:after="0"/>
              <w:rPr>
                <w:sz w:val="19"/>
                <w:szCs w:val="19"/>
                <w:color w:val="auto"/>
              </w:rPr>
            </w:pPr>
          </w:p>
        </w:tc>
        <w:tc>
          <w:tcPr>
            <w:tcW w:w="3500" w:type="dxa"/>
            <w:vAlign w:val="bottom"/>
            <w:tcBorders>
              <w:top w:val="single" w:sz="8" w:color="auto"/>
              <w:bottom w:val="single" w:sz="8" w:color="auto"/>
              <w:right w:val="single" w:sz="8" w:color="auto"/>
            </w:tcBorders>
            <w:vMerge w:val="restart"/>
            <w:shd w:val="clear" w:color="auto" w:fill="BFBFBF"/>
          </w:tcPr>
          <w:p>
            <w:pPr>
              <w:ind w:left="1280"/>
              <w:spacing w:after="0"/>
              <w:rPr>
                <w:sz w:val="20"/>
                <w:szCs w:val="20"/>
                <w:color w:val="auto"/>
              </w:rPr>
            </w:pPr>
            <w:r>
              <w:rPr>
                <w:rFonts w:ascii="Arial" w:cs="Arial" w:eastAsia="Arial" w:hAnsi="Arial"/>
                <w:sz w:val="18"/>
                <w:szCs w:val="18"/>
                <w:b w:val="1"/>
                <w:bCs w:val="1"/>
                <w:color w:val="auto"/>
              </w:rPr>
              <w:t>MSCI Index</w:t>
            </w:r>
          </w:p>
        </w:tc>
        <w:tc>
          <w:tcPr>
            <w:tcW w:w="2980" w:type="dxa"/>
            <w:vAlign w:val="bottom"/>
            <w:tcBorders>
              <w:top w:val="single" w:sz="8" w:color="auto"/>
              <w:bottom w:val="single" w:sz="8" w:color="auto"/>
              <w:right w:val="single" w:sz="8" w:color="auto"/>
            </w:tcBorders>
            <w:vMerge w:val="restart"/>
            <w:shd w:val="clear" w:color="auto" w:fill="BFBFBF"/>
          </w:tcPr>
          <w:p>
            <w:pPr>
              <w:ind w:left="940"/>
              <w:spacing w:after="0"/>
              <w:rPr>
                <w:sz w:val="20"/>
                <w:szCs w:val="20"/>
                <w:color w:val="auto"/>
              </w:rPr>
            </w:pPr>
            <w:r>
              <w:rPr>
                <w:rFonts w:ascii="Arial" w:cs="Arial" w:eastAsia="Arial" w:hAnsi="Arial"/>
                <w:sz w:val="18"/>
                <w:szCs w:val="18"/>
                <w:b w:val="1"/>
                <w:bCs w:val="1"/>
                <w:color w:val="auto"/>
              </w:rPr>
              <w:t>Licensee Fund</w:t>
            </w:r>
          </w:p>
        </w:tc>
        <w:tc>
          <w:tcPr>
            <w:tcW w:w="0" w:type="dxa"/>
            <w:vAlign w:val="bottom"/>
          </w:tcPr>
          <w:p>
            <w:pPr>
              <w:spacing w:after="0"/>
              <w:rPr>
                <w:sz w:val="1"/>
                <w:szCs w:val="1"/>
                <w:color w:val="auto"/>
              </w:rPr>
            </w:pPr>
          </w:p>
        </w:tc>
      </w:tr>
      <w:tr>
        <w:trPr>
          <w:trHeight w:val="185"/>
        </w:trPr>
        <w:tc>
          <w:tcPr>
            <w:tcW w:w="2840" w:type="dxa"/>
            <w:vAlign w:val="bottom"/>
            <w:tcBorders>
              <w:left w:val="single" w:sz="8" w:color="auto"/>
              <w:right w:val="single" w:sz="8" w:color="auto"/>
            </w:tcBorders>
            <w:shd w:val="clear" w:color="auto" w:fill="BFBFBF"/>
          </w:tcPr>
          <w:p>
            <w:pPr>
              <w:ind w:left="120"/>
              <w:spacing w:after="0" w:line="185" w:lineRule="exact"/>
              <w:rPr>
                <w:sz w:val="20"/>
                <w:szCs w:val="20"/>
                <w:color w:val="auto"/>
              </w:rPr>
            </w:pPr>
            <w:r>
              <w:rPr>
                <w:rFonts w:ascii="Arial" w:cs="Arial" w:eastAsia="Arial" w:hAnsi="Arial"/>
                <w:sz w:val="18"/>
                <w:szCs w:val="18"/>
                <w:b w:val="1"/>
                <w:bCs w:val="1"/>
                <w:color w:val="auto"/>
                <w:w w:val="91"/>
              </w:rPr>
              <w:t>internal MSCI reference number of</w:t>
            </w:r>
          </w:p>
        </w:tc>
        <w:tc>
          <w:tcPr>
            <w:tcW w:w="1920" w:type="dxa"/>
            <w:vAlign w:val="bottom"/>
            <w:tcBorders>
              <w:right w:val="single" w:sz="8" w:color="auto"/>
            </w:tcBorders>
            <w:shd w:val="clear" w:color="auto" w:fill="BFBFBF"/>
          </w:tcPr>
          <w:p>
            <w:pPr>
              <w:ind w:left="200"/>
              <w:spacing w:after="0" w:line="185" w:lineRule="exact"/>
              <w:rPr>
                <w:sz w:val="20"/>
                <w:szCs w:val="20"/>
                <w:color w:val="auto"/>
              </w:rPr>
            </w:pPr>
            <w:r>
              <w:rPr>
                <w:rFonts w:ascii="Arial" w:cs="Arial" w:eastAsia="Arial" w:hAnsi="Arial"/>
                <w:sz w:val="18"/>
                <w:szCs w:val="18"/>
                <w:b w:val="1"/>
                <w:bCs w:val="1"/>
                <w:color w:val="auto"/>
                <w:w w:val="97"/>
              </w:rPr>
              <w:t>Effective Date of the</w:t>
            </w:r>
          </w:p>
        </w:tc>
        <w:tc>
          <w:tcPr>
            <w:tcW w:w="3500" w:type="dxa"/>
            <w:vAlign w:val="bottom"/>
            <w:tcBorders>
              <w:right w:val="single" w:sz="8" w:color="auto"/>
            </w:tcBorders>
            <w:vMerge w:val="continue"/>
            <w:shd w:val="clear" w:color="auto" w:fill="BFBFBF"/>
          </w:tcPr>
          <w:p>
            <w:pPr>
              <w:spacing w:after="0"/>
              <w:rPr>
                <w:sz w:val="16"/>
                <w:szCs w:val="16"/>
                <w:color w:val="auto"/>
              </w:rPr>
            </w:pPr>
          </w:p>
        </w:tc>
        <w:tc>
          <w:tcPr>
            <w:tcW w:w="2980" w:type="dxa"/>
            <w:vAlign w:val="bottom"/>
            <w:tcBorders>
              <w:right w:val="single" w:sz="8" w:color="auto"/>
            </w:tcBorders>
            <w:vMerge w:val="continue"/>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40" w:type="dxa"/>
            <w:vAlign w:val="bottom"/>
            <w:tcBorders>
              <w:left w:val="single" w:sz="8" w:color="auto"/>
              <w:bottom w:val="single" w:sz="8" w:color="auto"/>
              <w:right w:val="single" w:sz="8" w:color="auto"/>
            </w:tcBorders>
            <w:shd w:val="clear" w:color="auto" w:fill="BFBFBF"/>
          </w:tcPr>
          <w:p>
            <w:pPr>
              <w:ind w:left="820"/>
              <w:spacing w:after="0"/>
              <w:rPr>
                <w:sz w:val="20"/>
                <w:szCs w:val="20"/>
                <w:color w:val="auto"/>
              </w:rPr>
            </w:pPr>
            <w:r>
              <w:rPr>
                <w:rFonts w:ascii="Arial" w:cs="Arial" w:eastAsia="Arial" w:hAnsi="Arial"/>
                <w:sz w:val="18"/>
                <w:szCs w:val="18"/>
                <w:b w:val="1"/>
                <w:bCs w:val="1"/>
                <w:color w:val="auto"/>
              </w:rPr>
              <w:t>the Amendment</w:t>
            </w:r>
          </w:p>
        </w:tc>
        <w:tc>
          <w:tcPr>
            <w:tcW w:w="1920" w:type="dxa"/>
            <w:vAlign w:val="bottom"/>
            <w:tcBorders>
              <w:bottom w:val="single" w:sz="8" w:color="auto"/>
              <w:right w:val="single" w:sz="8" w:color="auto"/>
            </w:tcBorders>
            <w:shd w:val="clear" w:color="auto" w:fill="BFBFBF"/>
          </w:tcPr>
          <w:p>
            <w:pPr>
              <w:ind w:left="480"/>
              <w:spacing w:after="0"/>
              <w:rPr>
                <w:sz w:val="20"/>
                <w:szCs w:val="20"/>
                <w:color w:val="auto"/>
              </w:rPr>
            </w:pPr>
            <w:r>
              <w:rPr>
                <w:rFonts w:ascii="Arial" w:cs="Arial" w:eastAsia="Arial" w:hAnsi="Arial"/>
                <w:sz w:val="18"/>
                <w:szCs w:val="18"/>
                <w:b w:val="1"/>
                <w:bCs w:val="1"/>
                <w:color w:val="auto"/>
              </w:rPr>
              <w:t>Amendment</w:t>
            </w:r>
          </w:p>
        </w:tc>
        <w:tc>
          <w:tcPr>
            <w:tcW w:w="3500" w:type="dxa"/>
            <w:vAlign w:val="bottom"/>
            <w:tcBorders>
              <w:bottom w:val="single" w:sz="8" w:color="auto"/>
              <w:right w:val="single" w:sz="8" w:color="auto"/>
            </w:tcBorders>
            <w:shd w:val="clear" w:color="auto" w:fill="BFBFBF"/>
          </w:tcPr>
          <w:p>
            <w:pPr>
              <w:spacing w:after="0"/>
              <w:rPr>
                <w:sz w:val="19"/>
                <w:szCs w:val="19"/>
                <w:color w:val="auto"/>
              </w:rPr>
            </w:pPr>
          </w:p>
        </w:tc>
        <w:tc>
          <w:tcPr>
            <w:tcW w:w="2980" w:type="dxa"/>
            <w:vAlign w:val="bottom"/>
            <w:tcBorders>
              <w:bottom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8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AMD_00219333.0 (as previously</w:t>
            </w:r>
          </w:p>
        </w:tc>
        <w:tc>
          <w:tcPr>
            <w:tcW w:w="1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April 6, 2017</w:t>
            </w:r>
          </w:p>
        </w:tc>
        <w:tc>
          <w:tcPr>
            <w:tcW w:w="3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3"/>
              </w:rPr>
              <w:t>Bloomberg Barclays MSCI US Corporate ESG</w:t>
            </w:r>
          </w:p>
        </w:tc>
        <w:tc>
          <w:tcPr>
            <w:tcW w:w="29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iShares ESG Aware USD Corporate</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modified by AMD_00269211.0)</w:t>
            </w:r>
          </w:p>
        </w:tc>
        <w:tc>
          <w:tcPr>
            <w:tcW w:w="19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Focus Index</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Bond ETF</w:t>
            </w:r>
          </w:p>
        </w:tc>
        <w:tc>
          <w:tcPr>
            <w:tcW w:w="0" w:type="dxa"/>
            <w:vAlign w:val="bottom"/>
          </w:tcPr>
          <w:p>
            <w:pPr>
              <w:spacing w:after="0"/>
              <w:rPr>
                <w:sz w:val="1"/>
                <w:szCs w:val="1"/>
                <w:color w:val="auto"/>
              </w:rPr>
            </w:pPr>
          </w:p>
        </w:tc>
      </w:tr>
      <w:tr>
        <w:trPr>
          <w:trHeight w:val="181"/>
        </w:trPr>
        <w:tc>
          <w:tcPr>
            <w:tcW w:w="28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AMD_00219333.0 (as previously</w:t>
            </w:r>
          </w:p>
        </w:tc>
        <w:tc>
          <w:tcPr>
            <w:tcW w:w="1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April 6, 2017</w:t>
            </w:r>
          </w:p>
        </w:tc>
        <w:tc>
          <w:tcPr>
            <w:tcW w:w="3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6"/>
              </w:rPr>
              <w:t>Bloomberg Barclays MSCI US Corporate 1-5</w:t>
            </w:r>
          </w:p>
        </w:tc>
        <w:tc>
          <w:tcPr>
            <w:tcW w:w="29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iShares ESG Aware 1-5 Year USD</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modified by AMD_00269211.0)</w:t>
            </w:r>
          </w:p>
        </w:tc>
        <w:tc>
          <w:tcPr>
            <w:tcW w:w="19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Year ESG Focus Index</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Corporate Bond ETF</w:t>
            </w:r>
          </w:p>
        </w:tc>
        <w:tc>
          <w:tcPr>
            <w:tcW w:w="0" w:type="dxa"/>
            <w:vAlign w:val="bottom"/>
          </w:tcPr>
          <w:p>
            <w:pPr>
              <w:spacing w:after="0"/>
              <w:rPr>
                <w:sz w:val="1"/>
                <w:szCs w:val="1"/>
                <w:color w:val="auto"/>
              </w:rPr>
            </w:pPr>
          </w:p>
        </w:tc>
      </w:tr>
      <w:tr>
        <w:trPr>
          <w:trHeight w:val="181"/>
        </w:trPr>
        <w:tc>
          <w:tcPr>
            <w:tcW w:w="28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AMD_00241690.0 (as previously</w:t>
            </w:r>
          </w:p>
        </w:tc>
        <w:tc>
          <w:tcPr>
            <w:tcW w:w="1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March 1, 2018</w:t>
            </w:r>
          </w:p>
        </w:tc>
        <w:tc>
          <w:tcPr>
            <w:tcW w:w="3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2"/>
              </w:rPr>
              <w:t>Bloomberg Barclays MSCI US Aggregate ESG</w:t>
            </w:r>
          </w:p>
        </w:tc>
        <w:tc>
          <w:tcPr>
            <w:tcW w:w="29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iShares ESG Aware U.S. Aggregate</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modified by AMD_00269211.0)</w:t>
            </w:r>
          </w:p>
        </w:tc>
        <w:tc>
          <w:tcPr>
            <w:tcW w:w="19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Focus Index</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Bond ETF</w:t>
            </w:r>
          </w:p>
        </w:tc>
        <w:tc>
          <w:tcPr>
            <w:tcW w:w="0" w:type="dxa"/>
            <w:vAlign w:val="bottom"/>
          </w:tcPr>
          <w:p>
            <w:pPr>
              <w:spacing w:after="0"/>
              <w:rPr>
                <w:sz w:val="1"/>
                <w:szCs w:val="1"/>
                <w:color w:val="auto"/>
              </w:rPr>
            </w:pPr>
          </w:p>
        </w:tc>
      </w:tr>
      <w:tr>
        <w:trPr>
          <w:trHeight w:val="181"/>
        </w:trPr>
        <w:tc>
          <w:tcPr>
            <w:tcW w:w="28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AMD_00246382.0</w:t>
            </w:r>
          </w:p>
        </w:tc>
        <w:tc>
          <w:tcPr>
            <w:tcW w:w="1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July 1, 2018</w:t>
            </w:r>
          </w:p>
        </w:tc>
        <w:tc>
          <w:tcPr>
            <w:tcW w:w="3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3"/>
              </w:rPr>
              <w:t>Bloomberg Barclays MSCI Global Green Bond</w:t>
            </w:r>
          </w:p>
        </w:tc>
        <w:tc>
          <w:tcPr>
            <w:tcW w:w="29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iShares Global Green Bond ETF</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Select (USD Hedged) Index</w:t>
            </w:r>
          </w:p>
        </w:tc>
        <w:tc>
          <w:tcPr>
            <w:tcW w:w="2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8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AMD_00271008.0</w:t>
            </w:r>
          </w:p>
        </w:tc>
        <w:tc>
          <w:tcPr>
            <w:tcW w:w="1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March 20, 2020</w:t>
            </w:r>
          </w:p>
        </w:tc>
        <w:tc>
          <w:tcPr>
            <w:tcW w:w="3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Bloomberg Barclays MSCI US Universal</w:t>
            </w:r>
          </w:p>
        </w:tc>
        <w:tc>
          <w:tcPr>
            <w:tcW w:w="29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0"/>
              </w:rPr>
              <w:t>iShares ESG Advanced Total USD Bond</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Choice ESG Screened Index</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Market ETF</w:t>
            </w:r>
          </w:p>
        </w:tc>
        <w:tc>
          <w:tcPr>
            <w:tcW w:w="0" w:type="dxa"/>
            <w:vAlign w:val="bottom"/>
          </w:tcPr>
          <w:p>
            <w:pPr>
              <w:spacing w:after="0"/>
              <w:rPr>
                <w:sz w:val="1"/>
                <w:szCs w:val="1"/>
                <w:color w:val="auto"/>
              </w:rPr>
            </w:pPr>
          </w:p>
        </w:tc>
      </w:tr>
    </w:tbl>
    <w:p>
      <w:pPr>
        <w:sectPr>
          <w:pgSz w:w="11900" w:h="16838" w:orient="portrait"/>
          <w:cols w:equalWidth="0" w:num="1">
            <w:col w:w="11240"/>
          </w:cols>
          <w:pgMar w:left="340" w:top="340" w:right="3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9"/>
          <w:szCs w:val="19"/>
          <w:b w:val="1"/>
          <w:bCs w:val="1"/>
          <w:color w:val="auto"/>
        </w:rPr>
        <w:t>Exhibit 10.168</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AMD_00296211.0</w:t>
      </w:r>
    </w:p>
    <w:p>
      <w:pPr>
        <w:spacing w:after="0" w:line="233"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CERTAIN IDENTIFIED INFORMATION HAS BEEN EXCLUDED FROM THIS EXHIBIT BECAUSE IT IS NOT MATERIAL AND IS OF THE TYPE THAT THE COMPANY TREATS AS PRIVATE OR CONFIDENTIAL. *** INDICATES THAT INFORMATION HAS BEEN REDACTED.</w:t>
      </w:r>
    </w:p>
    <w:p>
      <w:pPr>
        <w:spacing w:after="0" w:line="35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December 9, 2021 (the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 is made to the Previous Amendment (as defined below) by and between MSCI ESG Research LLC (“</w:t>
      </w:r>
      <w:r>
        <w:rPr>
          <w:rFonts w:ascii="Arial" w:cs="Arial" w:eastAsia="Arial" w:hAnsi="Arial"/>
          <w:sz w:val="19"/>
          <w:szCs w:val="19"/>
          <w:u w:val="single" w:color="auto"/>
          <w:color w:val="auto"/>
        </w:rPr>
        <w:t>MSCI</w:t>
      </w:r>
      <w:r>
        <w:rPr>
          <w:rFonts w:ascii="Arial" w:cs="Arial" w:eastAsia="Arial" w:hAnsi="Arial"/>
          <w:sz w:val="19"/>
          <w:szCs w:val="19"/>
          <w:color w:val="auto"/>
        </w:rPr>
        <w:t>”) and BlackRock Fund Advisors (“</w:t>
      </w:r>
      <w:r>
        <w:rPr>
          <w:rFonts w:ascii="Arial" w:cs="Arial" w:eastAsia="Arial" w:hAnsi="Arial"/>
          <w:sz w:val="19"/>
          <w:szCs w:val="19"/>
          <w:u w:val="single" w:color="auto"/>
          <w:color w:val="auto"/>
        </w:rPr>
        <w:t>Licensee</w:t>
      </w:r>
      <w:r>
        <w:rPr>
          <w:rFonts w:ascii="Arial" w:cs="Arial" w:eastAsia="Arial" w:hAnsi="Arial"/>
          <w:sz w:val="19"/>
          <w:szCs w:val="19"/>
          <w:color w:val="auto"/>
        </w:rPr>
        <w:t>”). Capitalized terms used but not defined herein shall have the meanings ascribed to them in the Previous Amendment or the Agreement (as defined below), as the case may be.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WHEREAS, MSCI and Licensee entered into Amendment No. 3 (internal MSCI reference number: AMD_00246382.0) dated as of July 1, 2018 (the “</w:t>
      </w:r>
      <w:r>
        <w:rPr>
          <w:rFonts w:ascii="Arial" w:cs="Arial" w:eastAsia="Arial" w:hAnsi="Arial"/>
          <w:sz w:val="19"/>
          <w:szCs w:val="19"/>
          <w:u w:val="single" w:color="auto"/>
          <w:color w:val="auto"/>
        </w:rPr>
        <w:t>Previous Amendment</w:t>
      </w:r>
      <w:r>
        <w:rPr>
          <w:rFonts w:ascii="Arial" w:cs="Arial" w:eastAsia="Arial" w:hAnsi="Arial"/>
          <w:sz w:val="19"/>
          <w:szCs w:val="19"/>
          <w:color w:val="auto"/>
        </w:rPr>
        <w:t>”), which amends the Index License Agreement for Funds (internal MSCI reference number: IXF_00040) dated as of March 18, 2000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between MSCI and Licensee; and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WHEREAS, on a date which is expected to occur on or about ********* (the “</w:t>
      </w:r>
      <w:r>
        <w:rPr>
          <w:rFonts w:ascii="Arial" w:cs="Arial" w:eastAsia="Arial" w:hAnsi="Arial"/>
          <w:sz w:val="19"/>
          <w:szCs w:val="19"/>
          <w:u w:val="single" w:color="auto"/>
          <w:color w:val="auto"/>
        </w:rPr>
        <w:t>Conversion Date</w:t>
      </w:r>
      <w:r>
        <w:rPr>
          <w:rFonts w:ascii="Arial" w:cs="Arial" w:eastAsia="Arial" w:hAnsi="Arial"/>
          <w:sz w:val="19"/>
          <w:szCs w:val="19"/>
          <w:color w:val="auto"/>
        </w:rPr>
        <w:t>”), Licensee wishes to change the name of the Fund from the iShares Global Green Bond ETF to the iShares USD Green Bond ETF and to replace the Bloomberg MSCI Global Green Bond Select (USD Hedged) Index (previously known as the Bloomberg Barclays MSCI Global Green Bond Select (USD Hedged) Index) with the Bloomberg MSCI USD Green Bond Select Index as the underlying index for the Fund.</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NOW, THEREFORE, in consideration of the mutual covenants set forth herein, each of MSCI and Licensee hereby agree to amend the Previous Amendment as follows:</w:t>
      </w:r>
    </w:p>
    <w:p>
      <w:pPr>
        <w:spacing w:after="0" w:line="156" w:lineRule="exact"/>
        <w:rPr>
          <w:sz w:val="20"/>
          <w:szCs w:val="20"/>
          <w:color w:val="auto"/>
        </w:rPr>
      </w:pPr>
    </w:p>
    <w:p>
      <w:pPr>
        <w:jc w:val="both"/>
        <w:ind w:left="420" w:hanging="415"/>
        <w:spacing w:after="0" w:line="260" w:lineRule="auto"/>
        <w:tabs>
          <w:tab w:leader="none" w:pos="4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Commencing on the Conversion Date, Section 1 of the Previous Amendment is hereby amended so that all references to the “Bloomberg Barclays MSCI Global Green Bond Select (USD Hedged) Index” shall be deleted and replaced with the following index: “Bloomberg MSCI USD Green Bond Select Index”.</w:t>
      </w:r>
    </w:p>
    <w:p>
      <w:pPr>
        <w:spacing w:after="0" w:line="170" w:lineRule="exact"/>
        <w:rPr>
          <w:rFonts w:ascii="Arial" w:cs="Arial" w:eastAsia="Arial" w:hAnsi="Arial"/>
          <w:sz w:val="19"/>
          <w:szCs w:val="19"/>
          <w:color w:val="auto"/>
        </w:rPr>
      </w:pPr>
    </w:p>
    <w:p>
      <w:pPr>
        <w:ind w:left="420" w:hanging="415"/>
        <w:spacing w:after="0" w:line="275" w:lineRule="auto"/>
        <w:tabs>
          <w:tab w:leader="none" w:pos="4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Commencing on the Conversion Date, Section 2 of the Previous Amendment is hereby amended so that all references to the “iShares Global Green Bond ETF” shall be deleted and replaced with the following Fund: “iShares USD Green Bond ETF”.</w:t>
      </w:r>
    </w:p>
    <w:p>
      <w:pPr>
        <w:spacing w:after="0" w:line="156" w:lineRule="exact"/>
        <w:rPr>
          <w:rFonts w:ascii="Arial" w:cs="Arial" w:eastAsia="Arial" w:hAnsi="Arial"/>
          <w:sz w:val="19"/>
          <w:szCs w:val="19"/>
          <w:color w:val="auto"/>
        </w:rPr>
      </w:pPr>
    </w:p>
    <w:p>
      <w:pPr>
        <w:ind w:left="420" w:hanging="415"/>
        <w:spacing w:after="0" w:line="275" w:lineRule="auto"/>
        <w:tabs>
          <w:tab w:leader="none" w:pos="4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If the Conversion Date occurs more than one hundred ninety (190) days after *********, this Amendment shall automatically terminate and this Amendment shall have no effect on the Previous Amendment.</w:t>
      </w:r>
    </w:p>
    <w:p>
      <w:pPr>
        <w:spacing w:after="0" w:line="156" w:lineRule="exact"/>
        <w:rPr>
          <w:rFonts w:ascii="Arial" w:cs="Arial" w:eastAsia="Arial" w:hAnsi="Arial"/>
          <w:sz w:val="19"/>
          <w:szCs w:val="19"/>
          <w:color w:val="auto"/>
        </w:rPr>
      </w:pPr>
    </w:p>
    <w:p>
      <w:pPr>
        <w:jc w:val="both"/>
        <w:ind w:left="420" w:hanging="415"/>
        <w:spacing w:after="0" w:line="294" w:lineRule="auto"/>
        <w:tabs>
          <w:tab w:leader="none" w:pos="4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This Amendment amends and operates in conjunction with the Previous Amendment. This Amendment, the Previous Amendment, and the Agreement constitute the complete and exclusive statement of the agreement between the parties with respect to the subject matter hereof and supersede in full all prior proposals and understandings, oral or written, relating to such subject matter. To the extent that the terms of this Amendment conflict with the terms of the Previous Amendment, or the Agreement, the terms of this Amendment shall control.</w:t>
      </w:r>
    </w:p>
    <w:p>
      <w:pPr>
        <w:spacing w:after="0" w:line="146" w:lineRule="exact"/>
        <w:rPr>
          <w:rFonts w:ascii="Arial" w:cs="Arial" w:eastAsia="Arial" w:hAnsi="Arial"/>
          <w:sz w:val="17"/>
          <w:szCs w:val="17"/>
          <w:color w:val="auto"/>
        </w:rPr>
      </w:pPr>
    </w:p>
    <w:p>
      <w:pPr>
        <w:ind w:left="420" w:hanging="415"/>
        <w:spacing w:after="0" w:line="275" w:lineRule="auto"/>
        <w:tabs>
          <w:tab w:leader="none" w:pos="4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This Amendment shall be governed by, and construed in accordance with, the laws of the State of New York without regard to its conflict or choice of laws principles.</w:t>
      </w:r>
    </w:p>
    <w:p>
      <w:pPr>
        <w:spacing w:after="0" w:line="156" w:lineRule="exact"/>
        <w:rPr>
          <w:rFonts w:ascii="Arial" w:cs="Arial" w:eastAsia="Arial" w:hAnsi="Arial"/>
          <w:sz w:val="19"/>
          <w:szCs w:val="19"/>
          <w:color w:val="auto"/>
        </w:rPr>
      </w:pPr>
    </w:p>
    <w:p>
      <w:pPr>
        <w:jc w:val="both"/>
        <w:ind w:left="420" w:hanging="415"/>
        <w:spacing w:after="0" w:line="255" w:lineRule="auto"/>
        <w:tabs>
          <w:tab w:leader="none" w:pos="4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This Amendment may be executed in counterparts, which taken together, shall constitute one Amendment and each party hereto may execute this Amendment by signing such counterpart; provided that no party shall be bound hereby until the Amendment has been executed and delivered by all parties hereto. A facsimile or PDF signature of either party to this Amendment shall be deemed an original signature of such party and shall manifest such party’s intention to be bound by this Amendment.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7804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43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14" w:name="page215"/>
    <w:bookmarkEnd w:id="214"/>
    <w:p>
      <w:pPr>
        <w:spacing w:after="0"/>
        <w:rPr>
          <w:sz w:val="20"/>
          <w:szCs w:val="20"/>
          <w:color w:val="auto"/>
        </w:rPr>
      </w:pPr>
      <w:r>
        <w:rPr>
          <w:rFonts w:ascii="Arial" w:cs="Arial" w:eastAsia="Arial" w:hAnsi="Arial"/>
          <w:sz w:val="17"/>
          <w:szCs w:val="17"/>
          <w:color w:val="auto"/>
        </w:rPr>
        <w:t>IN WITNESS WHEREOF, the parties have caused this Amendment to be executed as of the Amendment Effective Date set forth above.</w:t>
      </w:r>
    </w:p>
    <w:p>
      <w:pPr>
        <w:spacing w:after="0" w:line="238" w:lineRule="exact"/>
        <w:rPr>
          <w:sz w:val="20"/>
          <w:szCs w:val="20"/>
          <w:color w:val="auto"/>
        </w:rPr>
      </w:pPr>
    </w:p>
    <w:tbl>
      <w:tblPr>
        <w:tblLayout w:type="fixed"/>
        <w:tblInd w:w="1520" w:type="dxa"/>
        <w:tblCellMar>
          <w:top w:w="0" w:type="dxa"/>
          <w:left w:w="0" w:type="dxa"/>
          <w:bottom w:w="0" w:type="dxa"/>
          <w:right w:w="0" w:type="dxa"/>
        </w:tblCellMar>
      </w:tblPr>
      <w:tr>
        <w:trPr>
          <w:trHeight w:val="246"/>
        </w:trPr>
        <w:tc>
          <w:tcPr>
            <w:tcW w:w="3040" w:type="dxa"/>
            <w:vAlign w:val="bottom"/>
            <w:gridSpan w:val="7"/>
          </w:tcPr>
          <w:p>
            <w:pPr>
              <w:spacing w:after="0"/>
              <w:rPr>
                <w:sz w:val="20"/>
                <w:szCs w:val="20"/>
                <w:color w:val="auto"/>
              </w:rPr>
            </w:pPr>
            <w:r>
              <w:rPr>
                <w:rFonts w:ascii="Arial" w:cs="Arial" w:eastAsia="Arial" w:hAnsi="Arial"/>
                <w:sz w:val="19"/>
                <w:szCs w:val="19"/>
                <w:color w:val="auto"/>
              </w:rPr>
              <w:t>MSCI ESG Research LLC</w:t>
            </w:r>
          </w:p>
        </w:tc>
        <w:tc>
          <w:tcPr>
            <w:tcW w:w="3060" w:type="dxa"/>
            <w:vAlign w:val="bottom"/>
            <w:gridSpan w:val="6"/>
          </w:tcPr>
          <w:p>
            <w:pPr>
              <w:ind w:left="1060"/>
              <w:spacing w:after="0"/>
              <w:rPr>
                <w:sz w:val="20"/>
                <w:szCs w:val="20"/>
                <w:color w:val="auto"/>
              </w:rPr>
            </w:pPr>
            <w:r>
              <w:rPr>
                <w:rFonts w:ascii="Arial" w:cs="Arial" w:eastAsia="Arial" w:hAnsi="Arial"/>
                <w:sz w:val="19"/>
                <w:szCs w:val="19"/>
                <w:color w:val="auto"/>
                <w:w w:val="91"/>
              </w:rPr>
              <w:t>BlackRock Fund Advisors</w:t>
            </w:r>
          </w:p>
        </w:tc>
      </w:tr>
      <w:tr>
        <w:trPr>
          <w:trHeight w:val="402"/>
        </w:trPr>
        <w:tc>
          <w:tcPr>
            <w:tcW w:w="3040" w:type="dxa"/>
            <w:vAlign w:val="bottom"/>
            <w:gridSpan w:val="7"/>
          </w:tcPr>
          <w:p>
            <w:pPr>
              <w:spacing w:after="0"/>
              <w:rPr>
                <w:sz w:val="20"/>
                <w:szCs w:val="20"/>
                <w:color w:val="auto"/>
              </w:rPr>
            </w:pPr>
            <w:r>
              <w:rPr>
                <w:rFonts w:ascii="Arial" w:cs="Arial" w:eastAsia="Arial" w:hAnsi="Arial"/>
                <w:sz w:val="19"/>
                <w:szCs w:val="19"/>
                <w:color w:val="auto"/>
              </w:rPr>
              <w:t>By /s/ Joke Jacinto</w:t>
            </w:r>
          </w:p>
        </w:tc>
        <w:tc>
          <w:tcPr>
            <w:tcW w:w="3060" w:type="dxa"/>
            <w:vAlign w:val="bottom"/>
            <w:gridSpan w:val="6"/>
          </w:tcPr>
          <w:p>
            <w:pPr>
              <w:ind w:left="1060"/>
              <w:spacing w:after="0"/>
              <w:rPr>
                <w:sz w:val="20"/>
                <w:szCs w:val="20"/>
                <w:color w:val="auto"/>
              </w:rPr>
            </w:pPr>
            <w:r>
              <w:rPr>
                <w:rFonts w:ascii="Arial" w:cs="Arial" w:eastAsia="Arial" w:hAnsi="Arial"/>
                <w:sz w:val="19"/>
                <w:szCs w:val="19"/>
                <w:color w:val="auto"/>
              </w:rPr>
              <w:t>By /s/ Ruth Weiss</w:t>
            </w:r>
          </w:p>
        </w:tc>
      </w:tr>
      <w:tr>
        <w:trPr>
          <w:trHeight w:val="20"/>
        </w:trPr>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7"/>
        </w:trPr>
        <w:tc>
          <w:tcPr>
            <w:tcW w:w="3040" w:type="dxa"/>
            <w:vAlign w:val="bottom"/>
            <w:gridSpan w:val="7"/>
          </w:tcPr>
          <w:p>
            <w:pPr>
              <w:spacing w:after="0"/>
              <w:rPr>
                <w:sz w:val="20"/>
                <w:szCs w:val="20"/>
                <w:color w:val="auto"/>
              </w:rPr>
            </w:pPr>
            <w:r>
              <w:rPr>
                <w:rFonts w:ascii="Arial" w:cs="Arial" w:eastAsia="Arial" w:hAnsi="Arial"/>
                <w:sz w:val="19"/>
                <w:szCs w:val="19"/>
                <w:color w:val="auto"/>
              </w:rPr>
              <w:t>Name Joke Jacinto</w:t>
            </w:r>
          </w:p>
        </w:tc>
        <w:tc>
          <w:tcPr>
            <w:tcW w:w="3060" w:type="dxa"/>
            <w:vAlign w:val="bottom"/>
            <w:gridSpan w:val="6"/>
          </w:tcPr>
          <w:p>
            <w:pPr>
              <w:ind w:left="1060"/>
              <w:spacing w:after="0"/>
              <w:rPr>
                <w:sz w:val="20"/>
                <w:szCs w:val="20"/>
                <w:color w:val="auto"/>
              </w:rPr>
            </w:pPr>
            <w:r>
              <w:rPr>
                <w:rFonts w:ascii="Arial" w:cs="Arial" w:eastAsia="Arial" w:hAnsi="Arial"/>
                <w:sz w:val="19"/>
                <w:szCs w:val="19"/>
                <w:color w:val="auto"/>
              </w:rPr>
              <w:t>Name Ruth Weiss</w:t>
            </w: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7"/>
        </w:trPr>
        <w:tc>
          <w:tcPr>
            <w:tcW w:w="3040" w:type="dxa"/>
            <w:vAlign w:val="bottom"/>
            <w:gridSpan w:val="7"/>
          </w:tcPr>
          <w:p>
            <w:pPr>
              <w:spacing w:after="0"/>
              <w:rPr>
                <w:sz w:val="20"/>
                <w:szCs w:val="20"/>
                <w:color w:val="auto"/>
              </w:rPr>
            </w:pPr>
            <w:r>
              <w:rPr>
                <w:rFonts w:ascii="Arial" w:cs="Arial" w:eastAsia="Arial" w:hAnsi="Arial"/>
                <w:sz w:val="19"/>
                <w:szCs w:val="19"/>
                <w:color w:val="auto"/>
              </w:rPr>
              <w:t>Title Executive Director</w:t>
            </w:r>
          </w:p>
        </w:tc>
        <w:tc>
          <w:tcPr>
            <w:tcW w:w="3060" w:type="dxa"/>
            <w:vAlign w:val="bottom"/>
            <w:gridSpan w:val="6"/>
          </w:tcPr>
          <w:p>
            <w:pPr>
              <w:ind w:left="1060"/>
              <w:spacing w:after="0"/>
              <w:rPr>
                <w:sz w:val="20"/>
                <w:szCs w:val="20"/>
                <w:color w:val="auto"/>
              </w:rPr>
            </w:pPr>
            <w:r>
              <w:rPr>
                <w:rFonts w:ascii="Arial" w:cs="Arial" w:eastAsia="Arial" w:hAnsi="Arial"/>
                <w:sz w:val="19"/>
                <w:szCs w:val="19"/>
                <w:color w:val="auto"/>
              </w:rPr>
              <w:t>Title Managing Director</w:t>
            </w:r>
          </w:p>
        </w:tc>
      </w:tr>
      <w:tr>
        <w:trPr>
          <w:trHeight w:val="695"/>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ind w:left="1020"/>
              <w:spacing w:after="0"/>
              <w:rPr>
                <w:sz w:val="20"/>
                <w:szCs w:val="20"/>
                <w:color w:val="auto"/>
              </w:rPr>
            </w:pPr>
            <w:r>
              <w:rPr>
                <w:rFonts w:ascii="Arial" w:cs="Arial" w:eastAsia="Arial" w:hAnsi="Arial"/>
                <w:sz w:val="19"/>
                <w:szCs w:val="19"/>
                <w:color w:val="auto"/>
              </w:rPr>
              <w:t>2</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520"/>
          </w:cols>
          <w:pgMar w:left="320" w:top="556" w:right="105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21.1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Subsidiaries of MSCI Inc.</w:t>
      </w:r>
    </w:p>
    <w:p>
      <w:pPr>
        <w:spacing w:after="0" w:line="234" w:lineRule="exact"/>
        <w:rPr>
          <w:sz w:val="20"/>
          <w:szCs w:val="20"/>
          <w:color w:val="auto"/>
        </w:rPr>
      </w:pPr>
    </w:p>
    <w:p>
      <w:pPr>
        <w:ind w:right="240"/>
        <w:spacing w:after="0" w:line="275" w:lineRule="auto"/>
        <w:rPr>
          <w:sz w:val="20"/>
          <w:szCs w:val="20"/>
          <w:color w:val="auto"/>
        </w:rPr>
      </w:pPr>
      <w:r>
        <w:rPr>
          <w:rFonts w:ascii="Arial" w:cs="Arial" w:eastAsia="Arial" w:hAnsi="Arial"/>
          <w:sz w:val="19"/>
          <w:szCs w:val="19"/>
          <w:color w:val="auto"/>
        </w:rPr>
        <w:t>The following is a list of the subsidiaries of MSCI Inc., excluding those subsidiaries that, considered in the aggregate as a single subsidiary, do not constitute a significant subsidiary as of December 31,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40" w:type="dxa"/>
            <w:vAlign w:val="bottom"/>
            <w:gridSpan w:val="3"/>
          </w:tcPr>
          <w:p>
            <w:pPr>
              <w:ind w:left="3580"/>
              <w:spacing w:after="0"/>
              <w:rPr>
                <w:sz w:val="20"/>
                <w:szCs w:val="20"/>
                <w:color w:val="auto"/>
              </w:rPr>
            </w:pPr>
            <w:r>
              <w:rPr>
                <w:rFonts w:ascii="Arial" w:cs="Arial" w:eastAsia="Arial" w:hAnsi="Arial"/>
                <w:sz w:val="19"/>
                <w:szCs w:val="19"/>
                <w:b w:val="1"/>
                <w:bCs w:val="1"/>
                <w:color w:val="auto"/>
              </w:rPr>
              <w:t>Name</w:t>
            </w:r>
          </w:p>
        </w:tc>
        <w:tc>
          <w:tcPr>
            <w:tcW w:w="5340" w:type="dxa"/>
            <w:vAlign w:val="bottom"/>
            <w:gridSpan w:val="2"/>
          </w:tcPr>
          <w:p>
            <w:pPr>
              <w:ind w:left="1800"/>
              <w:spacing w:after="0"/>
              <w:rPr>
                <w:sz w:val="20"/>
                <w:szCs w:val="20"/>
                <w:color w:val="auto"/>
              </w:rPr>
            </w:pPr>
            <w:r>
              <w:rPr>
                <w:rFonts w:ascii="Arial" w:cs="Arial" w:eastAsia="Arial" w:hAnsi="Arial"/>
                <w:sz w:val="19"/>
                <w:szCs w:val="19"/>
                <w:b w:val="1"/>
                <w:bCs w:val="1"/>
                <w:color w:val="auto"/>
                <w:w w:val="92"/>
              </w:rPr>
              <w:t>Jurisdiction of Incorporation/Organization</w:t>
            </w:r>
          </w:p>
        </w:tc>
      </w:tr>
      <w:tr>
        <w:trPr>
          <w:trHeight w:val="20"/>
        </w:trPr>
        <w:tc>
          <w:tcPr>
            <w:tcW w:w="3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r>
        <w:trPr>
          <w:trHeight w:val="594"/>
        </w:trPr>
        <w:tc>
          <w:tcPr>
            <w:tcW w:w="3580" w:type="dxa"/>
            <w:vAlign w:val="bottom"/>
          </w:tcPr>
          <w:p>
            <w:pPr>
              <w:spacing w:after="0"/>
              <w:rPr>
                <w:sz w:val="20"/>
                <w:szCs w:val="20"/>
                <w:color w:val="auto"/>
              </w:rPr>
            </w:pPr>
            <w:r>
              <w:rPr>
                <w:rFonts w:ascii="Arial" w:cs="Arial" w:eastAsia="Arial" w:hAnsi="Arial"/>
                <w:sz w:val="19"/>
                <w:szCs w:val="19"/>
                <w:color w:val="auto"/>
              </w:rPr>
              <w:t>Barra, LLC</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Delaware, U.S.A.</w:t>
            </w:r>
          </w:p>
        </w:tc>
      </w:tr>
      <w:tr>
        <w:trPr>
          <w:trHeight w:val="250"/>
        </w:trPr>
        <w:tc>
          <w:tcPr>
            <w:tcW w:w="5840" w:type="dxa"/>
            <w:vAlign w:val="bottom"/>
            <w:gridSpan w:val="3"/>
          </w:tcPr>
          <w:p>
            <w:pPr>
              <w:spacing w:after="0"/>
              <w:rPr>
                <w:sz w:val="20"/>
                <w:szCs w:val="20"/>
                <w:color w:val="auto"/>
              </w:rPr>
            </w:pPr>
            <w:r>
              <w:rPr>
                <w:rFonts w:ascii="Arial" w:cs="Arial" w:eastAsia="Arial" w:hAnsi="Arial"/>
                <w:sz w:val="19"/>
                <w:szCs w:val="19"/>
                <w:color w:val="auto"/>
              </w:rPr>
              <w:t>Investment Property Databank Limited</w:t>
            </w: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United Kingdom</w:t>
            </w:r>
          </w:p>
        </w:tc>
      </w:tr>
      <w:tr>
        <w:trPr>
          <w:trHeight w:val="250"/>
        </w:trPr>
        <w:tc>
          <w:tcPr>
            <w:tcW w:w="5840" w:type="dxa"/>
            <w:vAlign w:val="bottom"/>
            <w:gridSpan w:val="3"/>
          </w:tcPr>
          <w:p>
            <w:pPr>
              <w:spacing w:after="0"/>
              <w:rPr>
                <w:sz w:val="20"/>
                <w:szCs w:val="20"/>
                <w:color w:val="auto"/>
              </w:rPr>
            </w:pPr>
            <w:r>
              <w:rPr>
                <w:rFonts w:ascii="Arial" w:cs="Arial" w:eastAsia="Arial" w:hAnsi="Arial"/>
                <w:sz w:val="19"/>
                <w:szCs w:val="19"/>
                <w:color w:val="auto"/>
              </w:rPr>
              <w:t>MSCI Barra (Suisse) Sàrl</w:t>
            </w: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Switzerland</w:t>
            </w:r>
          </w:p>
        </w:tc>
      </w:tr>
      <w:tr>
        <w:trPr>
          <w:trHeight w:val="250"/>
        </w:trPr>
        <w:tc>
          <w:tcPr>
            <w:tcW w:w="5840" w:type="dxa"/>
            <w:vAlign w:val="bottom"/>
            <w:gridSpan w:val="3"/>
          </w:tcPr>
          <w:p>
            <w:pPr>
              <w:spacing w:after="0"/>
              <w:rPr>
                <w:sz w:val="20"/>
                <w:szCs w:val="20"/>
                <w:color w:val="auto"/>
              </w:rPr>
            </w:pPr>
            <w:r>
              <w:rPr>
                <w:rFonts w:ascii="Arial" w:cs="Arial" w:eastAsia="Arial" w:hAnsi="Arial"/>
                <w:sz w:val="19"/>
                <w:szCs w:val="19"/>
                <w:color w:val="auto"/>
              </w:rPr>
              <w:t>MSCI ESG Research (UK) Limited</w:t>
            </w: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United Kingdom</w:t>
            </w:r>
          </w:p>
        </w:tc>
      </w:tr>
      <w:tr>
        <w:trPr>
          <w:trHeight w:val="250"/>
        </w:trPr>
        <w:tc>
          <w:tcPr>
            <w:tcW w:w="5840" w:type="dxa"/>
            <w:vAlign w:val="bottom"/>
            <w:gridSpan w:val="3"/>
          </w:tcPr>
          <w:p>
            <w:pPr>
              <w:spacing w:after="0"/>
              <w:rPr>
                <w:sz w:val="20"/>
                <w:szCs w:val="20"/>
                <w:color w:val="auto"/>
              </w:rPr>
            </w:pPr>
            <w:r>
              <w:rPr>
                <w:rFonts w:ascii="Arial" w:cs="Arial" w:eastAsia="Arial" w:hAnsi="Arial"/>
                <w:sz w:val="19"/>
                <w:szCs w:val="19"/>
                <w:color w:val="auto"/>
              </w:rPr>
              <w:t>MSCI ESG Research LLC</w:t>
            </w: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Delaware, U.S.A.</w:t>
            </w:r>
          </w:p>
        </w:tc>
      </w:tr>
      <w:tr>
        <w:trPr>
          <w:trHeight w:val="250"/>
        </w:trPr>
        <w:tc>
          <w:tcPr>
            <w:tcW w:w="5840" w:type="dxa"/>
            <w:vAlign w:val="bottom"/>
            <w:gridSpan w:val="3"/>
          </w:tcPr>
          <w:p>
            <w:pPr>
              <w:spacing w:after="0"/>
              <w:rPr>
                <w:sz w:val="20"/>
                <w:szCs w:val="20"/>
                <w:color w:val="auto"/>
              </w:rPr>
            </w:pPr>
            <w:r>
              <w:rPr>
                <w:rFonts w:ascii="Arial" w:cs="Arial" w:eastAsia="Arial" w:hAnsi="Arial"/>
                <w:sz w:val="19"/>
                <w:szCs w:val="19"/>
                <w:color w:val="auto"/>
              </w:rPr>
              <w:t>MSCI G.K.</w:t>
            </w: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Japan</w:t>
            </w:r>
          </w:p>
        </w:tc>
      </w:tr>
      <w:tr>
        <w:trPr>
          <w:trHeight w:val="250"/>
        </w:trPr>
        <w:tc>
          <w:tcPr>
            <w:tcW w:w="5840" w:type="dxa"/>
            <w:vAlign w:val="bottom"/>
            <w:gridSpan w:val="3"/>
          </w:tcPr>
          <w:p>
            <w:pPr>
              <w:spacing w:after="0"/>
              <w:rPr>
                <w:sz w:val="20"/>
                <w:szCs w:val="20"/>
                <w:color w:val="auto"/>
              </w:rPr>
            </w:pPr>
            <w:r>
              <w:rPr>
                <w:rFonts w:ascii="Arial" w:cs="Arial" w:eastAsia="Arial" w:hAnsi="Arial"/>
                <w:sz w:val="19"/>
                <w:szCs w:val="19"/>
                <w:color w:val="auto"/>
              </w:rPr>
              <w:t>MSCI Limited</w:t>
            </w: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United Kingdom</w:t>
            </w:r>
          </w:p>
        </w:tc>
      </w:tr>
      <w:tr>
        <w:trPr>
          <w:trHeight w:val="250"/>
        </w:trPr>
        <w:tc>
          <w:tcPr>
            <w:tcW w:w="5840" w:type="dxa"/>
            <w:vAlign w:val="bottom"/>
            <w:gridSpan w:val="3"/>
          </w:tcPr>
          <w:p>
            <w:pPr>
              <w:spacing w:after="0"/>
              <w:rPr>
                <w:sz w:val="20"/>
                <w:szCs w:val="20"/>
                <w:color w:val="auto"/>
              </w:rPr>
            </w:pPr>
            <w:r>
              <w:rPr>
                <w:rFonts w:ascii="Arial" w:cs="Arial" w:eastAsia="Arial" w:hAnsi="Arial"/>
                <w:sz w:val="19"/>
                <w:szCs w:val="19"/>
                <w:color w:val="auto"/>
              </w:rPr>
              <w:t>Real Capital Analytics, Inc.</w:t>
            </w: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New York, U.S.A.</w:t>
            </w:r>
          </w:p>
        </w:tc>
      </w:tr>
      <w:tr>
        <w:trPr>
          <w:trHeight w:val="259"/>
        </w:trPr>
        <w:tc>
          <w:tcPr>
            <w:tcW w:w="5840" w:type="dxa"/>
            <w:vAlign w:val="bottom"/>
            <w:gridSpan w:val="3"/>
          </w:tcPr>
          <w:p>
            <w:pPr>
              <w:spacing w:after="0"/>
              <w:rPr>
                <w:sz w:val="20"/>
                <w:szCs w:val="20"/>
                <w:color w:val="auto"/>
              </w:rPr>
            </w:pPr>
            <w:r>
              <w:rPr>
                <w:rFonts w:ascii="Arial" w:cs="Arial" w:eastAsia="Arial" w:hAnsi="Arial"/>
                <w:sz w:val="19"/>
                <w:szCs w:val="19"/>
                <w:color w:val="auto"/>
              </w:rPr>
              <w:t>RiskMetrics Solutions, LLC</w:t>
            </w:r>
          </w:p>
        </w:tc>
        <w:tc>
          <w:tcPr>
            <w:tcW w:w="5340" w:type="dxa"/>
            <w:vAlign w:val="bottom"/>
            <w:gridSpan w:val="2"/>
          </w:tcPr>
          <w:p>
            <w:pPr>
              <w:ind w:left="1780"/>
              <w:spacing w:after="0"/>
              <w:rPr>
                <w:sz w:val="20"/>
                <w:szCs w:val="20"/>
                <w:color w:val="auto"/>
              </w:rPr>
            </w:pPr>
            <w:r>
              <w:rPr>
                <w:rFonts w:ascii="Arial" w:cs="Arial" w:eastAsia="Arial" w:hAnsi="Arial"/>
                <w:sz w:val="19"/>
                <w:szCs w:val="19"/>
                <w:color w:val="auto"/>
              </w:rPr>
              <w:t>Delaware, U.S.A.</w:t>
            </w:r>
          </w:p>
        </w:tc>
      </w:tr>
    </w:tbl>
    <w:p>
      <w:pPr>
        <w:sectPr>
          <w:pgSz w:w="11900" w:h="16838" w:orient="portrait"/>
          <w:cols w:equalWidth="0" w:num="1">
            <w:col w:w="11240"/>
          </w:cols>
          <w:pgMar w:left="320" w:top="121"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333-210987) and Form S-3 (No. 333-254491) of MSCI Inc. of our report dated February 11, 2022 relating to the financial statements and the effectiveness of internal control over financial reporting, which appears in this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ectPr>
          <w:pgSz w:w="11900" w:h="16838" w:orient="portrait"/>
          <w:cols w:equalWidth="0" w:num="1">
            <w:col w:w="11240"/>
          </w:cols>
          <w:pgMar w:left="320" w:top="962"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Henry A. Fernandez, certify that:</w:t>
      </w:r>
    </w:p>
    <w:p>
      <w:pPr>
        <w:spacing w:after="0" w:line="108" w:lineRule="exact"/>
        <w:rPr>
          <w:sz w:val="20"/>
          <w:szCs w:val="20"/>
          <w:color w:val="auto"/>
        </w:rPr>
      </w:pPr>
    </w:p>
    <w:p>
      <w:pPr>
        <w:ind w:left="580" w:hanging="575"/>
        <w:spacing w:after="0"/>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MSCI Inc.;</w:t>
      </w:r>
    </w:p>
    <w:p>
      <w:pPr>
        <w:spacing w:after="0" w:line="108" w:lineRule="exact"/>
        <w:rPr>
          <w:rFonts w:ascii="Arial" w:cs="Arial" w:eastAsia="Arial" w:hAnsi="Arial"/>
          <w:sz w:val="18"/>
          <w:szCs w:val="18"/>
          <w:color w:val="auto"/>
        </w:rPr>
      </w:pPr>
    </w:p>
    <w:p>
      <w:pPr>
        <w:jc w:val="both"/>
        <w:ind w:left="580" w:right="460" w:hanging="575"/>
        <w:spacing w:after="0" w:line="252"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8"/>
          <w:szCs w:val="18"/>
          <w:color w:val="auto"/>
        </w:rPr>
      </w:pPr>
    </w:p>
    <w:p>
      <w:pPr>
        <w:ind w:left="580" w:right="440" w:hanging="575"/>
        <w:spacing w:after="0" w:line="324" w:lineRule="auto"/>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6"/>
          <w:szCs w:val="16"/>
          <w:color w:val="auto"/>
        </w:rPr>
      </w:pPr>
    </w:p>
    <w:p>
      <w:pPr>
        <w:ind w:left="580" w:right="60" w:hanging="575"/>
        <w:spacing w:after="0" w:line="252"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Arial" w:cs="Arial" w:eastAsia="Arial" w:hAnsi="Arial"/>
          <w:sz w:val="18"/>
          <w:szCs w:val="18"/>
          <w:color w:val="auto"/>
        </w:rPr>
      </w:pPr>
    </w:p>
    <w:p>
      <w:pPr>
        <w:ind w:left="1160" w:right="140" w:hanging="577"/>
        <w:spacing w:after="0" w:line="252" w:lineRule="auto"/>
        <w:tabs>
          <w:tab w:leader="none" w:pos="11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8"/>
          <w:szCs w:val="18"/>
          <w:color w:val="auto"/>
        </w:rPr>
      </w:pPr>
    </w:p>
    <w:p>
      <w:pPr>
        <w:ind w:left="1160" w:right="440" w:hanging="577"/>
        <w:spacing w:after="0" w:line="252" w:lineRule="auto"/>
        <w:tabs>
          <w:tab w:leader="none" w:pos="11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8"/>
          <w:szCs w:val="18"/>
          <w:color w:val="auto"/>
        </w:rPr>
      </w:pPr>
    </w:p>
    <w:p>
      <w:pPr>
        <w:jc w:val="both"/>
        <w:ind w:left="1160" w:right="620" w:hanging="577"/>
        <w:spacing w:after="0" w:line="361" w:lineRule="auto"/>
        <w:tabs>
          <w:tab w:leader="none" w:pos="116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160" w:right="140" w:hanging="577"/>
        <w:spacing w:after="0" w:line="252" w:lineRule="auto"/>
        <w:tabs>
          <w:tab w:leader="none" w:pos="11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8"/>
          <w:szCs w:val="18"/>
          <w:color w:val="auto"/>
        </w:rPr>
      </w:pPr>
    </w:p>
    <w:p>
      <w:pPr>
        <w:ind w:left="580" w:right="180" w:hanging="575"/>
        <w:spacing w:after="0" w:line="324" w:lineRule="auto"/>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6"/>
          <w:szCs w:val="16"/>
          <w:color w:val="auto"/>
        </w:rPr>
      </w:pPr>
    </w:p>
    <w:p>
      <w:pPr>
        <w:ind w:left="1160" w:right="40" w:hanging="577"/>
        <w:spacing w:after="0" w:line="324" w:lineRule="auto"/>
        <w:tabs>
          <w:tab w:leader="none" w:pos="11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1160" w:hanging="577"/>
        <w:spacing w:after="0" w:line="261" w:lineRule="auto"/>
        <w:tabs>
          <w:tab w:leader="none" w:pos="11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10160</wp:posOffset>
            </wp:positionV>
            <wp:extent cx="35636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39">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Henry A. Fernandez</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41"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Andrew C. Wiechmann, certify that:</w:t>
      </w:r>
    </w:p>
    <w:p>
      <w:pPr>
        <w:spacing w:after="0" w:line="108" w:lineRule="exact"/>
        <w:rPr>
          <w:sz w:val="20"/>
          <w:szCs w:val="20"/>
          <w:color w:val="auto"/>
        </w:rPr>
      </w:pPr>
    </w:p>
    <w:p>
      <w:pPr>
        <w:ind w:left="580" w:hanging="575"/>
        <w:spacing w:after="0"/>
        <w:tabs>
          <w:tab w:leader="none" w:pos="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MSCI Inc.;</w:t>
      </w:r>
    </w:p>
    <w:p>
      <w:pPr>
        <w:spacing w:after="0" w:line="108" w:lineRule="exact"/>
        <w:rPr>
          <w:rFonts w:ascii="Arial" w:cs="Arial" w:eastAsia="Arial" w:hAnsi="Arial"/>
          <w:sz w:val="18"/>
          <w:szCs w:val="18"/>
          <w:color w:val="auto"/>
        </w:rPr>
      </w:pPr>
    </w:p>
    <w:p>
      <w:pPr>
        <w:jc w:val="both"/>
        <w:ind w:left="580" w:right="460" w:hanging="575"/>
        <w:spacing w:after="0" w:line="252" w:lineRule="auto"/>
        <w:tabs>
          <w:tab w:leader="none" w:pos="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8"/>
          <w:szCs w:val="18"/>
          <w:color w:val="auto"/>
        </w:rPr>
      </w:pPr>
    </w:p>
    <w:p>
      <w:pPr>
        <w:ind w:left="580" w:right="440" w:hanging="575"/>
        <w:spacing w:after="0" w:line="324" w:lineRule="auto"/>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6"/>
          <w:szCs w:val="16"/>
          <w:color w:val="auto"/>
        </w:rPr>
      </w:pPr>
    </w:p>
    <w:p>
      <w:pPr>
        <w:ind w:left="580" w:right="60" w:hanging="575"/>
        <w:spacing w:after="0" w:line="252" w:lineRule="auto"/>
        <w:tabs>
          <w:tab w:leader="none" w:pos="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Arial" w:cs="Arial" w:eastAsia="Arial" w:hAnsi="Arial"/>
          <w:sz w:val="18"/>
          <w:szCs w:val="18"/>
          <w:color w:val="auto"/>
        </w:rPr>
      </w:pPr>
    </w:p>
    <w:p>
      <w:pPr>
        <w:ind w:left="1160" w:right="140" w:hanging="577"/>
        <w:spacing w:after="0" w:line="252" w:lineRule="auto"/>
        <w:tabs>
          <w:tab w:leader="none" w:pos="11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8"/>
          <w:szCs w:val="18"/>
          <w:color w:val="auto"/>
        </w:rPr>
      </w:pPr>
    </w:p>
    <w:p>
      <w:pPr>
        <w:ind w:left="1160" w:right="440" w:hanging="577"/>
        <w:spacing w:after="0" w:line="252" w:lineRule="auto"/>
        <w:tabs>
          <w:tab w:leader="none" w:pos="11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8"/>
          <w:szCs w:val="18"/>
          <w:color w:val="auto"/>
        </w:rPr>
      </w:pPr>
    </w:p>
    <w:p>
      <w:pPr>
        <w:jc w:val="both"/>
        <w:ind w:left="1160" w:right="620" w:hanging="577"/>
        <w:spacing w:after="0" w:line="361" w:lineRule="auto"/>
        <w:tabs>
          <w:tab w:leader="none" w:pos="116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160" w:right="140" w:hanging="577"/>
        <w:spacing w:after="0" w:line="252" w:lineRule="auto"/>
        <w:tabs>
          <w:tab w:leader="none" w:pos="11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8"/>
          <w:szCs w:val="18"/>
          <w:color w:val="auto"/>
        </w:rPr>
      </w:pPr>
    </w:p>
    <w:p>
      <w:pPr>
        <w:ind w:left="580" w:right="180" w:hanging="575"/>
        <w:spacing w:after="0" w:line="324" w:lineRule="auto"/>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6"/>
          <w:szCs w:val="16"/>
          <w:color w:val="auto"/>
        </w:rPr>
      </w:pPr>
    </w:p>
    <w:p>
      <w:pPr>
        <w:ind w:left="1160" w:right="40" w:hanging="577"/>
        <w:spacing w:after="0" w:line="324" w:lineRule="auto"/>
        <w:tabs>
          <w:tab w:leader="none" w:pos="116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1160" w:hanging="577"/>
        <w:spacing w:after="0" w:line="261" w:lineRule="auto"/>
        <w:tabs>
          <w:tab w:leader="none" w:pos="11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Andrew C. Wiechmann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10160</wp:posOffset>
            </wp:positionV>
            <wp:extent cx="35636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40">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Andrew C. Wiechmann</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and Treasurer</w:t>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41"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jc w:val="both"/>
        <w:ind w:right="140" w:firstLine="589"/>
        <w:spacing w:after="0" w:line="252" w:lineRule="auto"/>
        <w:rPr>
          <w:sz w:val="20"/>
          <w:szCs w:val="20"/>
          <w:color w:val="auto"/>
        </w:rPr>
      </w:pPr>
      <w:r>
        <w:rPr>
          <w:rFonts w:ascii="Arial" w:cs="Arial" w:eastAsia="Arial" w:hAnsi="Arial"/>
          <w:sz w:val="18"/>
          <w:szCs w:val="18"/>
          <w:color w:val="auto"/>
        </w:rPr>
        <w:t>In accordance with 18 U.S.C. 1350, as adopted pursuant to Section 906 of the Sarbanes-Oxley Act of 2002, Henry A. Fernandez, Chairman and Chief Executive Officer of MSCI Inc. (the “Registrant”) and Andrew C. Wiechmann, Chief Financial Officer of the Registrant, each hereby certifies that, to the best of his/her knowledge:</w:t>
      </w:r>
    </w:p>
    <w:p>
      <w:pPr>
        <w:spacing w:after="0" w:line="84" w:lineRule="exact"/>
        <w:rPr>
          <w:sz w:val="20"/>
          <w:szCs w:val="20"/>
          <w:color w:val="auto"/>
        </w:rPr>
      </w:pPr>
    </w:p>
    <w:p>
      <w:pPr>
        <w:ind w:left="1160" w:right="160" w:hanging="577"/>
        <w:spacing w:after="0" w:line="252" w:lineRule="auto"/>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period ended December 31, 2021 (the “Periodic Report”), to which this Certification is attached as Exhibit 32.1, fully complies with the requirements of Section 13(a) or Section 15(d) of the Securities Exchange Act of 1934, as amended; and</w:t>
      </w:r>
    </w:p>
    <w:p>
      <w:pPr>
        <w:spacing w:after="0" w:line="84" w:lineRule="exact"/>
        <w:rPr>
          <w:rFonts w:ascii="Arial" w:cs="Arial" w:eastAsia="Arial" w:hAnsi="Arial"/>
          <w:sz w:val="18"/>
          <w:szCs w:val="18"/>
          <w:color w:val="auto"/>
        </w:rPr>
      </w:pPr>
    </w:p>
    <w:p>
      <w:pPr>
        <w:ind w:left="1160" w:right="120" w:hanging="577"/>
        <w:spacing w:after="0" w:line="324" w:lineRule="auto"/>
        <w:tabs>
          <w:tab w:leader="none" w:pos="11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of the Registrant at the end of the period covered by the Periodic Report and results of operations of the Registrant for the periods covered by the Periodic Report.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Date: February 11, 2022</w:t>
            </w:r>
          </w:p>
        </w:tc>
        <w:tc>
          <w:tcPr>
            <w:tcW w:w="5500" w:type="dxa"/>
            <w:vAlign w:val="bottom"/>
          </w:tcPr>
          <w:p>
            <w:pPr>
              <w:spacing w:after="0"/>
              <w:rPr>
                <w:sz w:val="19"/>
                <w:szCs w:val="19"/>
                <w:color w:val="auto"/>
              </w:rPr>
            </w:pPr>
          </w:p>
        </w:tc>
      </w:tr>
      <w:tr>
        <w:trPr>
          <w:trHeight w:val="44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A. Fernandez</w:t>
            </w:r>
          </w:p>
        </w:tc>
        <w:tc>
          <w:tcPr>
            <w:tcW w:w="10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C. Wiechmann</w:t>
            </w: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Henry A. Fernandez</w:t>
            </w:r>
          </w:p>
        </w:tc>
        <w:tc>
          <w:tcPr>
            <w:tcW w:w="5500" w:type="dxa"/>
            <w:vAlign w:val="bottom"/>
          </w:tcPr>
          <w:p>
            <w:pPr>
              <w:spacing w:after="0"/>
              <w:rPr>
                <w:sz w:val="20"/>
                <w:szCs w:val="20"/>
                <w:color w:val="auto"/>
              </w:rPr>
            </w:pPr>
            <w:r>
              <w:rPr>
                <w:rFonts w:ascii="Arial" w:cs="Arial" w:eastAsia="Arial" w:hAnsi="Arial"/>
                <w:sz w:val="18"/>
                <w:szCs w:val="18"/>
                <w:color w:val="auto"/>
              </w:rPr>
              <w:t>Andrew C. Wiechmann</w:t>
            </w: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55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55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1"/>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2"/>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3"/>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4"/>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5"/>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1)"/>
      <w:numFmt w:val="decimal"/>
      <w:start w:val="1"/>
    </w:lvl>
  </w:abstractNum>
  <w:abstractNum w:abstractNumId="27">
    <w:nsid w:val="CC1016F"/>
    <w:multiLevelType w:val="hybridMultilevel"/>
    <w:lvl w:ilvl="0">
      <w:lvlJc w:val="left"/>
      <w:lvlText w:val="(%1)"/>
      <w:numFmt w:val="decimal"/>
      <w:start w:val="1"/>
    </w:lvl>
  </w:abstractNum>
  <w:abstractNum w:abstractNumId="28">
    <w:nsid w:val="43F18422"/>
    <w:multiLevelType w:val="hybridMultilevel"/>
    <w:lvl w:ilvl="0">
      <w:lvlJc w:val="left"/>
      <w:lvlText w:val="(%1)"/>
      <w:numFmt w:val="decimal"/>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1)"/>
      <w:numFmt w:val="decimal"/>
      <w:start w:val="1"/>
    </w:lvl>
  </w:abstractNum>
  <w:abstractNum w:abstractNumId="31">
    <w:nsid w:val="7F01579B"/>
    <w:multiLevelType w:val="hybridMultilevel"/>
    <w:lvl w:ilvl="0">
      <w:lvlJc w:val="left"/>
      <w:lvlText w:val="(%1)"/>
      <w:numFmt w:val="decimal"/>
      <w:start w:val="1"/>
    </w:lvl>
  </w:abstractNum>
  <w:abstractNum w:abstractNumId="32">
    <w:nsid w:val="49DA307D"/>
    <w:multiLevelType w:val="hybridMultilevel"/>
    <w:lvl w:ilvl="0">
      <w:lvlJc w:val="left"/>
      <w:lvlText w:val="(%1)"/>
      <w:numFmt w:val="decimal"/>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1)"/>
      <w:numFmt w:val="decimal"/>
      <w:start w:val="1"/>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1)"/>
      <w:numFmt w:val="decimal"/>
      <w:start w:val="1"/>
    </w:lvl>
  </w:abstractNum>
  <w:abstractNum w:abstractNumId="38">
    <w:nsid w:val="6AA78F7F"/>
    <w:multiLevelType w:val="hybridMultilevel"/>
    <w:lvl w:ilvl="0">
      <w:lvlJc w:val="left"/>
      <w:lvlText w:val="%1."/>
      <w:numFmt w:val="decimal"/>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1)"/>
      <w:numFmt w:val="decimal"/>
      <w:start w:val="1"/>
    </w:lvl>
  </w:abstractNum>
  <w:abstractNum w:abstractNumId="46">
    <w:nsid w:val="555C55B5"/>
    <w:multiLevelType w:val="hybridMultilevel"/>
    <w:lvl w:ilvl="0">
      <w:lvlJc w:val="left"/>
      <w:lvlText w:val="%1."/>
      <w:numFmt w:val="decimal"/>
      <w:start w:val="9"/>
    </w:lvl>
  </w:abstractNum>
  <w:abstractNum w:abstractNumId="47">
    <w:nsid w:val="3FA62ACA"/>
    <w:multiLevelType w:val="hybridMultilevel"/>
    <w:lvl w:ilvl="0">
      <w:lvlJc w:val="left"/>
      <w:lvlText w:val="(%1)"/>
      <w:numFmt w:val="decimal"/>
      <w:start w:val="1"/>
    </w:lvl>
  </w:abstractNum>
  <w:abstractNum w:abstractNumId="48">
    <w:nsid w:val="14FCE74E"/>
    <w:multiLevelType w:val="hybridMultilevel"/>
    <w:lvl w:ilvl="0">
      <w:lvlJc w:val="left"/>
      <w:lvlText w:val="(%1)"/>
      <w:numFmt w:val="decimal"/>
      <w:start w:val="1"/>
    </w:lvl>
  </w:abstractNum>
  <w:abstractNum w:abstractNumId="49">
    <w:nsid w:val="6A3DD3E8"/>
    <w:multiLevelType w:val="hybridMultilevel"/>
    <w:lvl w:ilvl="0">
      <w:lvlJc w:val="left"/>
      <w:lvlText w:val="(%1)"/>
      <w:numFmt w:val="decimal"/>
      <w:start w:val="1"/>
    </w:lvl>
  </w:abstractNum>
  <w:abstractNum w:abstractNumId="50">
    <w:nsid w:val="71C91298"/>
    <w:multiLevelType w:val="hybridMultilevel"/>
    <w:lvl w:ilvl="0">
      <w:lvlJc w:val="left"/>
      <w:lvlText w:val="(%1)"/>
      <w:numFmt w:val="decimal"/>
      <w:start w:val="1"/>
    </w:lvl>
  </w:abstractNum>
  <w:abstractNum w:abstractNumId="51">
    <w:nsid w:val="9DAF632"/>
    <w:multiLevelType w:val="hybridMultilevel"/>
    <w:lvl w:ilvl="0">
      <w:lvlJc w:val="left"/>
      <w:lvlText w:val="(%1)"/>
      <w:numFmt w:val="decimal"/>
      <w:start w:val="1"/>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1)"/>
      <w:numFmt w:val="decimal"/>
      <w:start w:val="1"/>
    </w:lvl>
  </w:abstractNum>
  <w:abstractNum w:abstractNumId="54">
    <w:nsid w:val="5092CA79"/>
    <w:multiLevelType w:val="hybridMultilevel"/>
    <w:lvl w:ilvl="0">
      <w:lvlJc w:val="left"/>
      <w:lvlText w:val="*"/>
      <w:numFmt w:val="bullet"/>
      <w:start w:val="1"/>
    </w:lvl>
  </w:abstractNum>
  <w:abstractNum w:abstractNumId="55">
    <w:nsid w:val="1D545C4D"/>
    <w:multiLevelType w:val="hybridMultilevel"/>
    <w:lvl w:ilvl="0">
      <w:lvlJc w:val="left"/>
      <w:lvlText w:val="#"/>
      <w:numFmt w:val="bullet"/>
      <w:start w:val="1"/>
    </w:lvl>
  </w:abstractNum>
  <w:abstractNum w:abstractNumId="56">
    <w:nsid w:val="59ADEA3D"/>
    <w:multiLevelType w:val="hybridMultilevel"/>
    <w:lvl w:ilvl="0">
      <w:lvlJc w:val="left"/>
      <w:lvlText w:val="%1."/>
      <w:numFmt w:val="lowerRoman"/>
      <w:start w:val="1"/>
    </w:lvl>
  </w:abstractNum>
  <w:abstractNum w:abstractNumId="57">
    <w:nsid w:val="288F1A34"/>
    <w:multiLevelType w:val="hybridMultilevel"/>
    <w:lvl w:ilvl="0">
      <w:lvlJc w:val="left"/>
      <w:lvlText w:val="(%1)"/>
      <w:numFmt w:val="decimal"/>
      <w:start w:val="1"/>
    </w:lvl>
  </w:abstractNum>
  <w:abstractNum w:abstractNumId="58">
    <w:nsid w:val="2A155DBC"/>
    <w:multiLevelType w:val="hybridMultilevel"/>
    <w:lvl w:ilvl="0">
      <w:lvlJc w:val="left"/>
      <w:lvlText w:val="%1."/>
      <w:numFmt w:val="decimal"/>
      <w:start w:val="1"/>
    </w:lvl>
  </w:abstractNum>
  <w:abstractNum w:abstractNumId="59">
    <w:nsid w:val="1D9F6E5F"/>
    <w:multiLevelType w:val="hybridMultilevel"/>
    <w:lvl w:ilvl="0">
      <w:lvlJc w:val="left"/>
      <w:lvlText w:val="%1."/>
      <w:numFmt w:val="decimal"/>
      <w:start w:val="2"/>
    </w:lvl>
    <w:lvl w:ilvl="1">
      <w:lvlJc w:val="left"/>
      <w:lvlText w:val="%2."/>
      <w:numFmt w:val="upperLetter"/>
      <w:start w:val="1"/>
    </w:lvl>
  </w:abstractNum>
  <w:abstractNum w:abstractNumId="60">
    <w:nsid w:val="97E1B4E"/>
    <w:multiLevelType w:val="hybridMultilevel"/>
    <w:lvl w:ilvl="0">
      <w:lvlJc w:val="left"/>
      <w:lvlText w:val="%1"/>
      <w:numFmt w:val="decimal"/>
      <w:start w:val="1"/>
    </w:lvl>
    <w:lvl w:ilvl="1">
      <w:lvlJc w:val="left"/>
      <w:lvlText w:val="%2."/>
      <w:numFmt w:val="upperLetter"/>
      <w:start w:val="3"/>
    </w:lvl>
  </w:abstractNum>
  <w:abstractNum w:abstractNumId="61">
    <w:nsid w:val="51088277"/>
    <w:multiLevelType w:val="hybridMultilevel"/>
    <w:lvl w:ilvl="0">
      <w:lvlJc w:val="left"/>
      <w:lvlText w:val="%1."/>
      <w:numFmt w:val="decimal"/>
      <w:start w:val="4"/>
    </w:lvl>
    <w:lvl w:ilvl="1">
      <w:lvlJc w:val="left"/>
      <w:lvlText w:val="%2"/>
      <w:numFmt w:val="upperLetter"/>
      <w:start w:val="1"/>
    </w:lvl>
  </w:abstractNum>
  <w:abstractNum w:abstractNumId="62">
    <w:nsid w:val="1CA0C5FA"/>
    <w:multiLevelType w:val="hybridMultilevel"/>
    <w:lvl w:ilvl="0">
      <w:lvlJc w:val="left"/>
      <w:lvlText w:val="%1."/>
      <w:numFmt w:val="decimal"/>
      <w:start w:val="8"/>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lowerLetter"/>
      <w:start w:val="1"/>
    </w:lvl>
    <w:lvl w:ilvl="1">
      <w:lvlJc w:val="left"/>
      <w:lvlText w:val="(%2)"/>
      <w:numFmt w:val="lowerLetter"/>
      <w:start w:val="9"/>
    </w:lvl>
  </w:abstractNum>
  <w:abstractNum w:abstractNumId="65">
    <w:nsid w:val="7C58FD05"/>
    <w:multiLevelType w:val="hybridMultilevel"/>
    <w:lvl w:ilvl="0">
      <w:lvlJc w:val="left"/>
      <w:lvlText w:val="(%1)"/>
      <w:numFmt w:val="lowerRoman"/>
      <w:start w:val="2"/>
    </w:lvl>
  </w:abstractNum>
  <w:abstractNum w:abstractNumId="66">
    <w:nsid w:val="23D86AAC"/>
    <w:multiLevelType w:val="hybridMultilevel"/>
    <w:lvl w:ilvl="0">
      <w:lvlJc w:val="left"/>
      <w:lvlText w:val="(%1)"/>
      <w:numFmt w:val="lowerLetter"/>
      <w:start w:val="5"/>
    </w:lvl>
    <w:lvl w:ilvl="1">
      <w:lvlJc w:val="left"/>
      <w:lvlText w:val="(%2)"/>
      <w:numFmt w:val="lowerRoman"/>
      <w:start w:val="1"/>
    </w:lvl>
  </w:abstractNum>
  <w:abstractNum w:abstractNumId="67">
    <w:nsid w:val="45E6D486"/>
    <w:multiLevelType w:val="hybridMultilevel"/>
    <w:lvl w:ilvl="0">
      <w:lvlJc w:val="left"/>
      <w:lvlText w:val="(%1)"/>
      <w:numFmt w:val="lowerLetter"/>
      <w:start w:val="6"/>
    </w:lvl>
  </w:abstractNum>
  <w:abstractNum w:abstractNumId="68">
    <w:nsid w:val="5C10FE21"/>
    <w:multiLevelType w:val="hybridMultilevel"/>
    <w:lvl w:ilvl="0">
      <w:lvlJc w:val="left"/>
      <w:lvlText w:val="(%1)"/>
      <w:numFmt w:val="lowerLetter"/>
      <w:start w:val="1"/>
    </w:lvl>
  </w:abstractNum>
  <w:abstractNum w:abstractNumId="69">
    <w:nsid w:val="E7FFA2B"/>
    <w:multiLevelType w:val="hybridMultilevel"/>
    <w:lvl w:ilvl="0">
      <w:lvlJc w:val="left"/>
      <w:lvlText w:val="(%1)"/>
      <w:numFmt w:val="lowerLetter"/>
      <w:start w:val="1"/>
    </w:lvl>
  </w:abstractNum>
  <w:abstractNum w:abstractNumId="70">
    <w:nsid w:val="3C5991AA"/>
    <w:multiLevelType w:val="hybridMultilevel"/>
    <w:lvl w:ilvl="0">
      <w:lvlJc w:val="left"/>
      <w:lvlText w:val="(%1)"/>
      <w:numFmt w:val="lowerLetter"/>
      <w:start w:val="2"/>
    </w:lvl>
  </w:abstractNum>
  <w:abstractNum w:abstractNumId="71">
    <w:nsid w:val="4BD8591A"/>
    <w:multiLevelType w:val="hybridMultilevel"/>
    <w:lvl w:ilvl="0">
      <w:lvlJc w:val="left"/>
      <w:lvlText w:val="(%1)"/>
      <w:numFmt w:val="lowerLetter"/>
      <w:start w:val="1"/>
    </w:lvl>
  </w:abstractNum>
  <w:abstractNum w:abstractNumId="72">
    <w:nsid w:val="78DF6A55"/>
    <w:multiLevelType w:val="hybridMultilevel"/>
    <w:lvl w:ilvl="0">
      <w:lvlJc w:val="left"/>
      <w:lvlText w:val="(%1)"/>
      <w:numFmt w:val="lowerLetter"/>
      <w:start w:val="1"/>
    </w:lvl>
    <w:lvl w:ilvl="1">
      <w:lvlJc w:val="left"/>
      <w:lvlText w:val="(%2)"/>
      <w:numFmt w:val="lowerRoman"/>
      <w:start w:val="1"/>
    </w:lvl>
  </w:abstractNum>
  <w:abstractNum w:abstractNumId="73">
    <w:nsid w:val="39B7AAA2"/>
    <w:multiLevelType w:val="hybridMultilevel"/>
    <w:lvl w:ilvl="0">
      <w:lvlJc w:val="left"/>
      <w:lvlText w:val="(%1)"/>
      <w:numFmt w:val="lowerLetter"/>
      <w:start w:val="1"/>
    </w:lvl>
  </w:abstractNum>
  <w:abstractNum w:abstractNumId="74">
    <w:nsid w:val="2B0D8DBE"/>
    <w:multiLevelType w:val="hybridMultilevel"/>
    <w:lvl w:ilvl="0">
      <w:lvlJc w:val="left"/>
      <w:lvlText w:val="(%1)"/>
      <w:numFmt w:val="lowerLetter"/>
      <w:start w:val="3"/>
    </w:lvl>
    <w:lvl w:ilvl="1">
      <w:lvlJc w:val="left"/>
      <w:lvlText w:val="(%2)"/>
      <w:numFmt w:val="lowerRoman"/>
      <w:start w:val="1"/>
    </w:lvl>
  </w:abstractNum>
  <w:abstractNum w:abstractNumId="75">
    <w:nsid w:val="6C80EC70"/>
    <w:multiLevelType w:val="hybridMultilevel"/>
    <w:lvl w:ilvl="0">
      <w:lvlJc w:val="left"/>
      <w:lvlText w:val="%1"/>
      <w:numFmt w:val="lowerLetter"/>
      <w:start w:val="1"/>
    </w:lvl>
    <w:lvl w:ilvl="1">
      <w:lvlJc w:val="left"/>
      <w:lvlText w:val="(%2)"/>
      <w:numFmt w:val="lowerRoman"/>
      <w:start w:val="9"/>
    </w:lvl>
  </w:abstractNum>
  <w:abstractNum w:abstractNumId="76">
    <w:nsid w:val="379E21B5"/>
    <w:multiLevelType w:val="hybridMultilevel"/>
    <w:lvl w:ilvl="0">
      <w:lvlJc w:val="left"/>
      <w:lvlText w:val="(%1)"/>
      <w:numFmt w:val="lowerLetter"/>
      <w:start w:val="4"/>
    </w:lvl>
    <w:lvl w:ilvl="1">
      <w:lvlJc w:val="left"/>
      <w:lvlText w:val="%2"/>
      <w:numFmt w:val="lowerRoman"/>
      <w:start w:val="1"/>
    </w:lvl>
  </w:abstractNum>
  <w:abstractNum w:abstractNumId="77">
    <w:nsid w:val="69E373"/>
    <w:multiLevelType w:val="hybridMultilevel"/>
    <w:lvl w:ilvl="0">
      <w:lvlJc w:val="left"/>
      <w:lvlText w:val="%1"/>
      <w:numFmt w:val="lowerLetter"/>
      <w:start w:val="1"/>
    </w:lvl>
    <w:lvl w:ilvl="1">
      <w:lvlJc w:val="left"/>
      <w:lvlText w:val="(%2)"/>
      <w:numFmt w:val="lowerRoman"/>
      <w:start w:val="1"/>
    </w:lvl>
  </w:abstractNum>
  <w:abstractNum w:abstractNumId="78">
    <w:nsid w:val="2C27173B"/>
    <w:multiLevelType w:val="hybridMultilevel"/>
    <w:lvl w:ilvl="0">
      <w:lvlJc w:val="left"/>
      <w:lvlText w:val="(%1)"/>
      <w:numFmt w:val="lowerLetter"/>
      <w:start w:val="6"/>
    </w:lvl>
    <w:lvl w:ilvl="1">
      <w:lvlJc w:val="left"/>
      <w:lvlText w:val="%2"/>
      <w:numFmt w:val="lowerRoman"/>
      <w:start w:val="1"/>
    </w:lvl>
  </w:abstractNum>
  <w:abstractNum w:abstractNumId="79">
    <w:nsid w:val="4C9B0904"/>
    <w:multiLevelType w:val="hybridMultilevel"/>
    <w:lvl w:ilvl="0">
      <w:lvlJc w:val="left"/>
      <w:lvlText w:val="(%1)"/>
      <w:numFmt w:val="lowerLetter"/>
      <w:start w:val="9"/>
    </w:lvl>
  </w:abstractNum>
  <w:abstractNum w:abstractNumId="80">
    <w:nsid w:val="6AA7B75C"/>
    <w:multiLevelType w:val="hybridMultilevel"/>
    <w:lvl w:ilvl="0">
      <w:lvlJc w:val="left"/>
      <w:lvlText w:val="(%1)"/>
      <w:numFmt w:val="lowerLetter"/>
      <w:start w:val="1"/>
    </w:lvl>
    <w:lvl w:ilvl="1">
      <w:lvlJc w:val="left"/>
      <w:lvlText w:val="(%2)"/>
      <w:numFmt w:val="lowerRoman"/>
      <w:start w:val="1"/>
    </w:lvl>
  </w:abstractNum>
  <w:abstractNum w:abstractNumId="81">
    <w:nsid w:val="1DF029D3"/>
    <w:multiLevelType w:val="hybridMultilevel"/>
    <w:lvl w:ilvl="0">
      <w:lvlJc w:val="left"/>
      <w:lvlText w:val="(%1)"/>
      <w:numFmt w:val="lowerLetter"/>
      <w:start w:val="1"/>
    </w:lvl>
  </w:abstractNum>
  <w:abstractNum w:abstractNumId="82">
    <w:nsid w:val="5675FF36"/>
    <w:multiLevelType w:val="hybridMultilevel"/>
    <w:lvl w:ilvl="0">
      <w:lvlJc w:val="left"/>
      <w:lvlText w:val="(%1)"/>
      <w:numFmt w:val="lowerLetter"/>
      <w:start w:val="4"/>
    </w:lvl>
  </w:abstractNum>
  <w:abstractNum w:abstractNumId="83">
    <w:nsid w:val="3DD15094"/>
    <w:multiLevelType w:val="hybridMultilevel"/>
    <w:lvl w:ilvl="0">
      <w:lvlJc w:val="left"/>
      <w:lvlText w:val="(%1)"/>
      <w:numFmt w:val="lowerLetter"/>
      <w:start w:val="4"/>
    </w:lvl>
  </w:abstractNum>
  <w:abstractNum w:abstractNumId="84">
    <w:nsid w:val="3DB012B3"/>
    <w:multiLevelType w:val="hybridMultilevel"/>
    <w:lvl w:ilvl="0">
      <w:lvlJc w:val="left"/>
      <w:lvlText w:val="(%1)"/>
      <w:numFmt w:val="lowerLetter"/>
      <w:start w:val="1"/>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2"/>
    </w:lvl>
  </w:abstractNum>
  <w:abstractNum w:abstractNumId="87">
    <w:nsid w:val="175DFCF0"/>
    <w:multiLevelType w:val="hybridMultilevel"/>
    <w:lvl w:ilvl="0">
      <w:lvlJc w:val="left"/>
      <w:lvlText w:val="(%1)"/>
      <w:numFmt w:val="lowerLetter"/>
      <w:start w:val="5"/>
    </w:lvl>
  </w:abstractNum>
  <w:abstractNum w:abstractNumId="88">
    <w:nsid w:val="4F97E3E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89">
    <w:nsid w:val="53B0A9E"/>
    <w:multiLevelType w:val="hybridMultilevel"/>
    <w:lvl w:ilvl="0">
      <w:lvlJc w:val="left"/>
      <w:lvlText w:val="(%1)"/>
      <w:numFmt w:val="lowerLetter"/>
      <w:start w:val="3"/>
    </w:lvl>
    <w:lvl w:ilvl="1">
      <w:lvlJc w:val="left"/>
      <w:lvlText w:val="(%2)"/>
      <w:numFmt w:val="lowerRoman"/>
      <w:start w:val="1"/>
    </w:lvl>
  </w:abstractNum>
  <w:abstractNum w:abstractNumId="90">
    <w:nsid w:val="34FD6B4F"/>
    <w:multiLevelType w:val="hybridMultilevel"/>
    <w:lvl w:ilvl="0">
      <w:lvlJc w:val="left"/>
      <w:lvlText w:val="(%1)"/>
      <w:numFmt w:val="lowerLetter"/>
      <w:start w:val="4"/>
    </w:lvl>
    <w:lvl w:ilvl="1">
      <w:lvlJc w:val="left"/>
      <w:lvlText w:val="(%2)"/>
      <w:numFmt w:val="lowerRoman"/>
      <w:start w:val="1"/>
    </w:lvl>
  </w:abstractNum>
  <w:abstractNum w:abstractNumId="91">
    <w:nsid w:val="5915FF32"/>
    <w:multiLevelType w:val="hybridMultilevel"/>
    <w:lvl w:ilvl="0">
      <w:lvlJc w:val="left"/>
      <w:lvlText w:val="(%1)"/>
      <w:numFmt w:val="lowerLetter"/>
      <w:start w:val="5"/>
    </w:lvl>
  </w:abstractNum>
  <w:abstractNum w:abstractNumId="92">
    <w:nsid w:val="56438D15"/>
    <w:multiLevelType w:val="hybridMultilevel"/>
    <w:lvl w:ilvl="0">
      <w:lvlJc w:val="left"/>
      <w:lvlText w:val="(%1)"/>
      <w:numFmt w:val="lowerLetter"/>
      <w:start w:val="1"/>
    </w:lvl>
  </w:abstractNum>
  <w:abstractNum w:abstractNumId="93">
    <w:nsid w:val="519E3149"/>
    <w:multiLevelType w:val="hybridMultilevel"/>
    <w:lvl w:ilvl="0">
      <w:lvlJc w:val="left"/>
      <w:lvlText w:val="(%1)"/>
      <w:numFmt w:val="lowerLetter"/>
      <w:start w:val="1"/>
    </w:lvl>
  </w:abstractNum>
  <w:abstractNum w:abstractNumId="94">
    <w:nsid w:val="2C6E4AFD"/>
    <w:multiLevelType w:val="hybridMultilevel"/>
    <w:lvl w:ilvl="0">
      <w:lvlJc w:val="left"/>
      <w:lvlText w:val="(%1)"/>
      <w:numFmt w:val="lowerLetter"/>
      <w:start w:val="3"/>
    </w:lvl>
  </w:abstractNum>
  <w:abstractNum w:abstractNumId="95">
    <w:nsid w:val="17A1B582"/>
    <w:multiLevelType w:val="hybridMultilevel"/>
    <w:lvl w:ilvl="0">
      <w:lvlJc w:val="left"/>
      <w:lvlText w:val="(%1)"/>
      <w:numFmt w:val="lowerLetter"/>
      <w:start w:val="1"/>
    </w:lvl>
    <w:lvl w:ilvl="1">
      <w:lvlJc w:val="left"/>
      <w:lvlText w:val="(%2)"/>
      <w:numFmt w:val="lowerRoman"/>
      <w:start w:val="1"/>
    </w:lvl>
  </w:abstractNum>
  <w:abstractNum w:abstractNumId="96">
    <w:nsid w:val="4DF72E4E"/>
    <w:multiLevelType w:val="hybridMultilevel"/>
    <w:lvl w:ilvl="0">
      <w:lvlJc w:val="left"/>
      <w:lvlText w:val="(%1)"/>
      <w:numFmt w:val="lowerRoman"/>
      <w:start w:val="3"/>
    </w:lvl>
  </w:abstractNum>
  <w:abstractNum w:abstractNumId="97">
    <w:nsid w:val="5046B5A9"/>
    <w:multiLevelType w:val="hybridMultilevel"/>
    <w:lvl w:ilvl="0">
      <w:lvlJc w:val="left"/>
      <w:lvlText w:val="(%1)"/>
      <w:numFmt w:val="lowerLetter"/>
      <w:start w:val="1"/>
    </w:lvl>
  </w:abstractNum>
  <w:abstractNum w:abstractNumId="98">
    <w:nsid w:val="5D888A08"/>
    <w:multiLevelType w:val="hybridMultilevel"/>
    <w:lvl w:ilvl="0">
      <w:lvlJc w:val="left"/>
      <w:lvlText w:val="(%1)"/>
      <w:numFmt w:val="lowerLetter"/>
      <w:start w:val="2"/>
    </w:lvl>
    <w:lvl w:ilvl="1">
      <w:lvlJc w:val="left"/>
      <w:lvlText w:val="(%2)"/>
      <w:numFmt w:val="lowerRoman"/>
      <w:start w:val="1"/>
    </w:lvl>
  </w:abstractNum>
  <w:abstractNum w:abstractNumId="99">
    <w:nsid w:val="2A082C70"/>
    <w:multiLevelType w:val="hybridMultilevel"/>
    <w:lvl w:ilvl="0">
      <w:lvlJc w:val="left"/>
      <w:lvlText w:val="%1"/>
      <w:numFmt w:val="lowerLetter"/>
      <w:start w:val="1"/>
    </w:lvl>
    <w:lvl w:ilvl="1">
      <w:lvlJc w:val="left"/>
      <w:lvlText w:val="(%2)"/>
      <w:numFmt w:val="lowerRoman"/>
      <w:start w:val="8"/>
    </w:lvl>
  </w:abstractNum>
  <w:abstractNum w:abstractNumId="100">
    <w:nsid w:val="5EC6AFD4"/>
    <w:multiLevelType w:val="hybridMultilevel"/>
    <w:lvl w:ilvl="0">
      <w:lvlJc w:val="left"/>
      <w:lvlText w:val="(%1)"/>
      <w:numFmt w:val="lowerLetter"/>
      <w:start w:val="3"/>
    </w:lvl>
    <w:lvl w:ilvl="1">
      <w:lvlJc w:val="left"/>
      <w:lvlText w:val="%2"/>
      <w:numFmt w:val="lowerRoman"/>
      <w:start w:val="1"/>
    </w:lvl>
  </w:abstractNum>
  <w:abstractNum w:abstractNumId="101">
    <w:nsid w:val="19E21BB2"/>
    <w:multiLevelType w:val="hybridMultilevel"/>
    <w:lvl w:ilvl="0">
      <w:lvlJc w:val="left"/>
      <w:lvlText w:val="%1"/>
      <w:numFmt w:val="lowerLetter"/>
      <w:start w:val="1"/>
    </w:lvl>
    <w:lvl w:ilvl="1">
      <w:lvlJc w:val="left"/>
      <w:lvlText w:val="(%2)"/>
      <w:numFmt w:val="lowerRoman"/>
      <w:start w:val="1"/>
    </w:lvl>
  </w:abstractNum>
  <w:abstractNum w:abstractNumId="102">
    <w:nsid w:val="75E0858A"/>
    <w:multiLevelType w:val="hybridMultilevel"/>
    <w:lvl w:ilvl="0">
      <w:lvlJc w:val="left"/>
      <w:lvlText w:val="(%1)"/>
      <w:numFmt w:val="lowerLetter"/>
      <w:start w:val="5"/>
    </w:lvl>
    <w:lvl w:ilvl="1">
      <w:lvlJc w:val="left"/>
      <w:lvlText w:val="%2"/>
      <w:numFmt w:val="lowerRoman"/>
      <w:start w:val="1"/>
    </w:lvl>
  </w:abstractNum>
  <w:abstractNum w:abstractNumId="103">
    <w:nsid w:val="57A61A29"/>
    <w:multiLevelType w:val="hybridMultilevel"/>
    <w:lvl w:ilvl="0">
      <w:lvlJc w:val="left"/>
      <w:lvlText w:val="(%1)"/>
      <w:numFmt w:val="lowerLetter"/>
      <w:start w:val="7"/>
    </w:lvl>
  </w:abstractNum>
  <w:abstractNum w:abstractNumId="104">
    <w:nsid w:val="5399C654"/>
    <w:multiLevelType w:val="hybridMultilevel"/>
    <w:lvl w:ilvl="0">
      <w:lvlJc w:val="left"/>
      <w:lvlText w:val="(%1)"/>
      <w:numFmt w:val="lowerLetter"/>
      <w:start w:val="1"/>
    </w:lvl>
  </w:abstractNum>
  <w:abstractNum w:abstractNumId="105">
    <w:nsid w:val="20EE1348"/>
    <w:multiLevelType w:val="hybridMultilevel"/>
    <w:lvl w:ilvl="0">
      <w:lvlJc w:val="left"/>
      <w:lvlText w:val="(%1)"/>
      <w:numFmt w:val="lowerLetter"/>
      <w:start w:val="1"/>
    </w:lvl>
  </w:abstractNum>
  <w:abstractNum w:abstractNumId="106">
    <w:nsid w:val="4427069A"/>
    <w:multiLevelType w:val="hybridMultilevel"/>
    <w:lvl w:ilvl="0">
      <w:lvlJc w:val="left"/>
      <w:lvlText w:val="(%1)"/>
      <w:numFmt w:val="lowerLetter"/>
      <w:start w:val="4"/>
    </w:lvl>
  </w:abstractNum>
  <w:abstractNum w:abstractNumId="107">
    <w:nsid w:val="B37E80A"/>
    <w:multiLevelType w:val="hybridMultilevel"/>
    <w:lvl w:ilvl="0">
      <w:lvlJc w:val="left"/>
      <w:lvlText w:val="(%1)"/>
      <w:numFmt w:val="lowerLetter"/>
      <w:start w:val="5"/>
    </w:lvl>
  </w:abstractNum>
  <w:abstractNum w:abstractNumId="108">
    <w:nsid w:val="2157F6BC"/>
    <w:multiLevelType w:val="hybridMultilevel"/>
    <w:lvl w:ilvl="0">
      <w:lvlJc w:val="left"/>
      <w:lvlText w:val="(%1)"/>
      <w:numFmt w:val="lowerLetter"/>
      <w:start w:val="1"/>
    </w:lvl>
  </w:abstractNum>
  <w:abstractNum w:abstractNumId="109">
    <w:nsid w:val="704E1DD5"/>
    <w:multiLevelType w:val="hybridMultilevel"/>
    <w:lvl w:ilvl="0">
      <w:lvlJc w:val="left"/>
      <w:lvlText w:val="(%1)"/>
      <w:numFmt w:val="lowerLetter"/>
      <w:start w:val="1"/>
    </w:lvl>
  </w:abstractNum>
  <w:abstractNum w:abstractNumId="110">
    <w:nsid w:val="57D2F10E"/>
    <w:multiLevelType w:val="hybridMultilevel"/>
    <w:lvl w:ilvl="0">
      <w:lvlJc w:val="left"/>
      <w:lvlText w:val="(%1)"/>
      <w:numFmt w:val="lowerLetter"/>
      <w:start w:val="1"/>
    </w:lvl>
  </w:abstractNum>
  <w:abstractNum w:abstractNumId="111">
    <w:nsid w:val="BFFAE18"/>
    <w:multiLevelType w:val="hybridMultilevel"/>
    <w:lvl w:ilvl="0">
      <w:lvlJc w:val="left"/>
      <w:lvlText w:val="(%1)"/>
      <w:numFmt w:val="lowerLetter"/>
      <w:start w:val="2"/>
    </w:lvl>
  </w:abstractNum>
  <w:abstractNum w:abstractNumId="112">
    <w:nsid w:val="E3E47A8"/>
    <w:multiLevelType w:val="hybridMultilevel"/>
    <w:lvl w:ilvl="0">
      <w:lvlJc w:val="left"/>
      <w:lvlText w:val="(%1)"/>
      <w:numFmt w:val="lowerLetter"/>
      <w:start w:val="1"/>
    </w:lvl>
  </w:abstractNum>
  <w:abstractNum w:abstractNumId="113">
    <w:nsid w:val="2E48F044"/>
    <w:multiLevelType w:val="hybridMultilevel"/>
    <w:lvl w:ilvl="0">
      <w:lvlJc w:val="left"/>
      <w:lvlText w:val="(%1)"/>
      <w:numFmt w:val="lowerLetter"/>
      <w:start w:val="1"/>
    </w:lvl>
    <w:lvl w:ilvl="1">
      <w:lvlJc w:val="left"/>
      <w:lvlText w:val="(%2)"/>
      <w:numFmt w:val="lowerRoman"/>
      <w:start w:val="1"/>
    </w:lvl>
  </w:abstractNum>
  <w:abstractNum w:abstractNumId="114">
    <w:nsid w:val="49D0FEAC"/>
    <w:multiLevelType w:val="hybridMultilevel"/>
    <w:lvl w:ilvl="0">
      <w:lvlJc w:val="left"/>
      <w:lvlText w:val="%1"/>
      <w:numFmt w:val="upperLetter"/>
      <w:start w:val="1"/>
    </w:lvl>
    <w:lvl w:ilvl="1">
      <w:lvlJc w:val="left"/>
      <w:lvlText w:val="(%2)"/>
      <w:numFmt w:val="lowerRoman"/>
      <w:start w:val="4"/>
    </w:lvl>
  </w:abstractNum>
  <w:abstractNum w:abstractNumId="115">
    <w:nsid w:val="4BEE5A5B"/>
    <w:multiLevelType w:val="hybridMultilevel"/>
    <w:lvl w:ilvl="0">
      <w:lvlJc w:val="left"/>
      <w:lvlText w:val="(%1)"/>
      <w:numFmt w:val="upperLetter"/>
      <w:start w:val="1"/>
    </w:lvl>
    <w:lvl w:ilvl="1">
      <w:lvlJc w:val="left"/>
      <w:lvlText w:val="%2"/>
      <w:numFmt w:val="lowerRoman"/>
      <w:start w:val="1"/>
    </w:lvl>
  </w:abstractNum>
  <w:abstractNum w:abstractNumId="116">
    <w:nsid w:val="5551B9F3"/>
    <w:multiLevelType w:val="hybridMultilevel"/>
    <w:lvl w:ilvl="0">
      <w:lvlJc w:val="left"/>
      <w:lvlText w:val="(%1)"/>
      <w:numFmt w:val="lowerLetter"/>
      <w:start w:val="3"/>
    </w:lvl>
    <w:lvl w:ilvl="1">
      <w:lvlJc w:val="left"/>
      <w:lvlText w:val="(%2)"/>
      <w:numFmt w:val="lowerRoman"/>
      <w:start w:val="1"/>
    </w:lvl>
  </w:abstractNum>
  <w:abstractNum w:abstractNumId="117">
    <w:nsid w:val="24F6AB8E"/>
    <w:multiLevelType w:val="hybridMultilevel"/>
    <w:lvl w:ilvl="0">
      <w:lvlJc w:val="left"/>
      <w:lvlText w:val="(%1)"/>
      <w:numFmt w:val="lowerLetter"/>
      <w:start w:val="6"/>
    </w:lvl>
  </w:abstractNum>
  <w:abstractNum w:abstractNumId="118">
    <w:nsid w:val="634C574C"/>
    <w:multiLevelType w:val="hybridMultilevel"/>
    <w:lvl w:ilvl="0">
      <w:lvlJc w:val="left"/>
      <w:lvlText w:val="(%1)"/>
      <w:numFmt w:val="lowerLetter"/>
      <w:start w:val="1"/>
    </w:lvl>
  </w:abstractNum>
  <w:abstractNum w:abstractNumId="119">
    <w:nsid w:val="24E99DD7"/>
    <w:multiLevelType w:val="hybridMultilevel"/>
    <w:lvl w:ilvl="0">
      <w:lvlJc w:val="left"/>
      <w:lvlText w:val="(%1)"/>
      <w:numFmt w:val="lowerLetter"/>
      <w:start w:val="1"/>
    </w:lvl>
  </w:abstractNum>
  <w:abstractNum w:abstractNumId="120">
    <w:nsid w:val="2A31B62D"/>
    <w:multiLevelType w:val="hybridMultilevel"/>
    <w:lvl w:ilvl="0">
      <w:lvlJc w:val="left"/>
      <w:lvlText w:val="(%1)"/>
      <w:numFmt w:val="lowerLetter"/>
      <w:start w:val="1"/>
    </w:lvl>
  </w:abstractNum>
  <w:abstractNum w:abstractNumId="121">
    <w:nsid w:val="1849C29B"/>
    <w:multiLevelType w:val="hybridMultilevel"/>
    <w:lvl w:ilvl="0">
      <w:lvlJc w:val="left"/>
      <w:lvlText w:val="(%1)"/>
      <w:numFmt w:val="lowerLetter"/>
      <w:start w:val="2"/>
    </w:lvl>
  </w:abstractNum>
  <w:abstractNum w:abstractNumId="122">
    <w:nsid w:val="7DFF9D09"/>
    <w:multiLevelType w:val="hybridMultilevel"/>
    <w:lvl w:ilvl="0">
      <w:lvlJc w:val="left"/>
      <w:lvlText w:val="(%1)"/>
      <w:numFmt w:val="lowerLetter"/>
      <w:start w:val="1"/>
    </w:lvl>
  </w:abstractNum>
  <w:abstractNum w:abstractNumId="123">
    <w:nsid w:val="754342"/>
    <w:multiLevelType w:val="hybridMultilevel"/>
    <w:lvl w:ilvl="0">
      <w:lvlJc w:val="left"/>
      <w:lvlText w:val="(%1)"/>
      <w:numFmt w:val="lowerRoman"/>
      <w:start w:val="1"/>
    </w:lvl>
  </w:abstractNum>
  <w:abstractNum w:abstractNumId="124">
    <w:nsid w:val="69E7F3E5"/>
    <w:multiLevelType w:val="hybridMultilevel"/>
    <w:lvl w:ilvl="0">
      <w:lvlJc w:val="left"/>
      <w:lvlText w:val="(%1)"/>
      <w:numFmt w:val="lowerRoman"/>
      <w:start w:val="8"/>
    </w:lvl>
  </w:abstractNum>
  <w:abstractNum w:abstractNumId="125">
    <w:nsid w:val="2A6DE806"/>
    <w:multiLevelType w:val="hybridMultilevel"/>
    <w:lvl w:ilvl="0">
      <w:lvlJc w:val="left"/>
      <w:lvlText w:val="(%1)"/>
      <w:numFmt w:val="lowerLetter"/>
      <w:start w:val="3"/>
    </w:lvl>
  </w:abstractNum>
  <w:abstractNum w:abstractNumId="126">
    <w:nsid w:val="1816F8C4"/>
    <w:multiLevelType w:val="hybridMultilevel"/>
    <w:lvl w:ilvl="0">
      <w:lvlJc w:val="left"/>
      <w:lvlText w:val="%1"/>
      <w:numFmt w:val="lowerLetter"/>
      <w:start w:val="1"/>
    </w:lvl>
    <w:lvl w:ilvl="1">
      <w:lvlJc w:val="left"/>
      <w:lvlText w:val="(%2)"/>
      <w:numFmt w:val="lowerRoman"/>
      <w:start w:val="1"/>
    </w:lvl>
  </w:abstractNum>
  <w:abstractNum w:abstractNumId="127">
    <w:nsid w:val="37DF2233"/>
    <w:multiLevelType w:val="hybridMultilevel"/>
    <w:lvl w:ilvl="0">
      <w:lvlJc w:val="left"/>
      <w:lvlText w:val="(%1)"/>
      <w:numFmt w:val="lowerLetter"/>
      <w:start w:val="5"/>
    </w:lvl>
    <w:lvl w:ilvl="1">
      <w:lvlJc w:val="left"/>
      <w:lvlText w:val="%2"/>
      <w:numFmt w:val="lowerRoman"/>
      <w:start w:val="1"/>
    </w:lvl>
  </w:abstractNum>
  <w:abstractNum w:abstractNumId="128">
    <w:nsid w:val="7AB49DAF"/>
    <w:multiLevelType w:val="hybridMultilevel"/>
    <w:lvl w:ilvl="0">
      <w:lvlJc w:val="left"/>
      <w:lvlText w:val="(%1)"/>
      <w:numFmt w:val="lowerRoman"/>
      <w:start w:val="1"/>
    </w:lvl>
  </w:abstractNum>
  <w:abstractNum w:abstractNumId="129">
    <w:nsid w:val="759F82CD"/>
    <w:multiLevelType w:val="hybridMultilevel"/>
    <w:lvl w:ilvl="0">
      <w:lvlJc w:val="left"/>
      <w:lvlText w:val="(%1)"/>
      <w:numFmt w:val="lowerRoman"/>
      <w:start w:val="1"/>
    </w:lvl>
  </w:abstractNum>
  <w:abstractNum w:abstractNumId="130">
    <w:nsid w:val="61E74EA3"/>
    <w:multiLevelType w:val="hybridMultilevel"/>
    <w:lvl w:ilvl="0">
      <w:lvlJc w:val="left"/>
      <w:lvlText w:val="(%1)"/>
      <w:numFmt w:val="lowerLetter"/>
      <w:start w:val="1"/>
    </w:lvl>
  </w:abstractNum>
  <w:abstractNum w:abstractNumId="131">
    <w:nsid w:val="597B4D84"/>
    <w:multiLevelType w:val="hybridMultilevel"/>
    <w:lvl w:ilvl="0">
      <w:lvlJc w:val="left"/>
      <w:lvlText w:val="(%1)"/>
      <w:numFmt w:val="lowerLetter"/>
      <w:start w:val="6"/>
    </w:lvl>
  </w:abstractNum>
  <w:abstractNum w:abstractNumId="132">
    <w:nsid w:val="F819E7F"/>
    <w:multiLevelType w:val="hybridMultilevel"/>
    <w:lvl w:ilvl="0">
      <w:lvlJc w:val="left"/>
      <w:lvlText w:val="%1."/>
      <w:numFmt w:val="decimal"/>
      <w:start w:val="1"/>
    </w:lvl>
  </w:abstractNum>
  <w:abstractNum w:abstractNumId="133">
    <w:nsid w:val="57C7D42D"/>
    <w:multiLevelType w:val="hybridMultilevel"/>
    <w:lvl w:ilvl="0">
      <w:lvlJc w:val="left"/>
      <w:lvlText w:val="%1."/>
      <w:numFmt w:val="decimal"/>
      <w:start w:val="1"/>
    </w:lvl>
    <w:lvl w:ilvl="1">
      <w:lvlJc w:val="left"/>
      <w:lvlText w:val="•"/>
      <w:numFmt w:val="bullet"/>
      <w:start w:val="1"/>
    </w:lvl>
  </w:abstractNum>
  <w:abstractNum w:abstractNumId="134">
    <w:nsid w:val="312167AD"/>
    <w:multiLevelType w:val="hybridMultilevel"/>
    <w:lvl w:ilvl="0">
      <w:lvlJc w:val="left"/>
      <w:lvlText w:val="%1."/>
      <w:numFmt w:val="lowerLetter"/>
      <w:start w:val="1"/>
    </w:lvl>
    <w:lvl w:ilvl="1">
      <w:lvlJc w:val="left"/>
      <w:lvlText w:val="•"/>
      <w:numFmt w:val="bullet"/>
      <w:start w:val="1"/>
    </w:lvl>
  </w:abstractNum>
  <w:abstractNum w:abstractNumId="135">
    <w:nsid w:val="631B64D4"/>
    <w:multiLevelType w:val="hybridMultilevel"/>
    <w:lvl w:ilvl="0">
      <w:lvlJc w:val="left"/>
      <w:lvlText w:val="%1"/>
      <w:numFmt w:val="decimal"/>
      <w:start w:val="1"/>
    </w:lvl>
    <w:lvl w:ilvl="1">
      <w:lvlJc w:val="left"/>
      <w:lvlText w:val="%2."/>
      <w:numFmt w:val="lowerLetter"/>
      <w:start w:val="2"/>
    </w:lvl>
  </w:abstractNum>
  <w:abstractNum w:abstractNumId="136">
    <w:nsid w:val="78B5E776"/>
    <w:multiLevelType w:val="hybridMultilevel"/>
    <w:lvl w:ilvl="0">
      <w:lvlJc w:val="left"/>
      <w:lvlText w:val="%1."/>
      <w:numFmt w:val="decimal"/>
      <w:start w:val="3"/>
    </w:lvl>
    <w:lvl w:ilvl="1">
      <w:lvlJc w:val="left"/>
      <w:lvlText w:val="%2"/>
      <w:numFmt w:val="lowerLetter"/>
      <w:start w:val="1"/>
    </w:lvl>
  </w:abstractNum>
  <w:abstractNum w:abstractNumId="137">
    <w:nsid w:val="75486E47"/>
    <w:multiLevelType w:val="hybridMultilevel"/>
    <w:lvl w:ilvl="0">
      <w:lvlJc w:val="left"/>
      <w:lvlText w:val="%1."/>
      <w:numFmt w:val="lowerLetter"/>
      <w:start w:val="1"/>
    </w:lvl>
  </w:abstractNum>
  <w:abstractNum w:abstractNumId="138">
    <w:nsid w:val="6E534CDE"/>
    <w:multiLevelType w:val="hybridMultilevel"/>
    <w:lvl w:ilvl="0">
      <w:lvlJc w:val="left"/>
      <w:lvlText w:val="%1"/>
      <w:numFmt w:val="decimal"/>
      <w:start w:val="1"/>
    </w:lvl>
    <w:lvl w:ilvl="1">
      <w:lvlJc w:val="left"/>
      <w:lvlText w:val="%2."/>
      <w:numFmt w:val="lowerLetter"/>
      <w:start w:val="2"/>
    </w:lvl>
  </w:abstractNum>
  <w:abstractNum w:abstractNumId="139">
    <w:nsid w:val="1A0DDE32"/>
    <w:multiLevelType w:val="hybridMultilevel"/>
    <w:lvl w:ilvl="0">
      <w:lvlJc w:val="left"/>
      <w:lvlText w:val="%1."/>
      <w:numFmt w:val="decimal"/>
      <w:start w:val="4"/>
    </w:lvl>
    <w:lvl w:ilvl="1">
      <w:lvlJc w:val="left"/>
      <w:lvlText w:val="%2."/>
      <w:numFmt w:val="lowerLetter"/>
      <w:start w:val="1"/>
    </w:lvl>
  </w:abstractNum>
  <w:abstractNum w:abstractNumId="140">
    <w:nsid w:val="65968C1C"/>
    <w:multiLevelType w:val="hybridMultilevel"/>
    <w:lvl w:ilvl="0">
      <w:lvlJc w:val="left"/>
      <w:lvlText w:val="%1."/>
      <w:numFmt w:val="lowerLetter"/>
      <w:start w:val="2"/>
    </w:lvl>
  </w:abstractNum>
  <w:abstractNum w:abstractNumId="141">
    <w:nsid w:val="46263DEC"/>
    <w:multiLevelType w:val="hybridMultilevel"/>
    <w:lvl w:ilvl="0">
      <w:lvlJc w:val="left"/>
      <w:lvlText w:val="%1."/>
      <w:numFmt w:val="lowerLetter"/>
      <w:start w:val="8"/>
    </w:lvl>
  </w:abstractNum>
  <w:abstractNum w:abstractNumId="142">
    <w:nsid w:val="260D8C4A"/>
    <w:multiLevelType w:val="hybridMultilevel"/>
    <w:lvl w:ilvl="0">
      <w:lvlJc w:val="left"/>
      <w:lvlText w:val="%1."/>
      <w:numFmt w:val="lowerLetter"/>
      <w:start w:val="12"/>
    </w:lvl>
  </w:abstractNum>
  <w:abstractNum w:abstractNumId="143">
    <w:nsid w:val="73D4D3C4"/>
    <w:multiLevelType w:val="hybridMultilevel"/>
    <w:lvl w:ilvl="0">
      <w:lvlJc w:val="left"/>
      <w:lvlText w:val="%1."/>
      <w:numFmt w:val="decimal"/>
      <w:start w:val="1"/>
    </w:lvl>
    <w:lvl w:ilvl="1">
      <w:lvlJc w:val="left"/>
      <w:lvlText w:val="•"/>
      <w:numFmt w:val="bullet"/>
      <w:start w:val="1"/>
    </w:lvl>
  </w:abstractNum>
  <w:abstractNum w:abstractNumId="144">
    <w:nsid w:val="746F2E30"/>
    <w:multiLevelType w:val="hybridMultilevel"/>
    <w:lvl w:ilvl="0">
      <w:lvlJc w:val="left"/>
      <w:lvlText w:val="%1."/>
      <w:numFmt w:val="decimal"/>
      <w:start w:val="3"/>
    </w:lvl>
  </w:abstractNum>
  <w:abstractNum w:abstractNumId="145">
    <w:nsid w:val="6FDE8AF6"/>
    <w:multiLevelType w:val="hybridMultilevel"/>
    <w:lvl w:ilvl="0">
      <w:lvlJc w:val="left"/>
      <w:lvlText w:val="%1."/>
      <w:numFmt w:val="decimal"/>
      <w:start w:val="4"/>
    </w:lvl>
    <w:lvl w:ilvl="1">
      <w:lvlJc w:val="left"/>
      <w:lvlText w:val="%2."/>
      <w:numFmt w:val="lowerLetter"/>
      <w:start w:val="1"/>
    </w:lvl>
  </w:abstractNum>
  <w:abstractNum w:abstractNumId="146">
    <w:nsid w:val="3FC32E20"/>
    <w:multiLevelType w:val="hybridMultilevel"/>
    <w:lvl w:ilvl="0">
      <w:lvlJc w:val="left"/>
      <w:lvlText w:val="%1."/>
      <w:numFmt w:val="decimal"/>
      <w:start w:val="1"/>
    </w:lvl>
  </w:abstractNum>
  <w:abstractNum w:abstractNumId="147">
    <w:nsid w:val="49C0E823"/>
    <w:multiLevelType w:val="hybridMultilevel"/>
    <w:lvl w:ilvl="0">
      <w:lvlJc w:val="left"/>
      <w:lvlText w:val="%1."/>
      <w:numFmt w:val="decimal"/>
      <w:start w:val="1"/>
    </w:lvl>
    <w:lvl w:ilvl="1">
      <w:lvlJc w:val="left"/>
      <w:lvlText w:val="•"/>
      <w:numFmt w:val="bullet"/>
      <w:start w:val="1"/>
    </w:lvl>
  </w:abstractNum>
  <w:abstractNum w:abstractNumId="148">
    <w:nsid w:val="14D53685"/>
    <w:multiLevelType w:val="hybridMultilevel"/>
    <w:lvl w:ilvl="0">
      <w:lvlJc w:val="left"/>
      <w:lvlText w:val="%1."/>
      <w:numFmt w:val="decimal"/>
      <w:start w:val="3"/>
    </w:lvl>
  </w:abstractNum>
  <w:abstractNum w:abstractNumId="149">
    <w:nsid w:val="230F856C"/>
    <w:multiLevelType w:val="hybridMultilevel"/>
    <w:lvl w:ilvl="0">
      <w:lvlJc w:val="left"/>
      <w:lvlText w:val="%1."/>
      <w:numFmt w:val="decimal"/>
      <w:start w:val="4"/>
    </w:lvl>
    <w:lvl w:ilvl="1">
      <w:lvlJc w:val="left"/>
      <w:lvlText w:val="%2."/>
      <w:numFmt w:val="lowerLetter"/>
      <w:start w:val="1"/>
    </w:lvl>
  </w:abstractNum>
  <w:abstractNum w:abstractNumId="150">
    <w:nsid w:val="6EAA85FB"/>
    <w:multiLevelType w:val="hybridMultilevel"/>
    <w:lvl w:ilvl="0">
      <w:lvlJc w:val="left"/>
      <w:lvlText w:val="%1."/>
      <w:numFmt w:val="decimal"/>
      <w:start w:val="1"/>
    </w:lvl>
    <w:lvl w:ilvl="1">
      <w:lvlJc w:val="left"/>
      <w:lvlText w:val="•"/>
      <w:numFmt w:val="bullet"/>
      <w:start w:val="1"/>
    </w:lvl>
  </w:abstractNum>
  <w:abstractNum w:abstractNumId="151">
    <w:nsid w:val="3F06ECB2"/>
    <w:multiLevelType w:val="hybridMultilevel"/>
    <w:lvl w:ilvl="0">
      <w:lvlJc w:val="left"/>
      <w:lvlText w:val="%1."/>
      <w:numFmt w:val="decimal"/>
      <w:start w:val="3"/>
    </w:lvl>
  </w:abstractNum>
  <w:abstractNum w:abstractNumId="152">
    <w:nsid w:val="3B594807"/>
    <w:multiLevelType w:val="hybridMultilevel"/>
    <w:lvl w:ilvl="0">
      <w:lvlJc w:val="left"/>
      <w:lvlText w:val="%1."/>
      <w:numFmt w:val="decimal"/>
      <w:start w:val="4"/>
    </w:lvl>
    <w:lvl w:ilvl="1">
      <w:lvlJc w:val="left"/>
      <w:lvlText w:val="%2."/>
      <w:numFmt w:val="lowerLetter"/>
      <w:start w:val="1"/>
    </w:lvl>
  </w:abstractNum>
  <w:abstractNum w:abstractNumId="153">
    <w:nsid w:val="6CAA2304"/>
    <w:multiLevelType w:val="hybridMultilevel"/>
    <w:lvl w:ilvl="0">
      <w:lvlJc w:val="left"/>
      <w:lvlText w:val="%1."/>
      <w:numFmt w:val="decimal"/>
      <w:start w:val="1"/>
    </w:lvl>
  </w:abstractNum>
  <w:abstractNum w:abstractNumId="154">
    <w:nsid w:val="3F7C2FF4"/>
    <w:multiLevelType w:val="hybridMultilevel"/>
    <w:lvl w:ilvl="0">
      <w:lvlJc w:val="left"/>
      <w:lvlText w:val="%1."/>
      <w:numFmt w:val="decimal"/>
      <w:start w:val="1"/>
    </w:lvl>
  </w:abstractNum>
  <w:abstractNum w:abstractNumId="155">
    <w:nsid w:val="25413BEC"/>
    <w:multiLevelType w:val="hybridMultilevel"/>
    <w:lvl w:ilvl="0">
      <w:lvlJc w:val="left"/>
      <w:lvlText w:val="%1."/>
      <w:numFmt w:val="decimal"/>
      <w:start w:val="1"/>
    </w:lvl>
    <w:lvl w:ilvl="1">
      <w:lvlJc w:val="left"/>
      <w:lvlText w:val="%2."/>
      <w:numFmt w:val="lowerLetter"/>
      <w:start w:val="1"/>
    </w:lvl>
  </w:abstractNum>
  <w:abstractNum w:abstractNumId="156">
    <w:nsid w:val="17180B0B"/>
    <w:multiLevelType w:val="hybridMultilevel"/>
    <w:lvl w:ilvl="0">
      <w:lvlJc w:val="left"/>
      <w:lvlText w:val="%1."/>
      <w:numFmt w:val="decimal"/>
      <w:start w:val="1"/>
    </w:lvl>
    <w:lvl w:ilvl="1">
      <w:lvlJc w:val="left"/>
      <w:lvlText w:val="%2."/>
      <w:numFmt w:val="lowerLetter"/>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98" Type="http://schemas.openxmlformats.org/officeDocument/2006/relationships/image" Target="media/image162.png"/><Relationship Id="rId209" Type="http://schemas.openxmlformats.org/officeDocument/2006/relationships/image" Target="media/image163.png"/><Relationship Id="rId225" Type="http://schemas.openxmlformats.org/officeDocument/2006/relationships/image" Target="media/image164.png"/><Relationship Id="rId238" Type="http://schemas.openxmlformats.org/officeDocument/2006/relationships/image" Target="media/image165.png"/><Relationship Id="rId248" Type="http://schemas.openxmlformats.org/officeDocument/2006/relationships/image" Target="media/image166.png"/><Relationship Id="rId259" Type="http://schemas.openxmlformats.org/officeDocument/2006/relationships/image" Target="media/image167.png"/><Relationship Id="rId270" Type="http://schemas.openxmlformats.org/officeDocument/2006/relationships/image" Target="media/image168.png"/><Relationship Id="rId279" Type="http://schemas.openxmlformats.org/officeDocument/2006/relationships/image" Target="media/image169.png"/><Relationship Id="rId290" Type="http://schemas.openxmlformats.org/officeDocument/2006/relationships/image" Target="media/image170.png"/><Relationship Id="rId301" Type="http://schemas.openxmlformats.org/officeDocument/2006/relationships/image" Target="media/image171.png"/><Relationship Id="rId312" Type="http://schemas.openxmlformats.org/officeDocument/2006/relationships/image" Target="media/image172.png"/><Relationship Id="rId323" Type="http://schemas.openxmlformats.org/officeDocument/2006/relationships/image" Target="media/image173.png"/><Relationship Id="rId334" Type="http://schemas.openxmlformats.org/officeDocument/2006/relationships/image" Target="media/image174.png"/><Relationship Id="rId347" Type="http://schemas.openxmlformats.org/officeDocument/2006/relationships/image" Target="media/image175.png"/><Relationship Id="rId348" Type="http://schemas.openxmlformats.org/officeDocument/2006/relationships/image" Target="media/image176.png"/><Relationship Id="rId349" Type="http://schemas.openxmlformats.org/officeDocument/2006/relationships/image" Target="media/image177.png"/><Relationship Id="rId350" Type="http://schemas.openxmlformats.org/officeDocument/2006/relationships/image" Target="media/image178.png"/><Relationship Id="rId351" Type="http://schemas.openxmlformats.org/officeDocument/2006/relationships/image" Target="media/image179.png"/><Relationship Id="rId352" Type="http://schemas.openxmlformats.org/officeDocument/2006/relationships/image" Target="media/image180.png"/><Relationship Id="rId353" Type="http://schemas.openxmlformats.org/officeDocument/2006/relationships/image" Target="media/image181.png"/><Relationship Id="rId354" Type="http://schemas.openxmlformats.org/officeDocument/2006/relationships/image" Target="media/image182.png"/><Relationship Id="rId355" Type="http://schemas.openxmlformats.org/officeDocument/2006/relationships/image" Target="media/image183.png"/><Relationship Id="rId356" Type="http://schemas.openxmlformats.org/officeDocument/2006/relationships/image" Target="media/image184.png"/><Relationship Id="rId357" Type="http://schemas.openxmlformats.org/officeDocument/2006/relationships/image" Target="media/image185.png"/><Relationship Id="rId358" Type="http://schemas.openxmlformats.org/officeDocument/2006/relationships/image" Target="media/image186.png"/><Relationship Id="rId359" Type="http://schemas.openxmlformats.org/officeDocument/2006/relationships/image" Target="media/image187.png"/><Relationship Id="rId360" Type="http://schemas.openxmlformats.org/officeDocument/2006/relationships/image" Target="media/image188.png"/><Relationship Id="rId361" Type="http://schemas.openxmlformats.org/officeDocument/2006/relationships/image" Target="media/image189.png"/><Relationship Id="rId362" Type="http://schemas.openxmlformats.org/officeDocument/2006/relationships/image" Target="media/image190.png"/><Relationship Id="rId363" Type="http://schemas.openxmlformats.org/officeDocument/2006/relationships/image" Target="media/image191.png"/><Relationship Id="rId364" Type="http://schemas.openxmlformats.org/officeDocument/2006/relationships/image" Target="media/image192.png"/><Relationship Id="rId365" Type="http://schemas.openxmlformats.org/officeDocument/2006/relationships/image" Target="media/image193.png"/><Relationship Id="rId366" Type="http://schemas.openxmlformats.org/officeDocument/2006/relationships/image" Target="media/image194.png"/><Relationship Id="rId367" Type="http://schemas.openxmlformats.org/officeDocument/2006/relationships/image" Target="media/image195.png"/><Relationship Id="rId368" Type="http://schemas.openxmlformats.org/officeDocument/2006/relationships/image" Target="media/image196.png"/><Relationship Id="rId369" Type="http://schemas.openxmlformats.org/officeDocument/2006/relationships/image" Target="media/image197.png"/><Relationship Id="rId370" Type="http://schemas.openxmlformats.org/officeDocument/2006/relationships/image" Target="media/image198.png"/><Relationship Id="rId371" Type="http://schemas.openxmlformats.org/officeDocument/2006/relationships/image" Target="media/image199.png"/><Relationship Id="rId372" Type="http://schemas.openxmlformats.org/officeDocument/2006/relationships/image" Target="media/image200.png"/><Relationship Id="rId373" Type="http://schemas.openxmlformats.org/officeDocument/2006/relationships/image" Target="media/image201.png"/><Relationship Id="rId374" Type="http://schemas.openxmlformats.org/officeDocument/2006/relationships/image" Target="media/image202.png"/><Relationship Id="rId375" Type="http://schemas.openxmlformats.org/officeDocument/2006/relationships/image" Target="media/image203.png"/><Relationship Id="rId376" Type="http://schemas.openxmlformats.org/officeDocument/2006/relationships/image" Target="media/image204.png"/><Relationship Id="rId377" Type="http://schemas.openxmlformats.org/officeDocument/2006/relationships/image" Target="media/image205.png"/><Relationship Id="rId378" Type="http://schemas.openxmlformats.org/officeDocument/2006/relationships/image" Target="media/image206.png"/><Relationship Id="rId379" Type="http://schemas.openxmlformats.org/officeDocument/2006/relationships/image" Target="media/image207.png"/><Relationship Id="rId380" Type="http://schemas.openxmlformats.org/officeDocument/2006/relationships/image" Target="media/image208.png"/><Relationship Id="rId381" Type="http://schemas.openxmlformats.org/officeDocument/2006/relationships/image" Target="media/image209.png"/><Relationship Id="rId382" Type="http://schemas.openxmlformats.org/officeDocument/2006/relationships/image" Target="media/image210.png"/><Relationship Id="rId383" Type="http://schemas.openxmlformats.org/officeDocument/2006/relationships/image" Target="media/image211.png"/><Relationship Id="rId384" Type="http://schemas.openxmlformats.org/officeDocument/2006/relationships/image" Target="media/image212.png"/><Relationship Id="rId385" Type="http://schemas.openxmlformats.org/officeDocument/2006/relationships/image" Target="media/image213.png"/><Relationship Id="rId386" Type="http://schemas.openxmlformats.org/officeDocument/2006/relationships/image" Target="media/image214.png"/><Relationship Id="rId387" Type="http://schemas.openxmlformats.org/officeDocument/2006/relationships/image" Target="media/image215.png"/><Relationship Id="rId388" Type="http://schemas.openxmlformats.org/officeDocument/2006/relationships/image" Target="media/image216.png"/><Relationship Id="rId389" Type="http://schemas.openxmlformats.org/officeDocument/2006/relationships/image" Target="media/image217.png"/><Relationship Id="rId390" Type="http://schemas.openxmlformats.org/officeDocument/2006/relationships/image" Target="media/image218.png"/><Relationship Id="rId391" Type="http://schemas.openxmlformats.org/officeDocument/2006/relationships/image" Target="media/image219.png"/><Relationship Id="rId392" Type="http://schemas.openxmlformats.org/officeDocument/2006/relationships/image" Target="media/image220.png"/><Relationship Id="rId393" Type="http://schemas.openxmlformats.org/officeDocument/2006/relationships/image" Target="media/image221.png"/><Relationship Id="rId394" Type="http://schemas.openxmlformats.org/officeDocument/2006/relationships/image" Target="media/image222.png"/><Relationship Id="rId395" Type="http://schemas.openxmlformats.org/officeDocument/2006/relationships/image" Target="media/image223.png"/><Relationship Id="rId396" Type="http://schemas.openxmlformats.org/officeDocument/2006/relationships/image" Target="media/image224.png"/><Relationship Id="rId397" Type="http://schemas.openxmlformats.org/officeDocument/2006/relationships/image" Target="media/image225.png"/><Relationship Id="rId398" Type="http://schemas.openxmlformats.org/officeDocument/2006/relationships/image" Target="media/image226.png"/><Relationship Id="rId399" Type="http://schemas.openxmlformats.org/officeDocument/2006/relationships/image" Target="media/image227.png"/><Relationship Id="rId400" Type="http://schemas.openxmlformats.org/officeDocument/2006/relationships/image" Target="media/image228.png"/><Relationship Id="rId401" Type="http://schemas.openxmlformats.org/officeDocument/2006/relationships/image" Target="media/image229.png"/><Relationship Id="rId402" Type="http://schemas.openxmlformats.org/officeDocument/2006/relationships/image" Target="media/image230.png"/><Relationship Id="rId403" Type="http://schemas.openxmlformats.org/officeDocument/2006/relationships/image" Target="media/image231.png"/><Relationship Id="rId404" Type="http://schemas.openxmlformats.org/officeDocument/2006/relationships/image" Target="media/image232.png"/><Relationship Id="rId405" Type="http://schemas.openxmlformats.org/officeDocument/2006/relationships/image" Target="media/image233.png"/><Relationship Id="rId406" Type="http://schemas.openxmlformats.org/officeDocument/2006/relationships/image" Target="media/image234.png"/><Relationship Id="rId407" Type="http://schemas.openxmlformats.org/officeDocument/2006/relationships/image" Target="media/image235.png"/><Relationship Id="rId408" Type="http://schemas.openxmlformats.org/officeDocument/2006/relationships/image" Target="media/image236.png"/><Relationship Id="rId409" Type="http://schemas.openxmlformats.org/officeDocument/2006/relationships/image" Target="media/image237.png"/><Relationship Id="rId410" Type="http://schemas.openxmlformats.org/officeDocument/2006/relationships/image" Target="media/image238.png"/><Relationship Id="rId411" Type="http://schemas.openxmlformats.org/officeDocument/2006/relationships/image" Target="media/image239.png"/><Relationship Id="rId412" Type="http://schemas.openxmlformats.org/officeDocument/2006/relationships/image" Target="media/image240.png"/><Relationship Id="rId413" Type="http://schemas.openxmlformats.org/officeDocument/2006/relationships/image" Target="media/image241.png"/><Relationship Id="rId414" Type="http://schemas.openxmlformats.org/officeDocument/2006/relationships/image" Target="media/image242.png"/><Relationship Id="rId415" Type="http://schemas.openxmlformats.org/officeDocument/2006/relationships/image" Target="media/image243.png"/><Relationship Id="rId416" Type="http://schemas.openxmlformats.org/officeDocument/2006/relationships/image" Target="media/image244.png"/><Relationship Id="rId417" Type="http://schemas.openxmlformats.org/officeDocument/2006/relationships/image" Target="media/image245.png"/><Relationship Id="rId418" Type="http://schemas.openxmlformats.org/officeDocument/2006/relationships/image" Target="media/image246.png"/><Relationship Id="rId419" Type="http://schemas.openxmlformats.org/officeDocument/2006/relationships/image" Target="media/image247.png"/><Relationship Id="rId420" Type="http://schemas.openxmlformats.org/officeDocument/2006/relationships/image" Target="media/image248.png"/><Relationship Id="rId421" Type="http://schemas.openxmlformats.org/officeDocument/2006/relationships/image" Target="media/image249.png"/><Relationship Id="rId422" Type="http://schemas.openxmlformats.org/officeDocument/2006/relationships/image" Target="media/image250.png"/><Relationship Id="rId423" Type="http://schemas.openxmlformats.org/officeDocument/2006/relationships/image" Target="media/image251.png"/><Relationship Id="rId424" Type="http://schemas.openxmlformats.org/officeDocument/2006/relationships/image" Target="media/image252.png"/><Relationship Id="rId425" Type="http://schemas.openxmlformats.org/officeDocument/2006/relationships/image" Target="media/image253.png"/><Relationship Id="rId426" Type="http://schemas.openxmlformats.org/officeDocument/2006/relationships/image" Target="media/image254.png"/><Relationship Id="rId427" Type="http://schemas.openxmlformats.org/officeDocument/2006/relationships/image" Target="media/image255.png"/><Relationship Id="rId428" Type="http://schemas.openxmlformats.org/officeDocument/2006/relationships/image" Target="media/image256.png"/><Relationship Id="rId429" Type="http://schemas.openxmlformats.org/officeDocument/2006/relationships/image" Target="media/image257.png"/><Relationship Id="rId430" Type="http://schemas.openxmlformats.org/officeDocument/2006/relationships/image" Target="media/image258.png"/><Relationship Id="rId431" Type="http://schemas.openxmlformats.org/officeDocument/2006/relationships/image" Target="media/image259.png"/><Relationship Id="rId432" Type="http://schemas.openxmlformats.org/officeDocument/2006/relationships/image" Target="media/image260.png"/><Relationship Id="rId433" Type="http://schemas.openxmlformats.org/officeDocument/2006/relationships/image" Target="media/image261.png"/><Relationship Id="rId434" Type="http://schemas.openxmlformats.org/officeDocument/2006/relationships/image" Target="media/image262.png"/><Relationship Id="rId435" Type="http://schemas.openxmlformats.org/officeDocument/2006/relationships/image" Target="media/image263.png"/><Relationship Id="rId436" Type="http://schemas.openxmlformats.org/officeDocument/2006/relationships/image" Target="media/image264.png"/><Relationship Id="rId437" Type="http://schemas.openxmlformats.org/officeDocument/2006/relationships/image" Target="media/image265.png"/><Relationship Id="rId438" Type="http://schemas.openxmlformats.org/officeDocument/2006/relationships/image" Target="media/image266.png"/><Relationship Id="rId439" Type="http://schemas.openxmlformats.org/officeDocument/2006/relationships/image" Target="media/image267.png"/><Relationship Id="rId440" Type="http://schemas.openxmlformats.org/officeDocument/2006/relationships/image" Target="media/image268.png"/><Relationship Id="rId167" Type="http://schemas.openxmlformats.org/officeDocument/2006/relationships/hyperlink" Target="http://www.sec.gov/Archives/edgar/data/1408198/000119312512212354/d324997dex31.htm" TargetMode="External"/><Relationship Id="rId168" Type="http://schemas.openxmlformats.org/officeDocument/2006/relationships/hyperlink" Target="http://www.sec.gov/Archives/edgar/data/0001408198/000156459021000865/msci-ex31_6.htm" TargetMode="External"/><Relationship Id="rId169" Type="http://schemas.openxmlformats.org/officeDocument/2006/relationships/hyperlink" Target="http://www.sec.gov/Archives/edgar/data/1408198/000095010315006360/dp58253_ex0401.htm" TargetMode="External"/><Relationship Id="rId170" Type="http://schemas.openxmlformats.org/officeDocument/2006/relationships/hyperlink" Target="http://www.sec.gov/Archives/edgar/data/1408198/000095010315006360/dp58253_ex0402.htm" TargetMode="External"/><Relationship Id="rId171" Type="http://schemas.openxmlformats.org/officeDocument/2006/relationships/hyperlink" Target="http://www.sec.gov/Archives/edgar/data/1408198/000119312512212354/d324997dex41.htm" TargetMode="External"/><Relationship Id="rId172" Type="http://schemas.openxmlformats.org/officeDocument/2006/relationships/hyperlink" Target="http://www.sec.gov/Archives/edgar/data/1408198/000119312519286824/d828551dex41.htm" TargetMode="External"/><Relationship Id="rId173" Type="http://schemas.openxmlformats.org/officeDocument/2006/relationships/hyperlink" Target="http://www.sec.gov/Archives/edgar/data/0001408198/000119312520061718/d871635dex41.htm" TargetMode="External"/><Relationship Id="rId174" Type="http://schemas.openxmlformats.org/officeDocument/2006/relationships/hyperlink" Target="http://www.sec.gov/Archives/edgar/data/0001408198/000119312520151613/d829084dex41.htm" TargetMode="External"/><Relationship Id="rId175" Type="http://schemas.openxmlformats.org/officeDocument/2006/relationships/hyperlink" Target="http://www.sec.gov/Archives/edgar/data/0001408198/000119312521162036/d420165dex41.htm" TargetMode="External"/><Relationship Id="rId176" Type="http://schemas.openxmlformats.org/officeDocument/2006/relationships/hyperlink" Target="http://www.sec.gov/Archives/edgar/data/0001408198/000119312521249156/d215701dex41.htm" TargetMode="External"/><Relationship Id="rId179" Type="http://schemas.openxmlformats.org/officeDocument/2006/relationships/hyperlink" Target="http://www.sec.gov/Archives/edgar/data/1408198/000119312516567595/d158720dex108.htm" TargetMode="External"/><Relationship Id="rId180" Type="http://schemas.openxmlformats.org/officeDocument/2006/relationships/hyperlink" Target="http://www.sec.gov/Archives/edgar/data/1408198/000156459017008974/msci-ex103_531.htm" TargetMode="External"/><Relationship Id="rId181" Type="http://schemas.openxmlformats.org/officeDocument/2006/relationships/hyperlink" Target="http://www.sec.gov/Archives/edgar/data/1408198/000119312516567595/d158720dex109.htm" TargetMode="External"/><Relationship Id="rId182" Type="http://schemas.openxmlformats.org/officeDocument/2006/relationships/hyperlink" Target="http://www.sec.gov/Archives/edgar/data/1408198/000156459017002336/msci-ex10109_2925.htm" TargetMode="External"/><Relationship Id="rId183" Type="http://schemas.openxmlformats.org/officeDocument/2006/relationships/hyperlink" Target="http://www.sec.gov/Archives/edgar/data/1408198/000119312508040718/ddef14a.htm#tx37954_49" TargetMode="External"/><Relationship Id="rId184" Type="http://schemas.openxmlformats.org/officeDocument/2006/relationships/hyperlink" Target="http://www.sec.gov/Archives/edgar/data/1408198/000156459019003885/msci-ex10189_711.htm" TargetMode="External"/><Relationship Id="rId185" Type="http://schemas.openxmlformats.org/officeDocument/2006/relationships/hyperlink" Target="http://www.sec.gov/Archives/edgar/data/1408198/000119312516564282/d162063dex991.htm" TargetMode="External"/><Relationship Id="rId186" Type="http://schemas.openxmlformats.org/officeDocument/2006/relationships/hyperlink" Target="http://www.sec.gov/Archives/edgar/data/1408198/000156459018003147/msci-ex10166_165.htm" TargetMode="External"/><Relationship Id="rId187" Type="http://schemas.openxmlformats.org/officeDocument/2006/relationships/hyperlink" Target="http://www.sec.gov/Archives/edgar/data/1408198/000156459019003885/msci-ex10185_715.htm" TargetMode="External"/><Relationship Id="rId188" Type="http://schemas.openxmlformats.org/officeDocument/2006/relationships/hyperlink" Target="http://www.sec.gov/Archives/edgar/data/1408198/000156459019003885/msci-ex10186_714.htm" TargetMode="External"/><Relationship Id="rId189" Type="http://schemas.openxmlformats.org/officeDocument/2006/relationships/hyperlink" Target="http://www.sec.gov/Archives/edgar/data/1408198/000156459019003885/msci-ex10187_713.htm" TargetMode="External"/><Relationship Id="rId190" Type="http://schemas.openxmlformats.org/officeDocument/2006/relationships/hyperlink" Target="http://www.sec.gov/Archives/edgar/data/1408198/000156459019015544/msci-ex105_119.htm" TargetMode="External"/><Relationship Id="rId191" Type="http://schemas.openxmlformats.org/officeDocument/2006/relationships/hyperlink" Target="http://www.sec.gov/Archives/edgar/data/1408198/000156459019015544/msci-ex106_118.htm" TargetMode="External"/><Relationship Id="rId192" Type="http://schemas.openxmlformats.org/officeDocument/2006/relationships/hyperlink" Target="http://www.sec.gov/Archives/edgar/data/0001408198/000156459020004992/msci-ex10216_692.htm" TargetMode="External"/><Relationship Id="rId193" Type="http://schemas.openxmlformats.org/officeDocument/2006/relationships/hyperlink" Target="http://www.sec.gov/Archives/edgar/data/0001408198/000156459020004992/msci-ex10217_690.htm" TargetMode="External"/><Relationship Id="rId194" Type="http://schemas.openxmlformats.org/officeDocument/2006/relationships/hyperlink" Target="http://www.sec.gov/Archives/edgar/data/0001408198/000156459020004992/msci-ex10218_693.htm" TargetMode="External"/><Relationship Id="rId195" Type="http://schemas.openxmlformats.org/officeDocument/2006/relationships/hyperlink" Target="http://www.sec.gov/Archives/edgar/data/0001408198/000156459020019459/msci-ex101_234.htm" TargetMode="External"/><Relationship Id="rId196" Type="http://schemas.openxmlformats.org/officeDocument/2006/relationships/hyperlink" Target="http://www.sec.gov/Archives/edgar/data/0001408198/000156459021005811/msci-ex10232_1670.htm" TargetMode="External"/><Relationship Id="rId197" Type="http://schemas.openxmlformats.org/officeDocument/2006/relationships/hyperlink" Target="http://www.sec.gov/Archives/edgar/data/0001408198/000156459021005811/msci-ex10233_1668.htm" TargetMode="External"/><Relationship Id="rId199" Type="http://schemas.openxmlformats.org/officeDocument/2006/relationships/hyperlink" Target="http://www.sec.gov/Archives/edgar/data/0001408198/000156459021005811/msci-ex10234_1669.htm" TargetMode="External"/><Relationship Id="rId200" Type="http://schemas.openxmlformats.org/officeDocument/2006/relationships/hyperlink" Target="http://www.sec.gov/Archives/edgar/data/0001408198/000156459021038234/msci-ex101_170.htm" TargetMode="External"/><Relationship Id="rId201" Type="http://schemas.openxmlformats.org/officeDocument/2006/relationships/hyperlink" Target="http://www.sec.gov/Archives/edgar/data/1408198/000156459018010882/msci-ex101_98.htm" TargetMode="External"/><Relationship Id="rId202" Type="http://schemas.openxmlformats.org/officeDocument/2006/relationships/hyperlink" Target="http://www.sec.gov/Archives/edgar/data/0001408198/000119312520253892/d40154dex101.htm" TargetMode="External"/><Relationship Id="rId203" Type="http://schemas.openxmlformats.org/officeDocument/2006/relationships/hyperlink" Target="http://www.sec.gov/Archives/edgar/data/0001408198/000156459021021208/msci-ex102_184.htm" TargetMode="External"/><Relationship Id="rId204" Type="http://schemas.openxmlformats.org/officeDocument/2006/relationships/hyperlink" Target="http://www.sec.gov/Archives/edgar/data/1408198/000119312518167727/d582789dex101.htm" TargetMode="External"/><Relationship Id="rId205" Type="http://schemas.openxmlformats.org/officeDocument/2006/relationships/hyperlink" Target="http://www.sec.gov/Archives/edgar/data/1408198/000119312516672119/d236625dex101.htm" TargetMode="External"/><Relationship Id="rId206" Type="http://schemas.openxmlformats.org/officeDocument/2006/relationships/hyperlink" Target="http://www.sec.gov/Archives/edgar/data/1408198/000119312519294904/d834499dex101.htm" TargetMode="External"/><Relationship Id="rId207" Type="http://schemas.openxmlformats.org/officeDocument/2006/relationships/hyperlink" Target="http://www.sec.gov/Archives/edgar/data/0001408198/000095010321004785/dp148590_ex1001.htm" TargetMode="External"/><Relationship Id="rId208" Type="http://schemas.openxmlformats.org/officeDocument/2006/relationships/hyperlink" Target="http://www.sec.gov/Archives/edgar/data/1408198/000119312511254465/d235117dex101.htm" TargetMode="External"/><Relationship Id="rId210" Type="http://schemas.openxmlformats.org/officeDocument/2006/relationships/hyperlink" Target="http://www.sec.gov/Archives/edgar/data/0001408198/000156459021005811/msci-ex101_172.htm" TargetMode="External"/><Relationship Id="rId211" Type="http://schemas.openxmlformats.org/officeDocument/2006/relationships/hyperlink" Target="http://www.sec.gov/Archives/edgar/data/0001408198/000156459021005811/msci-ex102_171.htm" TargetMode="External"/><Relationship Id="rId212" Type="http://schemas.openxmlformats.org/officeDocument/2006/relationships/hyperlink" Target="http://www.sec.gov/Archives/edgar/data/0001408198/000156459021005811/msci-ex103_170.htm" TargetMode="External"/><Relationship Id="rId213" Type="http://schemas.openxmlformats.org/officeDocument/2006/relationships/hyperlink" Target="http://www.sec.gov/Archives/edgar/data/0001408198/000156459021005811/msci-ex104_169.htm" TargetMode="External"/><Relationship Id="rId214" Type="http://schemas.openxmlformats.org/officeDocument/2006/relationships/hyperlink" Target="http://www.sec.gov/Archives/edgar/data/0001408198/000156459021005811/msci-ex105_168.htm" TargetMode="External"/><Relationship Id="rId215" Type="http://schemas.openxmlformats.org/officeDocument/2006/relationships/hyperlink" Target="http://www.sec.gov/Archives/edgar/data/0001408198/000156459021005811/msci-ex106_167.htm" TargetMode="External"/><Relationship Id="rId216" Type="http://schemas.openxmlformats.org/officeDocument/2006/relationships/hyperlink" Target="http://www.sec.gov/Archives/edgar/data/0001408198/000156459021005811/msci-ex107_166.htm" TargetMode="External"/><Relationship Id="rId217" Type="http://schemas.openxmlformats.org/officeDocument/2006/relationships/hyperlink" Target="http://www.sec.gov/Archives/edgar/data/1408198/000119312511017728/dex108.htm" TargetMode="External"/><Relationship Id="rId218" Type="http://schemas.openxmlformats.org/officeDocument/2006/relationships/hyperlink" Target="http://www.sec.gov/Archives/edgar/data/1408198/000119312512086989/d264713dex109.htm" TargetMode="External"/><Relationship Id="rId219" Type="http://schemas.openxmlformats.org/officeDocument/2006/relationships/hyperlink" Target="http://www.sec.gov/Archives/edgar/data/0001408198/000156459021005811/msci-ex1010_165.htm" TargetMode="External"/><Relationship Id="rId220" Type="http://schemas.openxmlformats.org/officeDocument/2006/relationships/hyperlink" Target="http://www.sec.gov/Archives/edgar/data/1408198/000119312510017074/dex1011.htm" TargetMode="External"/><Relationship Id="rId221" Type="http://schemas.openxmlformats.org/officeDocument/2006/relationships/hyperlink" Target="http://www.sec.gov/Archives/edgar/data/0001408198/000156459021005811/msci-ex1012_164.htm" TargetMode="External"/><Relationship Id="rId222" Type="http://schemas.openxmlformats.org/officeDocument/2006/relationships/hyperlink" Target="http://www.sec.gov/Archives/edgar/data/1408198/000095010310001952/dp18350_ex1004.htm" TargetMode="External"/><Relationship Id="rId223" Type="http://schemas.openxmlformats.org/officeDocument/2006/relationships/hyperlink" Target="http://www.sec.gov/Archives/edgar/data/1408198/000119312510017074/dex1014.htm" TargetMode="External"/><Relationship Id="rId224" Type="http://schemas.openxmlformats.org/officeDocument/2006/relationships/hyperlink" Target="http://www.sec.gov/Archives/edgar/data/0001408198/000156459021005811/msci-ex1015_163.htm" TargetMode="External"/><Relationship Id="rId226" Type="http://schemas.openxmlformats.org/officeDocument/2006/relationships/hyperlink" Target="http://www.sec.gov/Archives/edgar/data/0001408198/000156459021005811/msci-ex1046_162.htm" TargetMode="External"/><Relationship Id="rId227" Type="http://schemas.openxmlformats.org/officeDocument/2006/relationships/hyperlink" Target="http://www.sec.gov/Archives/edgar/data/1408198/000119312512086989/d264713dex1058.htm" TargetMode="External"/><Relationship Id="rId228" Type="http://schemas.openxmlformats.org/officeDocument/2006/relationships/hyperlink" Target="http://www.sec.gov/Archives/edgar/data/1408198/000119312511017728/dex1059.htm" TargetMode="External"/><Relationship Id="rId229" Type="http://schemas.openxmlformats.org/officeDocument/2006/relationships/hyperlink" Target="http://www.sec.gov/Archives/edgar/data/0001408198/000156459021005811/msci-ex1049_161.htm" TargetMode="External"/><Relationship Id="rId230" Type="http://schemas.openxmlformats.org/officeDocument/2006/relationships/hyperlink" Target="http://www.sec.gov/Archives/edgar/data/0001408198/000156459021005811/msci-ex1050_160.htm" TargetMode="External"/><Relationship Id="rId231" Type="http://schemas.openxmlformats.org/officeDocument/2006/relationships/hyperlink" Target="http://www.sec.gov/Archives/edgar/data/1408198/000119312512086989/d264713dex1062.htm" TargetMode="External"/><Relationship Id="rId232" Type="http://schemas.openxmlformats.org/officeDocument/2006/relationships/hyperlink" Target="http://www.sec.gov/Archives/edgar/data/0001408198/000156459021005811/msci-ex1052_159.htm" TargetMode="External"/><Relationship Id="rId233" Type="http://schemas.openxmlformats.org/officeDocument/2006/relationships/hyperlink" Target="http://www.sec.gov/Archives/edgar/data/0001408198/000156459021005811/msci-ex1053_158.htm" TargetMode="External"/><Relationship Id="rId234" Type="http://schemas.openxmlformats.org/officeDocument/2006/relationships/hyperlink" Target="http://www.sec.gov/Archives/edgar/data/1408198/000119312512086989/d264713dex1065.htm" TargetMode="External"/><Relationship Id="rId235" Type="http://schemas.openxmlformats.org/officeDocument/2006/relationships/hyperlink" Target="http://www.sec.gov/Archives/edgar/data/0001408198/000156459021005811/msci-ex1055_157.htm" TargetMode="External"/><Relationship Id="rId236" Type="http://schemas.openxmlformats.org/officeDocument/2006/relationships/hyperlink" Target="http://www.sec.gov/Archives/edgar/data/1408198/000119312512086989/d264713dex1067.htm" TargetMode="External"/><Relationship Id="rId237" Type="http://schemas.openxmlformats.org/officeDocument/2006/relationships/hyperlink" Target="http://www.sec.gov/Archives/edgar/data/0001408198/000156459021005811/msci-ex1062_156.htm" TargetMode="External"/><Relationship Id="rId239" Type="http://schemas.openxmlformats.org/officeDocument/2006/relationships/hyperlink" Target="http://www.sec.gov/Archives/edgar/data/0001408198/000156459021005811/msci-ex1063_155.htm" TargetMode="External"/><Relationship Id="rId240" Type="http://schemas.openxmlformats.org/officeDocument/2006/relationships/hyperlink" Target="http://www.sec.gov/Archives/edgar/data/0001408198/000156459021005811/msci-ex1064_154.htm" TargetMode="External"/><Relationship Id="rId241" Type="http://schemas.openxmlformats.org/officeDocument/2006/relationships/hyperlink" Target="http://www.sec.gov/Archives/edgar/data/0001408198/000156459021005811/msci-ex1065_153.htm" TargetMode="External"/><Relationship Id="rId242" Type="http://schemas.openxmlformats.org/officeDocument/2006/relationships/hyperlink" Target="http://www.sec.gov/Archives/edgar/data/0001408198/000156459021005811/msci-ex1066_152.htm" TargetMode="External"/><Relationship Id="rId243" Type="http://schemas.openxmlformats.org/officeDocument/2006/relationships/hyperlink" Target="http://www.sec.gov/Archives/edgar/data/0001408198/000156459021005811/msci-ex1067_151.htm" TargetMode="External"/><Relationship Id="rId244" Type="http://schemas.openxmlformats.org/officeDocument/2006/relationships/hyperlink" Target="http://www.sec.gov/Archives/edgar/data/0001408198/000156459021005811/msci-ex1068_150.htm" TargetMode="External"/><Relationship Id="rId245" Type="http://schemas.openxmlformats.org/officeDocument/2006/relationships/hyperlink" Target="http://www.sec.gov/Archives/edgar/data/0001408198/000156459021005811/msci-ex1069_149.htm" TargetMode="External"/><Relationship Id="rId246" Type="http://schemas.openxmlformats.org/officeDocument/2006/relationships/hyperlink" Target="http://www.sec.gov/Archives/edgar/data/0001408198/000156459021005811/msci-ex1070_148.htm" TargetMode="External"/><Relationship Id="rId247" Type="http://schemas.openxmlformats.org/officeDocument/2006/relationships/hyperlink" Target="http://www.sec.gov/Archives/edgar/data/0001408198/000156459021005811/msci-ex1071_147.htm" TargetMode="External"/><Relationship Id="rId249" Type="http://schemas.openxmlformats.org/officeDocument/2006/relationships/hyperlink" Target="http://www.sec.gov/Archives/edgar/data/0001408198/000156459021005811/msci-ex1072_146.htm" TargetMode="External"/><Relationship Id="rId250" Type="http://schemas.openxmlformats.org/officeDocument/2006/relationships/hyperlink" Target="http://www.sec.gov/Archives/edgar/data/0001408198/000156459021005811/msci-ex1073_145.htm" TargetMode="External"/><Relationship Id="rId251" Type="http://schemas.openxmlformats.org/officeDocument/2006/relationships/hyperlink" Target="http://www.sec.gov/Archives/edgar/data/0001408198/000156459021005811/msci-ex1082_144.htm" TargetMode="External"/><Relationship Id="rId252" Type="http://schemas.openxmlformats.org/officeDocument/2006/relationships/hyperlink" Target="http://www.sec.gov/Archives/edgar/data/0001408198/000156459021005811/msci-ex1083_143.htm" TargetMode="External"/><Relationship Id="rId253" Type="http://schemas.openxmlformats.org/officeDocument/2006/relationships/hyperlink" Target="http://www.sec.gov/Archives/edgar/data/0001408198/000156459021005811/msci-ex1085_142.htm" TargetMode="External"/><Relationship Id="rId254" Type="http://schemas.openxmlformats.org/officeDocument/2006/relationships/hyperlink" Target="http://www.sec.gov/Archives/edgar/data/0001408198/000156459021005811/msci-ex1089_141.htm" TargetMode="External"/><Relationship Id="rId255" Type="http://schemas.openxmlformats.org/officeDocument/2006/relationships/hyperlink" Target="http://www.sec.gov/Archives/edgar/data/0001408198/000156459021005811/msci-ex1090_140.htm" TargetMode="External"/><Relationship Id="rId256" Type="http://schemas.openxmlformats.org/officeDocument/2006/relationships/hyperlink" Target="http://www.sec.gov/Archives/edgar/data/0001408198/000156459021005811/msci-ex1091_139.htm" TargetMode="External"/><Relationship Id="rId257" Type="http://schemas.openxmlformats.org/officeDocument/2006/relationships/hyperlink" Target="http://www.sec.gov/Archives/edgar/data/0001408198/000156459021005811/msci-ex1092_138.htm" TargetMode="External"/><Relationship Id="rId258" Type="http://schemas.openxmlformats.org/officeDocument/2006/relationships/hyperlink" Target="http://www.sec.gov/Archives/edgar/data/0001408198/000156459021005811/msci-ex1096_135.htm" TargetMode="External"/><Relationship Id="rId260" Type="http://schemas.openxmlformats.org/officeDocument/2006/relationships/hyperlink" Target="http://www.sec.gov/Archives/edgar/data/0001408198/000156459021005811/msci-ex10102_134.htm" TargetMode="External"/><Relationship Id="rId261" Type="http://schemas.openxmlformats.org/officeDocument/2006/relationships/hyperlink" Target="http://www.sec.gov/Archives/edgar/data/0001408198/000156459021005811/msci-ex10103_133.htm" TargetMode="External"/><Relationship Id="rId262" Type="http://schemas.openxmlformats.org/officeDocument/2006/relationships/hyperlink" Target="http://www.sec.gov/Archives/edgar/data/0001408198/000156459021005811/msci-ex10104_185.htm" TargetMode="External"/><Relationship Id="rId263" Type="http://schemas.openxmlformats.org/officeDocument/2006/relationships/hyperlink" Target="http://www.sec.gov/Archives/edgar/data/0001408198/000156459021005811/msci-ex10105_184.htm" TargetMode="External"/><Relationship Id="rId264" Type="http://schemas.openxmlformats.org/officeDocument/2006/relationships/hyperlink" Target="http://www.sec.gov/Archives/edgar/data/0001408198/000156459021005811/msci-ex10106_183.htm" TargetMode="External"/><Relationship Id="rId265" Type="http://schemas.openxmlformats.org/officeDocument/2006/relationships/hyperlink" Target="http://www.sec.gov/Archives/edgar/data/0001408198/000156459021005811/msci-ex10110_182.htm" TargetMode="External"/><Relationship Id="rId266" Type="http://schemas.openxmlformats.org/officeDocument/2006/relationships/hyperlink" Target="http://www.sec.gov/Archives/edgar/data/0001408198/000156459021005811/msci-ex10111_181.htm" TargetMode="External"/><Relationship Id="rId267" Type="http://schemas.openxmlformats.org/officeDocument/2006/relationships/hyperlink" Target="http://www.sec.gov/Archives/edgar/data/0001408198/000156459021005811/msci-ex10112_180.htm" TargetMode="External"/><Relationship Id="rId268" Type="http://schemas.openxmlformats.org/officeDocument/2006/relationships/hyperlink" Target="http://www.sec.gov/Archives/edgar/data/1408198/000156459019003885/msci-ex10113_950.htm" TargetMode="External"/><Relationship Id="rId269" Type="http://schemas.openxmlformats.org/officeDocument/2006/relationships/hyperlink" Target="http://www.sec.gov/Archives/edgar/data/0001408198/000156459021005811/msci-ex10116_178.htm" TargetMode="External"/><Relationship Id="rId271" Type="http://schemas.openxmlformats.org/officeDocument/2006/relationships/hyperlink" Target="http://www.sec.gov/Archives/edgar/data/0001408198/000156459021005811/msci-ex10117_177.htm" TargetMode="External"/><Relationship Id="rId272" Type="http://schemas.openxmlformats.org/officeDocument/2006/relationships/hyperlink" Target="http://www.sec.gov/Archives/edgar/data/0001408198/000156459021005811/msci-ex10118_176.htm" TargetMode="External"/><Relationship Id="rId273" Type="http://schemas.openxmlformats.org/officeDocument/2006/relationships/hyperlink" Target="http://www.sec.gov/Archives/edgar/data/0001408198/000156459021005811/msci-ex10119_175.htm" TargetMode="External"/><Relationship Id="rId274" Type="http://schemas.openxmlformats.org/officeDocument/2006/relationships/hyperlink" Target="http://www.sec.gov/Archives/edgar/data/0001408198/000156459021005811/msci-ex10120_174.htm" TargetMode="External"/><Relationship Id="rId275" Type="http://schemas.openxmlformats.org/officeDocument/2006/relationships/hyperlink" Target="http://www.sec.gov/Archives/edgar/data/0001408198/000156459021005811/msci-ex10121_207.htm" TargetMode="External"/><Relationship Id="rId276" Type="http://schemas.openxmlformats.org/officeDocument/2006/relationships/hyperlink" Target="http://www.sec.gov/Archives/edgar/data/0001408198/000156459021005811/msci-ex10122_173.htm" TargetMode="External"/><Relationship Id="rId277" Type="http://schemas.openxmlformats.org/officeDocument/2006/relationships/hyperlink" Target="http://www.sec.gov/Archives/edgar/data/1408198/000119312516482334/d20757dex10126.htm" TargetMode="External"/><Relationship Id="rId278" Type="http://schemas.openxmlformats.org/officeDocument/2006/relationships/hyperlink" Target="http://www.sec.gov/Archives/edgar/data/0001408198/000156459021005811/msci-ex10127_196.htm" TargetMode="External"/><Relationship Id="rId280" Type="http://schemas.openxmlformats.org/officeDocument/2006/relationships/hyperlink" Target="http://www.sec.gov/Archives/edgar/data/0001408198/000156459021005811/msci-ex10129_195.htm" TargetMode="External"/><Relationship Id="rId281" Type="http://schemas.openxmlformats.org/officeDocument/2006/relationships/hyperlink" Target="http://www.sec.gov/Archives/edgar/data/0001408198/000156459021005811/msci-ex10130_194.htm" TargetMode="External"/><Relationship Id="rId282" Type="http://schemas.openxmlformats.org/officeDocument/2006/relationships/hyperlink" Target="http://www.sec.gov/Archives/edgar/data/0001408198/000156459021005811/msci-ex10131_193.htm" TargetMode="External"/><Relationship Id="rId283" Type="http://schemas.openxmlformats.org/officeDocument/2006/relationships/hyperlink" Target="http://www.sec.gov/Archives/edgar/data/0001408198/000156459021005811/msci-ex10140_192.htm" TargetMode="External"/><Relationship Id="rId284" Type="http://schemas.openxmlformats.org/officeDocument/2006/relationships/hyperlink" Target="http://www.sec.gov/Archives/edgar/data/1408198/000156459017002336/msci-ex10141_1656.htm" TargetMode="External"/><Relationship Id="rId285" Type="http://schemas.openxmlformats.org/officeDocument/2006/relationships/hyperlink" Target="http://www.sec.gov/Archives/edgar/data/0001408198/000156459021005811/msci-ex10142_191.htm" TargetMode="External"/><Relationship Id="rId286" Type="http://schemas.openxmlformats.org/officeDocument/2006/relationships/hyperlink" Target="http://www.sec.gov/Archives/edgar/data/0001408198/000156459021005811/msci-ex10143_190.htm" TargetMode="External"/><Relationship Id="rId287" Type="http://schemas.openxmlformats.org/officeDocument/2006/relationships/hyperlink" Target="http://www.sec.gov/Archives/edgar/data/0001408198/000156459021005811/msci-ex10144_189.htm" TargetMode="External"/><Relationship Id="rId288" Type="http://schemas.openxmlformats.org/officeDocument/2006/relationships/hyperlink" Target="http://www.sec.gov/Archives/edgar/data/0001408198/000156459021005811/msci-ex10146_188.htm" TargetMode="External"/><Relationship Id="rId289" Type="http://schemas.openxmlformats.org/officeDocument/2006/relationships/hyperlink" Target="http://www.sec.gov/Archives/edgar/data/0001408198/000156459021005811/msci-ex10148_187.htm" TargetMode="External"/><Relationship Id="rId291" Type="http://schemas.openxmlformats.org/officeDocument/2006/relationships/hyperlink" Target="http://www.sec.gov/Archives/edgar/data/1408198/000156459017002336/msci-ex10149_1649.htm" TargetMode="External"/><Relationship Id="rId292" Type="http://schemas.openxmlformats.org/officeDocument/2006/relationships/hyperlink" Target="http://www.sec.gov/Archives/edgar/data/0001408198/000156459021005811/msci-ex10150_186.htm" TargetMode="External"/><Relationship Id="rId293" Type="http://schemas.openxmlformats.org/officeDocument/2006/relationships/hyperlink" Target="http://www.sec.gov/Archives/edgar/data/1408198/000156459018003147/msci-ex10154_240.htm" TargetMode="External"/><Relationship Id="rId294" Type="http://schemas.openxmlformats.org/officeDocument/2006/relationships/hyperlink" Target="http://www.sec.gov/Archives/edgar/data/1408198/000156459018003147/msci-ex10155_238.htm" TargetMode="External"/><Relationship Id="rId295" Type="http://schemas.openxmlformats.org/officeDocument/2006/relationships/hyperlink" Target="http://www.sec.gov/Archives/edgar/data/1408198/000156459018003147/msci-ex10156_239.htm" TargetMode="External"/><Relationship Id="rId296" Type="http://schemas.openxmlformats.org/officeDocument/2006/relationships/hyperlink" Target="http://www.sec.gov/Archives/edgar/data/1408198/000156459019003885/msci-ex10157_949.htm" TargetMode="External"/><Relationship Id="rId297" Type="http://schemas.openxmlformats.org/officeDocument/2006/relationships/hyperlink" Target="http://www.sec.gov/Archives/edgar/data/1408198/000156459018003147/msci-ex10159_236.htm" TargetMode="External"/><Relationship Id="rId298" Type="http://schemas.openxmlformats.org/officeDocument/2006/relationships/hyperlink" Target="http://www.sec.gov/Archives/edgar/data/1408198/000156459018003147/msci-ex10160_234.htm" TargetMode="External"/><Relationship Id="rId299" Type="http://schemas.openxmlformats.org/officeDocument/2006/relationships/hyperlink" Target="http://www.sec.gov/Archives/edgar/data/1408198/000156459019003885/msci-ex10161_948.htm" TargetMode="External"/><Relationship Id="rId300" Type="http://schemas.openxmlformats.org/officeDocument/2006/relationships/hyperlink" Target="http://www.sec.gov/Archives/edgar/data/1408198/000156459019003885/msci-ex10162_947.htm" TargetMode="External"/><Relationship Id="rId302" Type="http://schemas.openxmlformats.org/officeDocument/2006/relationships/hyperlink" Target="http://www.sec.gov/Archives/edgar/data/1408198/000156459018003147/msci-ex10163_232.htm" TargetMode="External"/><Relationship Id="rId303" Type="http://schemas.openxmlformats.org/officeDocument/2006/relationships/hyperlink" Target="http://www.sec.gov/Archives/edgar/data/1408198/000156459019003885/msci-ex10169_946.htm" TargetMode="External"/><Relationship Id="rId304" Type="http://schemas.openxmlformats.org/officeDocument/2006/relationships/hyperlink" Target="http://www.sec.gov/Archives/edgar/data/1408198/000156459019003885/msci-ex10170_945.htm" TargetMode="External"/><Relationship Id="rId305" Type="http://schemas.openxmlformats.org/officeDocument/2006/relationships/hyperlink" Target="http://www.sec.gov/Archives/edgar/data/1408198/000156459019003885/msci-ex10171_944.htm" TargetMode="External"/><Relationship Id="rId306" Type="http://schemas.openxmlformats.org/officeDocument/2006/relationships/hyperlink" Target="http://www.sec.gov/Archives/edgar/data/1408198/000156459019003885/msci-ex10172_943.htm" TargetMode="External"/><Relationship Id="rId307" Type="http://schemas.openxmlformats.org/officeDocument/2006/relationships/hyperlink" Target="http://www.sec.gov/Archives/edgar/data/1408198/000156459019003885/msci-ex10173_942.htm" TargetMode="External"/><Relationship Id="rId308" Type="http://schemas.openxmlformats.org/officeDocument/2006/relationships/hyperlink" Target="http://www.sec.gov/Archives/edgar/data/1408198/000156459019003885/msci-ex10175_940.htm" TargetMode="External"/><Relationship Id="rId309" Type="http://schemas.openxmlformats.org/officeDocument/2006/relationships/hyperlink" Target="http://www.sec.gov/Archives/edgar/data/1408198/000156459019003885/msci-ex10176_941.htm" TargetMode="External"/><Relationship Id="rId310" Type="http://schemas.openxmlformats.org/officeDocument/2006/relationships/hyperlink" Target="http://www.sec.gov/Archives/edgar/data/1408198/000156459019003885/msci-ex10177_939.htm" TargetMode="External"/><Relationship Id="rId311" Type="http://schemas.openxmlformats.org/officeDocument/2006/relationships/hyperlink" Target="http://www.sec.gov/Archives/edgar/data/1408198/000156459019003885/msci-ex10178_938.htm" TargetMode="External"/><Relationship Id="rId313" Type="http://schemas.openxmlformats.org/officeDocument/2006/relationships/hyperlink" Target="http://www.sec.gov/Archives/edgar/data/1408198/000156459019003885/msci-ex10179_937.htm" TargetMode="External"/><Relationship Id="rId314" Type="http://schemas.openxmlformats.org/officeDocument/2006/relationships/hyperlink" Target="http://www.sec.gov/Archives/edgar/data/1408198/000156459019003885/msci-ex10180_936.htm" TargetMode="External"/><Relationship Id="rId315" Type="http://schemas.openxmlformats.org/officeDocument/2006/relationships/hyperlink" Target="http://www.sec.gov/Archives/edgar/data/1408198/000156459019003885/msci-ex10181_935.htm" TargetMode="External"/><Relationship Id="rId316" Type="http://schemas.openxmlformats.org/officeDocument/2006/relationships/hyperlink" Target="http://www.sec.gov/Archives/edgar/data/1408198/000156459019003885/msci-ex10182_934.htm" TargetMode="External"/><Relationship Id="rId317" Type="http://schemas.openxmlformats.org/officeDocument/2006/relationships/hyperlink" Target="http://www.sec.gov/Archives/edgar/data/0001408198/000156459020004992/msci-ex10183_26.htm" TargetMode="External"/><Relationship Id="rId318" Type="http://schemas.openxmlformats.org/officeDocument/2006/relationships/hyperlink" Target="http://www.sec.gov/Archives/edgar/data/1408198/000156459019003885/msci-ex10184_932.htm" TargetMode="External"/><Relationship Id="rId319" Type="http://schemas.openxmlformats.org/officeDocument/2006/relationships/hyperlink" Target="http://www.sec.gov/Archives/edgar/data/1408198/000156459019039046/msci-ex101_262.htm" TargetMode="External"/><Relationship Id="rId320" Type="http://schemas.openxmlformats.org/officeDocument/2006/relationships/hyperlink" Target="http://www.sec.gov/Archives/edgar/data/0001408198/000156459020004992/msci-ex10201_809.htm" TargetMode="External"/><Relationship Id="rId321" Type="http://schemas.openxmlformats.org/officeDocument/2006/relationships/hyperlink" Target="http://www.sec.gov/Archives/edgar/data/0001408198/000156459020004992/msci-ex10202_808.htm" TargetMode="External"/><Relationship Id="rId322" Type="http://schemas.openxmlformats.org/officeDocument/2006/relationships/hyperlink" Target="http://www.sec.gov/Archives/edgar/data/0001408198/000156459020004992/msci-ex10203_807.htm" TargetMode="External"/><Relationship Id="rId324" Type="http://schemas.openxmlformats.org/officeDocument/2006/relationships/hyperlink" Target="http://www.sec.gov/Archives/edgar/data/0001408198/000156459020004992/msci-ex10204_806.htm" TargetMode="External"/><Relationship Id="rId325" Type="http://schemas.openxmlformats.org/officeDocument/2006/relationships/hyperlink" Target="http://www.sec.gov/Archives/edgar/data/0001408198/000156459020004992/msci-ex10205_805.htm" TargetMode="External"/><Relationship Id="rId326" Type="http://schemas.openxmlformats.org/officeDocument/2006/relationships/hyperlink" Target="http://www.sec.gov/Archives/edgar/data/0001408198/000156459020004992/msci-ex10206_804.htm" TargetMode="External"/><Relationship Id="rId327" Type="http://schemas.openxmlformats.org/officeDocument/2006/relationships/hyperlink" Target="http://www.sec.gov/Archives/edgar/data/0001408198/000156459020004992/msci-ex10207_803.htm" TargetMode="External"/><Relationship Id="rId328" Type="http://schemas.openxmlformats.org/officeDocument/2006/relationships/hyperlink" Target="http://www.sec.gov/Archives/edgar/data/0001408198/000156459020004992/msci-ex10208_802.htm" TargetMode="External"/><Relationship Id="rId329" Type="http://schemas.openxmlformats.org/officeDocument/2006/relationships/hyperlink" Target="http://www.sec.gov/Archives/edgar/data/0001408198/000156459020004992/msci-ex10209_801.htm" TargetMode="External"/><Relationship Id="rId330" Type="http://schemas.openxmlformats.org/officeDocument/2006/relationships/hyperlink" Target="http://www.sec.gov/Archives/edgar/data/0001408198/000156459020004992/msci-ex10210_800.htm" TargetMode="External"/><Relationship Id="rId331" Type="http://schemas.openxmlformats.org/officeDocument/2006/relationships/hyperlink" Target="http://www.sec.gov/Archives/edgar/data/0001408198/000156459020004992/msci-ex10211_799.htm" TargetMode="External"/><Relationship Id="rId332" Type="http://schemas.openxmlformats.org/officeDocument/2006/relationships/hyperlink" Target="http://www.sec.gov/Archives/edgar/data/0001408198/000156459020004992/msci-ex10212_798.htm" TargetMode="External"/><Relationship Id="rId333" Type="http://schemas.openxmlformats.org/officeDocument/2006/relationships/hyperlink" Target="http://www.sec.gov/Archives/edgar/data/0001408198/000156459020004992/msci-ex10213_797.htm" TargetMode="External"/><Relationship Id="rId335" Type="http://schemas.openxmlformats.org/officeDocument/2006/relationships/hyperlink" Target="http://www.sec.gov/Archives/edgar/data/0001408198/000156459020004992/msci-ex10214_796.htm" TargetMode="External"/><Relationship Id="rId336" Type="http://schemas.openxmlformats.org/officeDocument/2006/relationships/hyperlink" Target="http://www.sec.gov/Archives/edgar/data/0001408198/000156459020004992/msci-ex10215_795.htm" TargetMode="External"/><Relationship Id="rId337" Type="http://schemas.openxmlformats.org/officeDocument/2006/relationships/hyperlink" Target="http://www.sec.gov/Archives/edgar/data/0001408198/000156459021005811/msci-ex10222_206.htm" TargetMode="External"/><Relationship Id="rId338" Type="http://schemas.openxmlformats.org/officeDocument/2006/relationships/hyperlink" Target="http://www.sec.gov/Archives/edgar/data/0001408198/000156459021005811/msci-ex10223_205.htm" TargetMode="External"/><Relationship Id="rId339" Type="http://schemas.openxmlformats.org/officeDocument/2006/relationships/hyperlink" Target="http://www.sec.gov/Archives/edgar/data/0001408198/000156459021005811/msci-ex10224_203.htm" TargetMode="External"/><Relationship Id="rId340" Type="http://schemas.openxmlformats.org/officeDocument/2006/relationships/hyperlink" Target="http://www.sec.gov/Archives/edgar/data/0001408198/000156459021005811/msci-ex10225_202.htm" TargetMode="External"/><Relationship Id="rId341" Type="http://schemas.openxmlformats.org/officeDocument/2006/relationships/hyperlink" Target="http://www.sec.gov/Archives/edgar/data/0001408198/000156459021005811/msci-ex10226_204.htm" TargetMode="External"/><Relationship Id="rId342" Type="http://schemas.openxmlformats.org/officeDocument/2006/relationships/hyperlink" Target="http://www.sec.gov/Archives/edgar/data/0001408198/000156459021005811/msci-ex10227_201.htm" TargetMode="External"/><Relationship Id="rId343" Type="http://schemas.openxmlformats.org/officeDocument/2006/relationships/hyperlink" Target="http://www.sec.gov/Archives/edgar/data/0001408198/000156459021005811/msci-ex10228_200.htm" TargetMode="External"/><Relationship Id="rId344" Type="http://schemas.openxmlformats.org/officeDocument/2006/relationships/hyperlink" Target="http://www.sec.gov/Archives/edgar/data/0001408198/000156459021005811/msci-ex10229_199.htm" TargetMode="External"/><Relationship Id="rId345" Type="http://schemas.openxmlformats.org/officeDocument/2006/relationships/hyperlink" Target="http://www.sec.gov/Archives/edgar/data/0001408198/000156459021005811/msci-ex10230_198.htm" TargetMode="External"/><Relationship Id="rId346" Type="http://schemas.openxmlformats.org/officeDocument/2006/relationships/hyperlink" Target="http://www.sec.gov/Archives/edgar/data/0001408198/000156459021005811/msci-ex10231_1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2022-02-12T03:09:54Z</dcterms:created>
  <dcterms:modified xsi:type="dcterms:W3CDTF">2022-02-12T03:09:54Z</dcterms:modified>
</cp:coreProperties>
</file>