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wp:posOffset>
            </wp:positionH>
            <wp:positionV relativeFrom="paragraph">
              <wp:posOffset>325755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351790</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9"/>
        <w:spacing w:after="0" w:line="18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04"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(Mark One)</w:t>
      </w:r>
    </w:p>
    <w:p>
      <w:pPr>
        <w:jc w:val="center"/>
        <w:ind w:right="-19"/>
        <w:spacing w:after="0" w:line="237"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ANNUAL REPORT PURSUANT TO SECTION 13 OR 15(d)</w:t>
      </w:r>
    </w:p>
    <w:p>
      <w:pPr>
        <w:jc w:val="center"/>
        <w:ind w:right="-19"/>
        <w:spacing w:after="0" w:line="216" w:lineRule="auto"/>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jc w:val="center"/>
        <w:ind w:right="-19"/>
        <w:spacing w:after="0" w:line="210" w:lineRule="auto"/>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___________ to 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number 001-33812</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3091180</wp:posOffset>
            </wp:positionH>
            <wp:positionV relativeFrom="paragraph">
              <wp:posOffset>64770</wp:posOffset>
            </wp:positionV>
            <wp:extent cx="9601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25717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127"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3380" w:type="dxa"/>
            <w:vAlign w:val="bottom"/>
          </w:tcPr>
          <w:p>
            <w:pPr>
              <w:jc w:val="center"/>
              <w:ind w:left="70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jc w:val="center"/>
              <w:ind w:right="2130"/>
              <w:spacing w:after="0"/>
              <w:rPr>
                <w:sz w:val="20"/>
                <w:szCs w:val="20"/>
                <w:color w:val="auto"/>
              </w:rPr>
            </w:pPr>
            <w:r>
              <w:rPr>
                <w:rFonts w:ascii="Times New Roman" w:cs="Times New Roman" w:eastAsia="Times New Roman" w:hAnsi="Times New Roman"/>
                <w:sz w:val="16"/>
                <w:szCs w:val="16"/>
                <w:b w:val="1"/>
                <w:bCs w:val="1"/>
                <w:color w:val="auto"/>
              </w:rPr>
              <w:t>13-4038723</w:t>
            </w:r>
          </w:p>
        </w:tc>
      </w:tr>
      <w:tr>
        <w:trPr>
          <w:trHeight w:val="188"/>
        </w:trPr>
        <w:tc>
          <w:tcPr>
            <w:tcW w:w="3380" w:type="dxa"/>
            <w:vAlign w:val="bottom"/>
          </w:tcPr>
          <w:p>
            <w:pPr>
              <w:jc w:val="center"/>
              <w:ind w:left="709"/>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tcPr>
          <w:p>
            <w:pPr>
              <w:jc w:val="center"/>
              <w:ind w:right="215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380" w:type="dxa"/>
            <w:vAlign w:val="bottom"/>
          </w:tcPr>
          <w:p>
            <w:pPr>
              <w:jc w:val="center"/>
              <w:ind w:left="709"/>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tcPr>
          <w:p>
            <w:pPr>
              <w:jc w:val="center"/>
              <w:ind w:right="2150"/>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r>
        <w:trPr>
          <w:trHeight w:val="286"/>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7 World Trade Center</w:t>
            </w:r>
          </w:p>
        </w:tc>
        <w:tc>
          <w:tcPr>
            <w:tcW w:w="3860" w:type="dxa"/>
            <w:vAlign w:val="bottom"/>
          </w:tcPr>
          <w:p>
            <w:pPr>
              <w:spacing w:after="0"/>
              <w:rPr>
                <w:sz w:val="24"/>
                <w:szCs w:val="24"/>
                <w:color w:val="auto"/>
              </w:rPr>
            </w:pPr>
          </w:p>
        </w:tc>
      </w:tr>
      <w:tr>
        <w:trPr>
          <w:trHeight w:val="135"/>
        </w:trPr>
        <w:tc>
          <w:tcPr>
            <w:tcW w:w="3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250 Greenwich Street, 49th Floor</w:t>
            </w:r>
          </w:p>
        </w:tc>
        <w:tc>
          <w:tcPr>
            <w:tcW w:w="3860" w:type="dxa"/>
            <w:vAlign w:val="bottom"/>
          </w:tcPr>
          <w:p>
            <w:pPr>
              <w:spacing w:after="0"/>
              <w:rPr>
                <w:sz w:val="11"/>
                <w:szCs w:val="11"/>
                <w:color w:val="auto"/>
              </w:rPr>
            </w:pPr>
          </w:p>
        </w:tc>
      </w:tr>
      <w:tr>
        <w:trPr>
          <w:trHeight w:val="149"/>
        </w:trPr>
        <w:tc>
          <w:tcPr>
            <w:tcW w:w="3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New York</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New York 10007</w:t>
            </w:r>
          </w:p>
        </w:tc>
        <w:tc>
          <w:tcPr>
            <w:tcW w:w="3860" w:type="dxa"/>
            <w:vAlign w:val="bottom"/>
          </w:tcPr>
          <w:p>
            <w:pPr>
              <w:spacing w:after="0"/>
              <w:rPr>
                <w:sz w:val="12"/>
                <w:szCs w:val="12"/>
                <w:color w:val="auto"/>
              </w:rPr>
            </w:pPr>
          </w:p>
        </w:tc>
      </w:tr>
      <w:tr>
        <w:trPr>
          <w:trHeight w:val="149"/>
        </w:trPr>
        <w:tc>
          <w:tcPr>
            <w:tcW w:w="3380" w:type="dxa"/>
            <w:vAlign w:val="bottom"/>
          </w:tcPr>
          <w:p>
            <w:pPr>
              <w:spacing w:after="0"/>
              <w:rPr>
                <w:sz w:val="12"/>
                <w:szCs w:val="12"/>
                <w:color w:val="auto"/>
              </w:rPr>
            </w:pPr>
          </w:p>
        </w:tc>
        <w:tc>
          <w:tcPr>
            <w:tcW w:w="6880" w:type="dxa"/>
            <w:vAlign w:val="bottom"/>
            <w:gridSpan w:val="5"/>
          </w:tcPr>
          <w:p>
            <w:pPr>
              <w:jc w:val="center"/>
              <w:ind w:right="3310"/>
              <w:spacing w:after="0" w:line="149" w:lineRule="exact"/>
              <w:rPr>
                <w:sz w:val="20"/>
                <w:szCs w:val="20"/>
                <w:color w:val="auto"/>
              </w:rPr>
            </w:pPr>
            <w:r>
              <w:rPr>
                <w:rFonts w:ascii="Times New Roman" w:cs="Times New Roman" w:eastAsia="Times New Roman" w:hAnsi="Times New Roman"/>
                <w:sz w:val="15"/>
                <w:szCs w:val="15"/>
                <w:b w:val="1"/>
                <w:bCs w:val="1"/>
                <w:color w:val="auto"/>
              </w:rPr>
              <w:t>(Address of Principal Executive Offices, zip code)</w:t>
            </w:r>
          </w:p>
        </w:tc>
      </w:tr>
      <w:tr>
        <w:trPr>
          <w:trHeight w:val="148"/>
        </w:trPr>
        <w:tc>
          <w:tcPr>
            <w:tcW w:w="3380" w:type="dxa"/>
            <w:vAlign w:val="bottom"/>
          </w:tcPr>
          <w:p>
            <w:pPr>
              <w:spacing w:after="0"/>
              <w:rPr>
                <w:sz w:val="12"/>
                <w:szCs w:val="12"/>
                <w:color w:val="auto"/>
              </w:rPr>
            </w:pPr>
          </w:p>
        </w:tc>
        <w:tc>
          <w:tcPr>
            <w:tcW w:w="2940" w:type="dxa"/>
            <w:vAlign w:val="bottom"/>
            <w:gridSpan w:val="3"/>
          </w:tcPr>
          <w:p>
            <w:pPr>
              <w:jc w:val="center"/>
              <w:ind w:left="464"/>
              <w:spacing w:after="0" w:line="149" w:lineRule="exact"/>
              <w:rPr>
                <w:sz w:val="20"/>
                <w:szCs w:val="20"/>
                <w:color w:val="auto"/>
              </w:rPr>
            </w:pPr>
            <w:r>
              <w:rPr>
                <w:rFonts w:ascii="Times New Roman" w:cs="Times New Roman" w:eastAsia="Times New Roman" w:hAnsi="Times New Roman"/>
                <w:sz w:val="15"/>
                <w:szCs w:val="15"/>
                <w:b w:val="1"/>
                <w:bCs w:val="1"/>
                <w:color w:val="auto"/>
              </w:rPr>
              <w:t>(212) 804-3900</w:t>
            </w:r>
          </w:p>
        </w:tc>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68"/>
        </w:trPr>
        <w:tc>
          <w:tcPr>
            <w:tcW w:w="3380" w:type="dxa"/>
            <w:vAlign w:val="bottom"/>
          </w:tcPr>
          <w:p>
            <w:pPr>
              <w:spacing w:after="0"/>
              <w:rPr>
                <w:sz w:val="14"/>
                <w:szCs w:val="14"/>
                <w:color w:val="auto"/>
              </w:rPr>
            </w:pPr>
          </w:p>
        </w:tc>
        <w:tc>
          <w:tcPr>
            <w:tcW w:w="6880" w:type="dxa"/>
            <w:vAlign w:val="bottom"/>
            <w:gridSpan w:val="5"/>
          </w:tcPr>
          <w:p>
            <w:pPr>
              <w:jc w:val="center"/>
              <w:ind w:right="3310"/>
              <w:spacing w:after="0" w:line="168" w:lineRule="exact"/>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tc>
      </w:tr>
      <w:tr>
        <w:trPr>
          <w:trHeight w:val="202"/>
        </w:trPr>
        <w:tc>
          <w:tcPr>
            <w:tcW w:w="10260" w:type="dxa"/>
            <w:vAlign w:val="bottom"/>
            <w:gridSpan w:val="6"/>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81"/>
        </w:trPr>
        <w:tc>
          <w:tcPr>
            <w:tcW w:w="3380" w:type="dxa"/>
            <w:vAlign w:val="bottom"/>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06"/>
        </w:trPr>
        <w:tc>
          <w:tcPr>
            <w:tcW w:w="3380" w:type="dxa"/>
            <w:vAlign w:val="bottom"/>
          </w:tcPr>
          <w:p>
            <w:pPr>
              <w:jc w:val="center"/>
              <w:ind w:left="369"/>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MSCI</w:t>
            </w:r>
          </w:p>
        </w:tc>
        <w:tc>
          <w:tcPr>
            <w:tcW w:w="80" w:type="dxa"/>
            <w:vAlign w:val="bottom"/>
          </w:tcPr>
          <w:p>
            <w:pPr>
              <w:spacing w:after="0"/>
              <w:rPr>
                <w:sz w:val="17"/>
                <w:szCs w:val="17"/>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5" w:lineRule="exact"/>
        <w:rPr>
          <w:sz w:val="24"/>
          <w:szCs w:val="24"/>
          <w:color w:val="auto"/>
        </w:rPr>
      </w:pPr>
    </w:p>
    <w:p>
      <w:pPr>
        <w:ind w:left="660" w:right="2260"/>
        <w:spacing w:after="0" w:line="254"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1" w:lineRule="exact"/>
        <w:rPr>
          <w:sz w:val="24"/>
          <w:szCs w:val="24"/>
          <w:color w:val="auto"/>
        </w:rPr>
      </w:pPr>
    </w:p>
    <w:p>
      <w:pPr>
        <w:ind w:right="620" w:firstLine="648"/>
        <w:spacing w:after="0" w:line="21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ind w:right="360" w:firstLine="648"/>
        <w:spacing w:after="0" w:line="22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220" w:firstLine="648"/>
        <w:spacing w:after="0" w:line="23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580" w:type="dxa"/>
        <w:tblCellMar>
          <w:top w:w="0" w:type="dxa"/>
          <w:left w:w="0" w:type="dxa"/>
          <w:bottom w:w="0" w:type="dxa"/>
          <w:right w:w="0" w:type="dxa"/>
        </w:tblCellMar>
      </w:tblP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1040"/>
              <w:spacing w:after="0"/>
              <w:rPr>
                <w:sz w:val="20"/>
                <w:szCs w:val="20"/>
                <w:color w:val="auto"/>
              </w:rPr>
            </w:pPr>
            <w:r>
              <w:rPr>
                <w:rFonts w:ascii="Wingdings" w:cs="Wingdings" w:eastAsia="Wingdings" w:hAnsi="Wingdings"/>
                <w:sz w:val="14"/>
                <w:szCs w:val="14"/>
                <w:b w:val="1"/>
                <w:bCs w:val="1"/>
                <w:color w:val="auto"/>
              </w:rPr>
              <w:t>x</w:t>
            </w:r>
          </w:p>
        </w:tc>
        <w:tc>
          <w:tcPr>
            <w:tcW w:w="396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rPr>
                <w:sz w:val="20"/>
                <w:szCs w:val="20"/>
                <w:color w:val="auto"/>
              </w:rPr>
            </w:pPr>
            <w:r>
              <w:rPr>
                <w:rFonts w:ascii="Wingdings" w:cs="Wingdings" w:eastAsia="Wingdings" w:hAnsi="Wingdings"/>
                <w:sz w:val="14"/>
                <w:szCs w:val="14"/>
                <w:b w:val="1"/>
                <w:bCs w:val="1"/>
                <w:color w:val="auto"/>
                <w:w w:val="79"/>
              </w:rPr>
              <w:t>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96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rPr>
                <w:sz w:val="20"/>
                <w:szCs w:val="20"/>
                <w:color w:val="auto"/>
              </w:rPr>
            </w:pPr>
            <w:r>
              <w:rPr>
                <w:rFonts w:ascii="Wingdings" w:cs="Wingdings" w:eastAsia="Wingdings" w:hAnsi="Wingdings"/>
                <w:sz w:val="14"/>
                <w:szCs w:val="14"/>
                <w:b w:val="1"/>
                <w:bCs w:val="1"/>
                <w:color w:val="auto"/>
                <w:w w:val="79"/>
              </w:rPr>
              <w:t>o</w:t>
            </w:r>
          </w:p>
        </w:tc>
      </w:tr>
      <w:tr>
        <w:trPr>
          <w:trHeight w:val="216"/>
        </w:trPr>
        <w:tc>
          <w:tcPr>
            <w:tcW w:w="2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96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74" w:lineRule="exact"/>
        <w:rPr>
          <w:sz w:val="24"/>
          <w:szCs w:val="24"/>
          <w:color w:val="auto"/>
        </w:rPr>
      </w:pPr>
    </w:p>
    <w:p>
      <w:pPr>
        <w:ind w:right="540" w:firstLine="648"/>
        <w:spacing w:after="0" w:line="24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ind w:right="180" w:firstLine="648"/>
        <w:spacing w:after="0" w:line="22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 w:lineRule="exact"/>
        <w:rPr>
          <w:sz w:val="24"/>
          <w:szCs w:val="24"/>
          <w:color w:val="auto"/>
        </w:rPr>
      </w:pPr>
    </w:p>
    <w:p>
      <w:pPr>
        <w:ind w:right="280" w:firstLine="648"/>
        <w:spacing w:after="0" w:line="230"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ind w:right="280" w:firstLine="648"/>
        <w:spacing w:after="0" w:line="224"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11" w:lineRule="exact"/>
        <w:rPr>
          <w:sz w:val="24"/>
          <w:szCs w:val="24"/>
          <w:color w:val="auto"/>
        </w:rPr>
      </w:pPr>
    </w:p>
    <w:p>
      <w:pPr>
        <w:ind w:right="260" w:firstLine="648"/>
        <w:spacing w:after="0" w:line="201" w:lineRule="auto"/>
        <w:rPr>
          <w:sz w:val="20"/>
          <w:szCs w:val="20"/>
          <w:color w:val="auto"/>
        </w:rPr>
      </w:pPr>
      <w:r>
        <w:rPr>
          <w:rFonts w:ascii="Times New Roman" w:cs="Times New Roman" w:eastAsia="Times New Roman" w:hAnsi="Times New Roman"/>
          <w:sz w:val="15"/>
          <w:szCs w:val="15"/>
          <w:color w:val="auto"/>
        </w:rPr>
        <w:t>The aggregate market value of Common Stock held by non-affiliates of the registrant as of the last business day of the registrant’s most recently completed second fiscal quarter (based on the closing price of these securities as reported by The New York Stock Exchange on June 30, 2025) was $43,149,826,814. Shares of Common Stock held by</w:t>
      </w:r>
    </w:p>
    <w:p>
      <w:pPr>
        <w:spacing w:after="0" w:line="1"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5"/>
          <w:szCs w:val="15"/>
          <w:color w:val="auto"/>
        </w:rPr>
        <w:t>executive officers and directors of the registrant are not included in the computation. However, the registrant has made no determination that such individuals are “affiliates” within the meaning of Rule 405 under the Securities Act of 1933.</w:t>
      </w: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5"/>
          <w:szCs w:val="15"/>
          <w:color w:val="auto"/>
        </w:rPr>
        <w:t>As of January 30, 2026, there were 73,474,042 shares of the registrant’s Common Stock, par value $0.01 per share, outstanding.</w:t>
      </w:r>
    </w:p>
    <w:p>
      <w:pPr>
        <w:spacing w:after="0" w:line="10" w:lineRule="exact"/>
        <w:rPr>
          <w:sz w:val="24"/>
          <w:szCs w:val="24"/>
          <w:color w:val="auto"/>
        </w:rPr>
      </w:pPr>
    </w:p>
    <w:p>
      <w:pPr>
        <w:ind w:right="20" w:firstLine="648"/>
        <w:spacing w:after="0" w:line="234" w:lineRule="auto"/>
        <w:rPr>
          <w:sz w:val="20"/>
          <w:szCs w:val="20"/>
          <w:color w:val="auto"/>
        </w:rPr>
      </w:pPr>
      <w:r>
        <w:rPr>
          <w:rFonts w:ascii="Times New Roman" w:cs="Times New Roman" w:eastAsia="Times New Roman" w:hAnsi="Times New Roman"/>
          <w:sz w:val="15"/>
          <w:szCs w:val="15"/>
          <w:color w:val="auto"/>
        </w:rPr>
        <w:t>Documents incorporated by reference: Portions of the registrant’s proxy statement for its 2026 Annual Meeting of Stockholders, to be filed within 120 days of the end of the fiscal year ended December 31, 2025, are incorporated herein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151765</wp:posOffset>
            </wp:positionV>
            <wp:extent cx="6532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177165</wp:posOffset>
            </wp:positionV>
            <wp:extent cx="6532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MSCI INC.</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17"/>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20" w:type="dxa"/>
            <w:vAlign w:val="bottom"/>
            <w:gridSpan w:val="20"/>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gridSpan w:val="1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3"/>
          </w:tcPr>
          <w:p>
            <w:pPr>
              <w:jc w:val="center"/>
              <w:ind w:right="39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20" w:type="dxa"/>
            <w:vAlign w:val="bottom"/>
            <w:gridSpan w:val="5"/>
          </w:tcPr>
          <w:p>
            <w:pPr>
              <w:spacing w:after="0"/>
              <w:rPr>
                <w:sz w:val="18"/>
                <w:szCs w:val="18"/>
                <w:color w:val="auto"/>
              </w:rPr>
            </w:pPr>
          </w:p>
        </w:tc>
        <w:tc>
          <w:tcPr>
            <w:tcW w:w="4460" w:type="dxa"/>
            <w:vAlign w:val="bottom"/>
            <w:gridSpan w:val="19"/>
          </w:tcPr>
          <w:p>
            <w:pPr>
              <w:ind w:left="120"/>
              <w:spacing w:after="0"/>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3"/>
          </w:tcPr>
          <w:p>
            <w:pPr>
              <w:spacing w:after="0"/>
              <w:rPr>
                <w:sz w:val="18"/>
                <w:szCs w:val="18"/>
                <w:color w:val="auto"/>
              </w:rPr>
            </w:pPr>
          </w:p>
        </w:tc>
        <w:tc>
          <w:tcPr>
            <w:tcW w:w="3940" w:type="dxa"/>
            <w:vAlign w:val="bottom"/>
            <w:gridSpan w:val="9"/>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Cybersecurity</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18"/>
                <w:szCs w:val="18"/>
                <w:color w:val="auto"/>
              </w:rPr>
            </w:pPr>
          </w:p>
        </w:tc>
        <w:tc>
          <w:tcPr>
            <w:tcW w:w="100" w:type="dxa"/>
            <w:vAlign w:val="bottom"/>
            <w:gridSpan w:val="3"/>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Properties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20" w:type="dxa"/>
            <w:vAlign w:val="bottom"/>
            <w:gridSpan w:val="5"/>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20" w:type="dxa"/>
            <w:vAlign w:val="bottom"/>
            <w:gridSpan w:val="5"/>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426"/>
        </w:trPr>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90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40" w:type="dxa"/>
            <w:vAlign w:val="bottom"/>
            <w:gridSpan w:val="4"/>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Pr>
          <w:p>
            <w:pPr>
              <w:spacing w:after="0"/>
              <w:rPr>
                <w:sz w:val="18"/>
                <w:szCs w:val="18"/>
                <w:color w:val="auto"/>
              </w:rPr>
            </w:pPr>
          </w:p>
        </w:tc>
        <w:tc>
          <w:tcPr>
            <w:tcW w:w="140" w:type="dxa"/>
            <w:vAlign w:val="bottom"/>
            <w:gridSpan w:val="4"/>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220" w:type="dxa"/>
            <w:vAlign w:val="bottom"/>
            <w:gridSpan w:val="5"/>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140" w:type="dxa"/>
            <w:vAlign w:val="bottom"/>
            <w:gridSpan w:val="4"/>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9A.</w:t>
            </w: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2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1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40" w:type="dxa"/>
            <w:vAlign w:val="bottom"/>
            <w:gridSpan w:val="4"/>
          </w:tcPr>
          <w:p>
            <w:pPr>
              <w:spacing w:after="0"/>
              <w:rPr>
                <w:sz w:val="18"/>
                <w:szCs w:val="18"/>
                <w:color w:val="auto"/>
              </w:rPr>
            </w:pP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97</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r>
      <w:tr>
        <w:trPr>
          <w:trHeight w:val="20"/>
        </w:trPr>
        <w:tc>
          <w:tcPr>
            <w:tcW w:w="74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09"/>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98</w:t>
            </w:r>
          </w:p>
        </w:tc>
      </w:tr>
      <w:tr>
        <w:trPr>
          <w:trHeight w:val="426"/>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14"/>
          </w:tcPr>
          <w:p>
            <w:pPr>
              <w:jc w:val="center"/>
              <w:ind w:right="38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15.</w:t>
            </w:r>
          </w:p>
        </w:tc>
        <w:tc>
          <w:tcPr>
            <w:tcW w:w="4400" w:type="dxa"/>
            <w:vAlign w:val="bottom"/>
            <w:gridSpan w:val="17"/>
          </w:tcPr>
          <w:p>
            <w:pPr>
              <w:ind w:left="120"/>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00" w:type="dxa"/>
            <w:vAlign w:val="bottom"/>
            <w:tcBorders>
              <w:top w:val="single" w:sz="8" w:color="0000FF"/>
            </w:tcBorders>
            <w:gridSpan w:val="7"/>
          </w:tcPr>
          <w:p>
            <w:pPr>
              <w:spacing w:after="0"/>
              <w:rPr>
                <w:sz w:val="18"/>
                <w:szCs w:val="18"/>
                <w:color w:val="auto"/>
              </w:rPr>
            </w:pPr>
          </w:p>
        </w:tc>
        <w:tc>
          <w:tcPr>
            <w:tcW w:w="3880" w:type="dxa"/>
            <w:vAlign w:val="bottom"/>
            <w:gridSpan w:val="7"/>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99</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78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16.</w:t>
            </w:r>
          </w:p>
        </w:tc>
        <w:tc>
          <w:tcPr>
            <w:tcW w:w="8980" w:type="dxa"/>
            <w:vAlign w:val="bottom"/>
            <w:gridSpan w:val="31"/>
          </w:tcPr>
          <w:p>
            <w:pPr>
              <w:ind w:left="120"/>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102</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317"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Except as the context otherwise indicates, the terms “MSCI,” the “Company,” “we,” “our” and “us” refer to MSCI Inc. together with its subsidiaries.</w:t>
      </w:r>
    </w:p>
    <w:p>
      <w:pPr>
        <w:spacing w:after="0" w:line="158"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trademarks, service marks and trade names owned by us, as well as those owned by others. MSCI, Barra, RiskMetrics and other MSCI brands and product names are the trademarks, service marks or registered trademarks of MSCI, its subsidiaries or licensors in the United States and/or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have included in this Annual Report on Form 10-K,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 These forward-looking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statements.</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this Annual Report on Form 10-K. If any of these risks or uncertainties materialize, or if MSCI’s underlying assumptions prove to be incorrect, actual results may vary significantly from what MSCI projected. Any forward-looking statement reflects our current views with respect to future events levels of activity, performance or achievements and is subject to these and other risks, uncertainties and assumptions relating to our operations, results of operations, growth strategy and liquidity. The forward-looking statements in this report speak only as of the time they are made and do not necessarily reflect our outlook at any other point in time. MSCI assumes no obligation to publicly update or revise these forward-looking statements for any reason, whether as a result of new information, future events, or otherwise, except as required by law. Therefore, readers should carefully review the risk factors set forth in this Annual Report on Form 10-K and in other reports or documents we file from time to time with the Securities and Exchange Commission (the “SEC”).</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Our research-based data, analytics and indexes, supported by advanced technology, set standards for global investors and help our clients understand risks and opportunities, make better investment decisions and unlock innovation.</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Investors all over the world use our tools and solutions to gain insights and improve transparency throughout their investment processes. Our offerings help them define their investment universe; make asset allocation decisions; construct and analyze portfolios and investment strategies; identify, measure and manage drivers of investment risk and performance; integrate sustainability and climate considerations into portfolio construction and risk management; design and manage indexed financial products such as exchange-traded funds (“ETFs”); and prepare regulatory and client reports.</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products and services include indexes; portfolio construction and risk management analytical models and tools; sustainability and climate solutions; and private asset data and analytics. We are focused on supporting investors’ total portfolio needs across asset classes through our integrated solutions. We use advanced technology, including artificial intelligence (“AI”), to improve how we collect and validate data and enhance the capabilities and insights we deliver to clients.</w:t>
      </w:r>
    </w:p>
    <w:p>
      <w:pPr>
        <w:spacing w:after="0" w:line="180" w:lineRule="exact"/>
        <w:rPr>
          <w:sz w:val="20"/>
          <w:szCs w:val="20"/>
          <w:color w:val="auto"/>
        </w:rPr>
      </w:pPr>
    </w:p>
    <w:p>
      <w:pPr>
        <w:ind w:right="460" w:firstLine="648"/>
        <w:spacing w:after="0" w:line="289" w:lineRule="auto"/>
        <w:rPr>
          <w:sz w:val="20"/>
          <w:szCs w:val="20"/>
          <w:color w:val="auto"/>
        </w:rPr>
      </w:pPr>
      <w:r>
        <w:rPr>
          <w:rFonts w:ascii="Times New Roman" w:cs="Times New Roman" w:eastAsia="Times New Roman" w:hAnsi="Times New Roman"/>
          <w:sz w:val="17"/>
          <w:szCs w:val="17"/>
          <w:color w:val="auto"/>
        </w:rPr>
        <w:t>Our client-centric focus and deep understanding of client needs, challenges and goals help us anticipate and respond to industry trends. We consider the distinct needs of different client types when developing our tools and solutions. We operate an integrated business across all functions, products and solutions, and we are dedicated to delivering service excellence, innovative research and content, and flexible, cutting-edge technology.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serve many client types across the global investment ecosystem and align our tools and solutions to support their data, analytical, research and workflow needs. Our client types include:</w:t>
      </w:r>
    </w:p>
    <w:p>
      <w:pPr>
        <w:spacing w:after="0" w:line="54" w:lineRule="exact"/>
        <w:rPr>
          <w:sz w:val="20"/>
          <w:szCs w:val="20"/>
          <w:color w:val="auto"/>
        </w:rPr>
      </w:pPr>
    </w:p>
    <w:p>
      <w:pPr>
        <w:ind w:left="660" w:right="5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managers, including managers of institutional funds and accounts, mutual funds, ETFs, and other public-market strategies, as well as private-markets general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brokerages, including banks, broker-dealers, custodians, proprietary market makers and fund administrators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owners, including pension funds, endowments, foundations, investment consultants, central banks, sovereign wealth funds and single family offices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 managers, including of equity hedge funds, fixed income hedge funds, multi-strategy hedge funds and multi-manager hedge funds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managers, including wealth management divisions of broker-dealers, RIAs, private banks, multi-family offices, digital wealth and brokerage platforms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including reinsurers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including exchanges; vendors; real estate professionals, such as brokers, agents and developers; academic institutions; and corporates, including public and private companies, and their advisors</w:t>
      </w:r>
    </w:p>
    <w:p>
      <w:pPr>
        <w:spacing w:after="0" w:line="158"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As of December 31, 2025, we served approximately 6,800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more than 100 countries. For the year ended December 31, 2025, our largest client organization by revenue, BlackRock, accounted for 10.8% of our consolidated operating revenues, with 96.5% of the operating revenues from BlackRock coming from fees based on the assets in BlackRock’s ETFs and non-ETF products that are based on our indexes</w:t>
      </w:r>
      <w:r>
        <w:rPr>
          <w:rFonts w:ascii="Times New Roman" w:cs="Times New Roman" w:eastAsia="Times New Roman" w:hAnsi="Times New Roman"/>
          <w:sz w:val="14"/>
          <w:szCs w:val="14"/>
          <w:color w:val="auto"/>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Competitive Advantages</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believe we are strongly positioned to benefit from emerging trends and to help our clients adapt to changes in the investment industry. Investing has grown in complexity, with more choices across asset classes, security types and geographies, a wider array of risks and opportunities, and increased demand for customized portfolios that are tailored to client-specific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2" w:lineRule="exact"/>
        <w:rPr>
          <w:sz w:val="20"/>
          <w:szCs w:val="20"/>
          <w:color w:val="auto"/>
        </w:rPr>
      </w:pPr>
    </w:p>
    <w:p>
      <w:pPr>
        <w:ind w:left="100" w:hanging="92"/>
        <w:spacing w:after="0"/>
        <w:tabs>
          <w:tab w:leader="none" w:pos="100" w:val="left"/>
        </w:tabs>
        <w:numPr>
          <w:ilvl w:val="0"/>
          <w:numId w:val="2"/>
        </w:numPr>
        <w:rPr>
          <w:rFonts w:ascii="Arial" w:cs="Arial" w:eastAsia="Arial" w:hAnsi="Arial"/>
          <w:sz w:val="19"/>
          <w:szCs w:val="19"/>
          <w:color w:val="auto"/>
          <w:vertAlign w:val="superscript"/>
        </w:rPr>
      </w:pPr>
      <w:r>
        <w:rPr>
          <w:rFonts w:ascii="Times New Roman" w:cs="Times New Roman" w:eastAsia="Times New Roman" w:hAnsi="Times New Roman"/>
          <w:sz w:val="14"/>
          <w:szCs w:val="14"/>
          <w:color w:val="auto"/>
        </w:rPr>
        <w:t>Reflects the aggregation of all related client entities under their respective parent client entity. At acquisition, we align an acquired company’s client count to our methodology.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constraints. In addition, portfolio design and management are becoming increasingly outcome-oriented, rules-based and technology-driven. As a result, the investment process is transforming, which is reflected in several key trends:</w:t>
      </w:r>
    </w:p>
    <w:p>
      <w:pPr>
        <w:spacing w:after="0" w:line="54" w:lineRule="exact"/>
        <w:rPr>
          <w:sz w:val="20"/>
          <w:szCs w:val="20"/>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client strategies and operating models, influenced by fee compression, changing demographics, economic outlooks and the regulatory environment;</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global, multi-asset-class and other complex strategies, including integration of public and private assets and factor exposure objectives into investment strategies;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high-quality data, insightful models and timely research, particularly during times of volatility and uncertainty;</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indexed investing, including through ETFs (including active and fixed income ETFs) and indexed derivatives (including futures, options, structured products and over-the-counter swaps);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data and tools that support customized portfolio construction and specialized preferences and objectives, including custom indexes;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sustainability and climate risk and performance considerations into investment processes, reporting and product creation;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capital to private assets and demand for greater transparency and standardization of the drivers of private asset risk and performance;</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that necessitate high-quality data and streamlined reporting solutions;</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advanced technologies, including AI, to enhance products, improve analytics, collect and evaluate data, derive insights, improve client experiences, streamline operations and gain competitive advantages.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competitive advantages position us well to meet client demands in light of these trends:</w:t>
      </w:r>
    </w:p>
    <w:p>
      <w:pPr>
        <w:spacing w:after="0" w:line="115" w:lineRule="exact"/>
        <w:rPr>
          <w:sz w:val="20"/>
          <w:szCs w:val="20"/>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Differentiated research-enhanced conten</w:t>
      </w:r>
      <w:r>
        <w:rPr>
          <w:rFonts w:ascii="Times New Roman" w:cs="Times New Roman" w:eastAsia="Times New Roman" w:hAnsi="Times New Roman"/>
          <w:sz w:val="18"/>
          <w:szCs w:val="18"/>
          <w:color w:val="auto"/>
        </w:rPr>
        <w:t>t provides our clients with insights to better navigate a complex, fast-changing investment landscape.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continually developing a wide range of differentiated content and have amassed an extensive database of global market data; proprietary index data; sustainability and climate data and metrics; factor models; private asset performance, transaction and benchmark data, including fund- and asset-level data; and risk algorithms, all of which can be critical to our clients’ investment processes.</w:t>
      </w:r>
    </w:p>
    <w:p>
      <w:pPr>
        <w:spacing w:after="0" w:line="71"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Client-centricity </w:t>
      </w:r>
      <w:r>
        <w:rPr>
          <w:rFonts w:ascii="Times New Roman" w:cs="Times New Roman" w:eastAsia="Times New Roman" w:hAnsi="Times New Roman"/>
          <w:sz w:val="18"/>
          <w:szCs w:val="18"/>
          <w:color w:val="auto"/>
        </w:rPr>
        <w:t>allows us to build strong client relationships globally and better understand and serve client needs. Our client coverage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maintains trusted relationships with senior executives and investment professionals. We regularly consult with clients and other market participants to discuss their needs, investment trends and implications for our research, product development and client servicing goals.</w:t>
      </w:r>
    </w:p>
    <w:p>
      <w:pPr>
        <w:spacing w:after="0" w:line="65" w:lineRule="exact"/>
        <w:rPr>
          <w:rFonts w:ascii="Times New Roman" w:cs="Times New Roman" w:eastAsia="Times New Roman" w:hAnsi="Times New Roman"/>
          <w:sz w:val="18"/>
          <w:szCs w:val="18"/>
          <w:i w:val="1"/>
          <w:iCs w:val="1"/>
          <w:color w:val="auto"/>
        </w:rPr>
      </w:pPr>
    </w:p>
    <w:p>
      <w:pPr>
        <w:ind w:left="660" w:right="2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Proprietary content, delivered at scale through flexible technology </w:t>
      </w:r>
      <w:r>
        <w:rPr>
          <w:rFonts w:ascii="Times New Roman" w:cs="Times New Roman" w:eastAsia="Times New Roman" w:hAnsi="Times New Roman"/>
          <w:sz w:val="18"/>
          <w:szCs w:val="18"/>
          <w:color w:val="auto"/>
        </w:rPr>
        <w:t>and AI. Our proprietary data and research underpin our solutions. We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technology, including AI, to strengthen data quality, expand coverage and accelerate how we deliver insights generated from our proprietary content. Our commitment to open and flexible technology allows us to process data more efficiently and deliver platform flexibility, integrating into our clients’ workflows through APIs, data feeds and cloud delivery. We also partner with global technology companies to accelerate the development of our AI capabilities to enhance our solutions, insights and the client experience.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provide critical tools and solutions that enable investors to navigate the complexities of the investment process, better understand drivers of performance and risk, and build portfolios more effectively and efficiently to achieve their unique investment objectives. We are focused on the following key initiatives:</w:t>
      </w:r>
    </w:p>
    <w:p>
      <w:pPr>
        <w:spacing w:after="0" w:line="66" w:lineRule="exact"/>
        <w:rPr>
          <w:sz w:val="20"/>
          <w:szCs w:val="20"/>
          <w:color w:val="auto"/>
        </w:rPr>
      </w:pPr>
    </w:p>
    <w:p>
      <w:pPr>
        <w:ind w:left="660" w:right="180" w:hanging="328"/>
        <w:spacing w:after="0" w:line="277"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Extend leadership in research-enhanced content across asset classes. </w:t>
      </w:r>
      <w:r>
        <w:rPr>
          <w:rFonts w:ascii="Times New Roman" w:cs="Times New Roman" w:eastAsia="Times New Roman" w:hAnsi="Times New Roman"/>
          <w:sz w:val="17"/>
          <w:szCs w:val="17"/>
          <w:color w:val="auto"/>
        </w:rPr>
        <w:t>We develop innovative solutions that incorporate proprietary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differentiated content. In addition to enhancing our position as a leading provider of tools and solutions for equity investors globally, we are focused on continuing to grow and enhance our content for other asset classes and strategies, including private assets, sustainability and climate, thematics, factors, fixed income and liquidity. We believe these areas represent significant long-term growth opportunities and are necessary to deliver total portfolio solutions that enable an integrated view of risk and return across asset classes, strategies, and public and private markets.</w:t>
      </w:r>
    </w:p>
    <w:p>
      <w:pPr>
        <w:spacing w:after="0" w:line="59"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strategic client relationships and expand presence across new client types. </w:t>
      </w:r>
      <w:r>
        <w:rPr>
          <w:rFonts w:ascii="Times New Roman" w:cs="Times New Roman" w:eastAsia="Times New Roman" w:hAnsi="Times New Roman"/>
          <w:sz w:val="18"/>
          <w:szCs w:val="18"/>
          <w:color w:val="auto"/>
        </w:rPr>
        <w:t>We aim to be a strategic partner to our clients by anticipating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needs, offering differentiated solutions and insights, and delivering a seamless client experience. While maintaining our strong position with asset managers, we are also focused on expanding our presence with hedge funds, wealth managers, banks and broker-dealers, asset owners, insurance companies, corporates and proprietary market makers, each representing distinct growth opportunities with specialized needs we believe we are uniquely positioned to address.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Apply AI to accelerate product innovation. </w:t>
      </w:r>
      <w:r>
        <w:rPr>
          <w:rFonts w:ascii="Times New Roman" w:cs="Times New Roman" w:eastAsia="Times New Roman" w:hAnsi="Times New Roman"/>
          <w:sz w:val="18"/>
          <w:szCs w:val="18"/>
          <w:color w:val="auto"/>
        </w:rPr>
        <w:t>We are applying AI across our organization to enhance and accelerate content creation, data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analytics, and development of differentiated products and solutions.</w:t>
      </w:r>
    </w:p>
    <w:p>
      <w:pPr>
        <w:spacing w:after="0" w:line="50"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solutions that empower client customization</w:t>
      </w:r>
      <w:r>
        <w:rPr>
          <w:rFonts w:ascii="Times New Roman" w:cs="Times New Roman" w:eastAsia="Times New Roman" w:hAnsi="Times New Roman"/>
          <w:sz w:val="18"/>
          <w:szCs w:val="18"/>
          <w:color w:val="auto"/>
        </w:rPr>
        <w:t>. We are expanding solutions that enable clients to tailor their unique risk and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sustainability goals and investment strategies across asset classes, geographies and themes, to meet their diverse and evolving needs. These solutions include custom index capabilities that allow clients to translate investment views, constraints or regulatory requirements into benchmarks and other index-linked products.</w:t>
      </w:r>
    </w:p>
    <w:p>
      <w:pPr>
        <w:spacing w:after="0" w:line="71"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the enablement of sustainability and climate investment integration </w:t>
      </w:r>
      <w:r>
        <w:rPr>
          <w:rFonts w:ascii="Times New Roman" w:cs="Times New Roman" w:eastAsia="Times New Roman" w:hAnsi="Times New Roman"/>
          <w:sz w:val="18"/>
          <w:szCs w:val="18"/>
          <w:color w:val="auto"/>
        </w:rPr>
        <w:t>by delivering data, insights and applications that help clients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and manage financially material sustainability and climate risks and opportunities. Through our integrated business model and operations, we also utilize our sustainability and climate data and research in our index, analytics and private asset offerings.</w:t>
      </w:r>
    </w:p>
    <w:p>
      <w:pPr>
        <w:spacing w:after="0" w:line="6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distribution and content-enabling technology. </w:t>
      </w:r>
      <w:r>
        <w:rPr>
          <w:rFonts w:ascii="Times New Roman" w:cs="Times New Roman" w:eastAsia="Times New Roman" w:hAnsi="Times New Roman"/>
          <w:sz w:val="18"/>
          <w:szCs w:val="18"/>
          <w:color w:val="auto"/>
        </w:rPr>
        <w:t>We are developing advanced technology to drive efficiency, accelerate innovation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 client experience. We are prioritizing open, scalable distribution that allows clients to access and integrate MSCI content and analytical tools into their own platforms and workflows, including through APIs, data vendors and third-party distribution partners, as well as cloud-based tools.</w:t>
      </w:r>
    </w:p>
    <w:p>
      <w:pPr>
        <w:spacing w:after="0" w:line="71"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strategic partnerships and acquisitions with complementary data, content and technology companies. </w:t>
      </w:r>
      <w:r>
        <w:rPr>
          <w:rFonts w:ascii="Times New Roman" w:cs="Times New Roman" w:eastAsia="Times New Roman" w:hAnsi="Times New Roman"/>
          <w:sz w:val="18"/>
          <w:szCs w:val="18"/>
          <w:color w:val="auto"/>
        </w:rPr>
        <w:t>We regularly evaluate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selectively pursue strategic partnerships with, and acquisitions of, providers of unique and differentiated data, content, products and technologies that we believe can enhance or expand our offerings, capabilities and client base.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Model</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an attractive financial model due to our recurring revenue and strong cash generation. Clients purchase our products and services primarily through recurring fixed and variable fee arrangements, which historically have contributed to stable revenue and greater cash flow predictability, although variable fees may fluctuate with market levels and client activity. Our disciplined capital allocation policy provides us with flexibility to balance investment in our business, acquisitions and shareholder returns through dividends and share repurchases.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Operations—Overview” and Note 1, “Introduction and Basis of Presentation—</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of the Notes to the Consolidated Financial Statements included herein for information on how we generate revenue and our revenue recognition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we had the following five operating segments: Index, Analytics, Sustainability and Climate, Real Assets and Private Capital Solutions, which are presented as the following three reportable segments: Index, Analytics, and Sustainability and Climate. For reporting purposes, the Real Assets and Private Capital Solutions operating segments are combined and presented as All Other – Private Assets, as they did not meet the required thresholds for separate reportable segment disclosure. In the first quarter of 2025 we retitled our “ESG and Climate” operating and reportable segment as “Sustainability and Climate” to reflect the breadth of our product offerings. The change did not affect the composition of our operating or reportable segments or our historical segment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Clients use our indexes to support many areas of the investment process, including for developing indexed financial products (e.g., ETFs, mutual funds, annuities, futures, options, structured products, over-the-counter derivatives), performance benchmarking, portfolio construction and rebalancing, asset allocation, and creating custom indexes. Our index families span multiple asset classes, geographies and investment strategies. Clients can access our index data directly from MSCI or through third-party vendors worldwide.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index product offerings include:</w:t>
      </w:r>
    </w:p>
    <w:p>
      <w:pPr>
        <w:spacing w:after="0" w:line="115" w:lineRule="exact"/>
        <w:rPr>
          <w:sz w:val="20"/>
          <w:szCs w:val="20"/>
          <w:color w:val="auto"/>
        </w:rPr>
      </w:pPr>
    </w:p>
    <w:p>
      <w:pPr>
        <w:ind w:left="1300" w:right="240" w:hanging="644"/>
        <w:spacing w:after="0" w:line="267"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MSCI Market Cap Indexes</w:t>
      </w:r>
      <w:r>
        <w:rPr>
          <w:rFonts w:ascii="Times New Roman" w:cs="Times New Roman" w:eastAsia="Times New Roman" w:hAnsi="Times New Roman"/>
          <w:sz w:val="18"/>
          <w:szCs w:val="18"/>
          <w:color w:val="auto"/>
        </w:rPr>
        <w:t>. MSCI Market Cap Indexes are designed to measure the performance of global equity markets.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we calculated indexes that covered more than 80 developed, emerging, frontier and standalone equity markets, as well as various global, regional, sector and industry indexes built from these market indexes.</w:t>
      </w:r>
    </w:p>
    <w:p>
      <w:pPr>
        <w:spacing w:after="0" w:line="65" w:lineRule="exact"/>
        <w:rPr>
          <w:rFonts w:ascii="Times New Roman" w:cs="Times New Roman" w:eastAsia="Times New Roman" w:hAnsi="Times New Roman"/>
          <w:sz w:val="18"/>
          <w:szCs w:val="18"/>
          <w:color w:val="auto"/>
        </w:rPr>
      </w:pPr>
    </w:p>
    <w:p>
      <w:pPr>
        <w:ind w:left="1300" w:right="420" w:hanging="644"/>
        <w:spacing w:after="0" w:line="284"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Factor Indexes. </w:t>
      </w:r>
      <w:r>
        <w:rPr>
          <w:rFonts w:ascii="Times New Roman" w:cs="Times New Roman" w:eastAsia="Times New Roman" w:hAnsi="Times New Roman"/>
          <w:sz w:val="18"/>
          <w:szCs w:val="18"/>
          <w:color w:val="auto"/>
        </w:rPr>
        <w:t>Factor Indexes seek to reflect the performance characteristics of a range of investment styles and strategies,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momentum or value. These indexes include stocks that demonstrate high exposure to the target</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factor. In addition to single factor indexes, we offer multiple-factor indexes for investors with diversified multi-factor strategies.</w:t>
      </w:r>
    </w:p>
    <w:p>
      <w:pPr>
        <w:spacing w:after="0" w:line="115" w:lineRule="exact"/>
        <w:rPr>
          <w:sz w:val="20"/>
          <w:szCs w:val="20"/>
          <w:color w:val="auto"/>
        </w:rPr>
      </w:pPr>
    </w:p>
    <w:p>
      <w:pPr>
        <w:ind w:left="1300" w:right="120" w:hanging="644"/>
        <w:spacing w:after="0" w:line="284"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Fixed Income Indexes</w:t>
      </w:r>
      <w:r>
        <w:rPr>
          <w:rFonts w:ascii="Times New Roman" w:cs="Times New Roman" w:eastAsia="Times New Roman" w:hAnsi="Times New Roman"/>
          <w:sz w:val="18"/>
          <w:szCs w:val="18"/>
          <w:color w:val="auto"/>
        </w:rPr>
        <w:t>. Fixed Income Indexes include both investment grade and high-yield securities across a number of currencies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performance of credit markets generally, or specific investment strategies, including climate-focused or factor strategies.</w:t>
      </w:r>
    </w:p>
    <w:p>
      <w:pPr>
        <w:spacing w:after="0" w:line="50" w:lineRule="exact"/>
        <w:rPr>
          <w:rFonts w:ascii="Times New Roman" w:cs="Times New Roman" w:eastAsia="Times New Roman" w:hAnsi="Times New Roman"/>
          <w:sz w:val="18"/>
          <w:szCs w:val="18"/>
          <w:color w:val="auto"/>
        </w:rPr>
      </w:pPr>
    </w:p>
    <w:p>
      <w:pPr>
        <w:ind w:left="1300" w:right="300" w:hanging="644"/>
        <w:spacing w:after="0" w:line="26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Asset Indexes</w:t>
      </w:r>
      <w:r>
        <w:rPr>
          <w:rFonts w:ascii="Times New Roman" w:cs="Times New Roman" w:eastAsia="Times New Roman" w:hAnsi="Times New Roman"/>
          <w:sz w:val="18"/>
          <w:szCs w:val="18"/>
          <w:color w:val="auto"/>
        </w:rPr>
        <w:t>. MSCI Private Asset Indexes enable investors to assess the performance of unlisted assets across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real estate, infrastructure and natural resources and facilitate a holistic view across public and private markets. Certain of our Private Asset Index products are reported under All Other – Private Assets.</w:t>
      </w:r>
    </w:p>
    <w:p>
      <w:pPr>
        <w:spacing w:after="0" w:line="65" w:lineRule="exact"/>
        <w:rPr>
          <w:rFonts w:ascii="Times New Roman" w:cs="Times New Roman" w:eastAsia="Times New Roman" w:hAnsi="Times New Roman"/>
          <w:sz w:val="18"/>
          <w:szCs w:val="18"/>
          <w:color w:val="auto"/>
        </w:rPr>
      </w:pPr>
    </w:p>
    <w:p>
      <w:pPr>
        <w:ind w:left="1300" w:right="100" w:hanging="644"/>
        <w:spacing w:after="0" w:line="283" w:lineRule="auto"/>
        <w:tabs>
          <w:tab w:leader="none" w:pos="129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Sustainability Indexes. </w:t>
      </w:r>
      <w:r>
        <w:rPr>
          <w:rFonts w:ascii="Times New Roman" w:cs="Times New Roman" w:eastAsia="Times New Roman" w:hAnsi="Times New Roman"/>
          <w:sz w:val="18"/>
          <w:szCs w:val="18"/>
          <w:color w:val="auto"/>
        </w:rPr>
        <w:t>Sustainability Indexes seek to support the needs of sustainable investing strategies by applying specific screening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eligibility criteria relevant to the target investment goals.</w:t>
      </w:r>
    </w:p>
    <w:p>
      <w:pPr>
        <w:spacing w:after="0" w:line="50" w:lineRule="exact"/>
        <w:rPr>
          <w:rFonts w:ascii="Arial" w:cs="Arial" w:eastAsia="Arial" w:hAnsi="Arial"/>
          <w:sz w:val="18"/>
          <w:szCs w:val="18"/>
          <w:color w:val="auto"/>
        </w:rPr>
      </w:pPr>
    </w:p>
    <w:p>
      <w:pPr>
        <w:ind w:left="1300" w:right="200" w:hanging="644"/>
        <w:spacing w:after="0" w:line="284"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Climate Indexes</w:t>
      </w:r>
      <w:r>
        <w:rPr>
          <w:rFonts w:ascii="Times New Roman" w:cs="Times New Roman" w:eastAsia="Times New Roman" w:hAnsi="Times New Roman"/>
          <w:sz w:val="18"/>
          <w:szCs w:val="18"/>
          <w:color w:val="auto"/>
        </w:rPr>
        <w:t>. Climate Indexes are designed to support climate focused investment strategies and can help investors seeking to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global climate goals as defined by the Paris Agreement.</w:t>
      </w:r>
    </w:p>
    <w:p>
      <w:pPr>
        <w:spacing w:after="0" w:line="50"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Thematic Indexes. </w:t>
      </w:r>
      <w:r>
        <w:rPr>
          <w:rFonts w:ascii="Times New Roman" w:cs="Times New Roman" w:eastAsia="Times New Roman" w:hAnsi="Times New Roman"/>
          <w:sz w:val="18"/>
          <w:szCs w:val="18"/>
          <w:color w:val="auto"/>
        </w:rPr>
        <w:t>Thematic Indexes are designed to measure the performance of companies associated with certain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geopolitical, technological or other trends. These indexes can target areas of interest under megatrend categories such as the environment, healthcare and lifestyle. Examples of our Thematic Indexes include indexes covering the digital economy, efficient energy, genomic innovation and smart cities.</w:t>
      </w:r>
    </w:p>
    <w:p>
      <w:pPr>
        <w:spacing w:after="0" w:line="70" w:lineRule="exact"/>
        <w:rPr>
          <w:rFonts w:ascii="Arial" w:cs="Arial" w:eastAsia="Arial" w:hAnsi="Arial"/>
          <w:sz w:val="18"/>
          <w:szCs w:val="18"/>
          <w:color w:val="auto"/>
        </w:rPr>
      </w:pPr>
    </w:p>
    <w:p>
      <w:pPr>
        <w:ind w:left="1300" w:right="340" w:hanging="644"/>
        <w:spacing w:after="0" w:line="261" w:lineRule="auto"/>
        <w:tabs>
          <w:tab w:leader="none" w:pos="129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Custom Indexes. </w:t>
      </w:r>
      <w:r>
        <w:rPr>
          <w:rFonts w:ascii="Times New Roman" w:cs="Times New Roman" w:eastAsia="Times New Roman" w:hAnsi="Times New Roman"/>
          <w:sz w:val="18"/>
          <w:szCs w:val="18"/>
          <w:color w:val="auto"/>
        </w:rPr>
        <w:t>Custom Indexes are calculated by applying additional criteria specified by the client – such as stock exclusion 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hedging rules, tax rates or special weighting – to an underlying MSCI index. Investors use custom indexes to create tailored benchmarks, support direct indexing, design structured products and custom baskets, and implement active ETF strategies, and can update designs over time as objectives evolve.</w:t>
      </w:r>
    </w:p>
    <w:p>
      <w:pPr>
        <w:spacing w:after="0" w:line="1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Index segment also includes revenues from licenses of </w:t>
      </w:r>
      <w:r>
        <w:rPr>
          <w:rFonts w:ascii="Times New Roman" w:cs="Times New Roman" w:eastAsia="Times New Roman" w:hAnsi="Times New Roman"/>
          <w:sz w:val="18"/>
          <w:szCs w:val="18"/>
          <w:i w:val="1"/>
          <w:iCs w:val="1"/>
          <w:color w:val="auto"/>
        </w:rPr>
        <w:t>GICS Direct</w:t>
      </w:r>
      <w:r>
        <w:rPr>
          <w:rFonts w:ascii="Times New Roman" w:cs="Times New Roman" w:eastAsia="Times New Roman" w:hAnsi="Times New Roman"/>
          <w:sz w:val="18"/>
          <w:szCs w:val="18"/>
          <w:color w:val="auto"/>
        </w:rPr>
        <w:t xml:space="preserve">, the global industry classification standard jointly developed and maintained by MSCI and S&amp;P Dow Jones Indices, a division of S&amp;P Global Inc. GICS is widely accepted as an industry analysis framework for investment research, portfolio management and asset allocation. GICS Direct is a dataset comprised of companies and securities classified by sector, industry group, industry and sub-industry in accordance with the proprietary GICS methodology. The </w:t>
      </w:r>
      <w:r>
        <w:rPr>
          <w:rFonts w:ascii="Times New Roman" w:cs="Times New Roman" w:eastAsia="Times New Roman" w:hAnsi="Times New Roman"/>
          <w:sz w:val="18"/>
          <w:szCs w:val="18"/>
          <w:i w:val="1"/>
          <w:iCs w:val="1"/>
          <w:color w:val="auto"/>
        </w:rPr>
        <w:t>MSCI Sector Indexes</w:t>
      </w:r>
      <w:r>
        <w:rPr>
          <w:rFonts w:ascii="Times New Roman" w:cs="Times New Roman" w:eastAsia="Times New Roman" w:hAnsi="Times New Roman"/>
          <w:sz w:val="18"/>
          <w:szCs w:val="18"/>
          <w:color w:val="auto"/>
        </w:rPr>
        <w:t xml:space="preserve"> are comprised of GICS sector, industry group, and industry indexes across countries and regions in Developed, Emerging and select Frontier markets.</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57.0% of our revenues were attributable to our Index segment. A majority of those revenues were attributable to annual, recurring subscriptions. A portion of our revenues comes from clients who use our indexes as the basis for indexed investment products. Such fees are primarily based on a client’s assets under management (“AUM”) or trading volumes and are referred to herein as asset-based fees. Since market movement and investment trends impact our asset-based fees, our revenues from asset-based fees are subject to volatility. For the year ended December 31, 2025, asset-based fees accounted for 43.1% of the total revenues for our Index segment.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Analytics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Analytics segment offers risk management, performance attribution and portfolio management content, applications and services that provide clients with an integrated view of risk and return and tools for analyzing market, credit, liquidity, counterparty and climate risk across all major asset classes, including public and private securities, spanning short-, medium- and long-term time horizons. Our offerings also support clients’ various regulatory reporting needs.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Analytics tools and capabilities include the following: models to support factor-based analytics (e.g., Barra equity models and fixed income and multi-asset class (“MAC”) models), pricing models and single security analytics, time series-based analytics, stress testing, performance attribution, portfolio optimization and liquidity risk analytics, as well as underlying inputs such as interest rate and credit curves. We continue to develop new and improved tools and capabilities in response to the evolving needs of our clients. In addition, our analytics capabilities are helping fuel growth in key areas across our business, such as our factor indexes, climate risk reporting solutions and factor risk analytics on private assets.</w:t>
      </w:r>
    </w:p>
    <w:p>
      <w:pPr>
        <w:spacing w:after="0" w:line="18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clients can access our Analytics tools and content through our proprietary applications and APIs, third-party applications or directly through their own platforms. Our Analytics solutions provide clients with tools to construct and manage portfolios, including integrated market data from multiple third parties as well as content from MSCI’s other segments, which significantly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reduces the operational burden on clients to independently source this information and populate it in our Analytics products. Our key Analytics products include:</w:t>
      </w:r>
    </w:p>
    <w:p>
      <w:pPr>
        <w:spacing w:after="0" w:line="52" w:lineRule="exact"/>
        <w:rPr>
          <w:sz w:val="20"/>
          <w:szCs w:val="20"/>
          <w:color w:val="auto"/>
        </w:rPr>
      </w:pPr>
    </w:p>
    <w:p>
      <w:pPr>
        <w:ind w:left="1300" w:right="40" w:hanging="644"/>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RiskMetrics RiskManager</w:t>
      </w:r>
      <w:r>
        <w:rPr>
          <w:rFonts w:ascii="Times New Roman" w:cs="Times New Roman" w:eastAsia="Times New Roman" w:hAnsi="Times New Roman"/>
          <w:sz w:val="18"/>
          <w:szCs w:val="18"/>
          <w:color w:val="auto"/>
        </w:rPr>
        <w:t>. RiskMetrics RiskManager provides risk analytics across a broad range of publicly traded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assets. Clients use RiskManager for daily analysis, including: Value-at-Risk (“VaR”) simulation; measuring and monitoring market and liquidity risk at position, fund and firm levels; sensitivity analysis and stress testing; interactive what-if analysis; counterparty credit exposure; and regulatory risk reporting.</w:t>
      </w:r>
    </w:p>
    <w:p>
      <w:pPr>
        <w:spacing w:after="0" w:line="71" w:lineRule="exact"/>
        <w:rPr>
          <w:rFonts w:ascii="Times New Roman" w:cs="Times New Roman" w:eastAsia="Times New Roman" w:hAnsi="Times New Roman"/>
          <w:sz w:val="18"/>
          <w:szCs w:val="18"/>
          <w:color w:val="auto"/>
        </w:rPr>
      </w:pPr>
    </w:p>
    <w:p>
      <w:pPr>
        <w:ind w:left="1300" w:right="340" w:hanging="644"/>
        <w:spacing w:after="0" w:line="26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BarraOne</w:t>
      </w:r>
      <w:r>
        <w:rPr>
          <w:rFonts w:ascii="Times New Roman" w:cs="Times New Roman" w:eastAsia="Times New Roman" w:hAnsi="Times New Roman"/>
          <w:sz w:val="18"/>
          <w:szCs w:val="18"/>
          <w:color w:val="auto"/>
        </w:rPr>
        <w:t>. Powered by our MAC Barra factor model, BarraOne provides clients with MAC risk and performance analytics and helps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manage exposures across public and private asset classes. BarraOne allows clients to build equity, fixed income, and MAC portfolios, integrated with MSCI’s indexes, sustainability and climate data.</w:t>
      </w:r>
    </w:p>
    <w:p>
      <w:pPr>
        <w:spacing w:after="0" w:line="65"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Barra PortfolioManager. </w:t>
      </w:r>
      <w:r>
        <w:rPr>
          <w:rFonts w:ascii="Times New Roman" w:cs="Times New Roman" w:eastAsia="Times New Roman" w:hAnsi="Times New Roman"/>
          <w:sz w:val="18"/>
          <w:szCs w:val="18"/>
          <w:color w:val="auto"/>
        </w:rPr>
        <w:t>Barra PortfolioManager is an integrated risk, performance and portfolio-construction interactive platform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flexible user interface that enables our clients to design investment strategies and build portfolios, and to share analytics and reports across their organizations. It is used by equity fund managers and their teams to gain additional portfolio insight and manage their investment processes more systematically.</w:t>
      </w:r>
    </w:p>
    <w:p>
      <w:pPr>
        <w:spacing w:after="0" w:line="71"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RiskMetrics WealthBench and RiskMetrics CreditManager</w:t>
      </w:r>
      <w:r>
        <w:rPr>
          <w:rFonts w:ascii="Times New Roman" w:cs="Times New Roman" w:eastAsia="Times New Roman" w:hAnsi="Times New Roman"/>
          <w:sz w:val="18"/>
          <w:szCs w:val="18"/>
          <w:color w:val="auto"/>
        </w:rPr>
        <w:t>. RiskMetrics WealthBench is a web-based platform used by private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advisers, brokerages and trust companies to help wealth managers assess portfolio risk, construct asset allocation policies and create comprehensive client proposals. RiskMetrics CreditManager is a portfolio credit risk management system used primarily by banks to quantify portfolio credit risk by capturing market exposure, rating changes and default risk.</w:t>
      </w:r>
    </w:p>
    <w:p>
      <w:pPr>
        <w:spacing w:after="0" w:line="71" w:lineRule="exact"/>
        <w:rPr>
          <w:rFonts w:ascii="Times New Roman" w:cs="Times New Roman" w:eastAsia="Times New Roman" w:hAnsi="Times New Roman"/>
          <w:sz w:val="18"/>
          <w:szCs w:val="18"/>
          <w:color w:val="auto"/>
        </w:rPr>
      </w:pPr>
    </w:p>
    <w:p>
      <w:pPr>
        <w:ind w:left="1300" w:right="200" w:hanging="644"/>
        <w:spacing w:after="0" w:line="267"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Portfolio Insights</w:t>
      </w:r>
      <w:r>
        <w:rPr>
          <w:rFonts w:ascii="Times New Roman" w:cs="Times New Roman" w:eastAsia="Times New Roman" w:hAnsi="Times New Roman"/>
          <w:sz w:val="18"/>
          <w:szCs w:val="18"/>
          <w:color w:val="auto"/>
        </w:rPr>
        <w:t>. Our AI Portfolio Insights offering calculates, stores, and delivers a broad range of risk, performance, climate,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measures to help investors identify trends and respond to market changes. The tool features a generative AI-powered chatbot to deliver risk insights and is designed to enhance speed, efficiency and collaboration.</w:t>
      </w:r>
    </w:p>
    <w:p>
      <w:pPr>
        <w:spacing w:after="0" w:line="65" w:lineRule="exact"/>
        <w:rPr>
          <w:rFonts w:ascii="Times New Roman" w:cs="Times New Roman" w:eastAsia="Times New Roman" w:hAnsi="Times New Roman"/>
          <w:sz w:val="18"/>
          <w:szCs w:val="18"/>
          <w:color w:val="auto"/>
        </w:rPr>
      </w:pPr>
    </w:p>
    <w:p>
      <w:pPr>
        <w:ind w:left="1300" w:right="660" w:hanging="644"/>
        <w:spacing w:after="0" w:line="284"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MSCI Wealth Manager</w:t>
      </w:r>
      <w:r>
        <w:rPr>
          <w:rFonts w:ascii="Times New Roman" w:cs="Times New Roman" w:eastAsia="Times New Roman" w:hAnsi="Times New Roman"/>
          <w:sz w:val="18"/>
          <w:szCs w:val="18"/>
          <w:color w:val="auto"/>
        </w:rPr>
        <w:t>. MSCI Wealth Manager, formerly known as Fabric, offers a technology platform for wealth managers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design, customization and analytics.</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Analytics segment also provides various managed services to help clients operate more efficiently, including consolidation of client portfolio data from various sources, review and reconciliation of input data and results, and customized reporting, including sustainability and climate reporting. In addition, our RiskMetrics HedgePlatform service allows clients such as funds of funds, pension funds and endowments who invest in hedge funds to measure, evaluate and monitor the risk of their hedge fund investments across multiple hedge fund strategies.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22.8% of our revenues were attributable to our Analytics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Climate</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Sustainability and Climate segment offers products and services that help institutional investors understand how sustainability considerations can impact the long-term risk and return of their portfolios and individual security-level investments. Investors commonly use our Sustainability and Climate solutions in their investment processes to help assess financial risks and opportunities, inform their asset allocation and portfolio construction decisions, and support regulatory and client reporting.</w:t>
      </w:r>
    </w:p>
    <w:p>
      <w:pPr>
        <w:spacing w:after="0" w:line="176" w:lineRule="exact"/>
        <w:rPr>
          <w:sz w:val="20"/>
          <w:szCs w:val="20"/>
          <w:color w:val="auto"/>
        </w:rPr>
      </w:pPr>
    </w:p>
    <w:p>
      <w:pPr>
        <w:jc w:val="both"/>
        <w:ind w:right="100" w:firstLine="648"/>
        <w:spacing w:after="0" w:line="236" w:lineRule="auto"/>
        <w:rPr>
          <w:sz w:val="20"/>
          <w:szCs w:val="20"/>
          <w:color w:val="auto"/>
        </w:rPr>
      </w:pPr>
      <w:r>
        <w:rPr>
          <w:rFonts w:ascii="Times New Roman" w:cs="Times New Roman" w:eastAsia="Times New Roman" w:hAnsi="Times New Roman"/>
          <w:sz w:val="18"/>
          <w:szCs w:val="18"/>
          <w:color w:val="auto"/>
        </w:rPr>
        <w:t>Our Sustainability and Climate research team analyzes over 9,000</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entities worldwide, and we will continue to expand and deepen our coverage, including to address a broader set of emerging risks and opportunities. Our clients include asset managers, asset owners, wealth managers, banks, insurers, consultants, advisers, regulators, central banks and corporates.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Sustainability and Climate offerings include:</w:t>
      </w:r>
    </w:p>
    <w:p>
      <w:pPr>
        <w:spacing w:after="0" w:line="115" w:lineRule="exact"/>
        <w:rPr>
          <w:sz w:val="20"/>
          <w:szCs w:val="20"/>
          <w:color w:val="auto"/>
        </w:rPr>
      </w:pPr>
    </w:p>
    <w:p>
      <w:pPr>
        <w:ind w:left="1300" w:hanging="644"/>
        <w:spacing w:after="0" w:line="25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MSCI ESG Ratings</w:t>
      </w:r>
      <w:r>
        <w:rPr>
          <w:rFonts w:ascii="Times New Roman" w:cs="Times New Roman" w:eastAsia="Times New Roman" w:hAnsi="Times New Roman"/>
          <w:sz w:val="18"/>
          <w:szCs w:val="18"/>
          <w:color w:val="auto"/>
        </w:rPr>
        <w:t>. Our ESG ratings aim to measure a company’s resilience to long-term ESG risks. Companies are scored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industry-relative scale across the most relevant key ESG issues based on a company’s business model. MSCI ESG Ratings include ratings of equity issuers and fixed income securities. In assigning an MSCI ESG Rating, we collect the most relevant, publicly available data and assess the most significant ESG risks a company faces. Investors use MSCI ESG Ratings for a variety of purposes, including to assist with fundamental or quantitative analysis, portfolio construction and risk management, engagement and thought leadership, benchmarking and custom index design.</w:t>
      </w:r>
    </w:p>
    <w:p>
      <w:pPr>
        <w:spacing w:after="0" w:line="74" w:lineRule="exact"/>
        <w:rPr>
          <w:rFonts w:ascii="Times New Roman" w:cs="Times New Roman" w:eastAsia="Times New Roman" w:hAnsi="Times New Roman"/>
          <w:sz w:val="18"/>
          <w:szCs w:val="18"/>
          <w:color w:val="auto"/>
        </w:rPr>
      </w:pPr>
    </w:p>
    <w:p>
      <w:pPr>
        <w:ind w:left="1300" w:right="340" w:hanging="644"/>
        <w:spacing w:after="0" w:line="283" w:lineRule="auto"/>
        <w:tabs>
          <w:tab w:leader="none" w:pos="129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MSCI Business Involvement Screening Research</w:t>
      </w:r>
      <w:r>
        <w:rPr>
          <w:rFonts w:ascii="Times New Roman" w:cs="Times New Roman" w:eastAsia="Times New Roman" w:hAnsi="Times New Roman"/>
          <w:sz w:val="18"/>
          <w:szCs w:val="18"/>
          <w:color w:val="auto"/>
        </w:rPr>
        <w:t>. MSCI Business Involvement Screening Research is a screening service that enables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investors to manage sustainability and climate standards and restrictions reliably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4" w:lineRule="exact"/>
        <w:rPr>
          <w:sz w:val="20"/>
          <w:szCs w:val="20"/>
          <w:color w:val="auto"/>
        </w:rPr>
      </w:pPr>
    </w:p>
    <w:p>
      <w:pPr>
        <w:ind w:left="100" w:hanging="92"/>
        <w:spacing w:after="0"/>
        <w:tabs>
          <w:tab w:leader="none" w:pos="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Does not include subsidiary-level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300" w:right="180"/>
        <w:spacing w:after="0" w:line="266" w:lineRule="auto"/>
        <w:rPr>
          <w:sz w:val="20"/>
          <w:szCs w:val="20"/>
          <w:color w:val="auto"/>
        </w:rPr>
      </w:pPr>
      <w:r>
        <w:rPr>
          <w:rFonts w:ascii="Times New Roman" w:cs="Times New Roman" w:eastAsia="Times New Roman" w:hAnsi="Times New Roman"/>
          <w:sz w:val="18"/>
          <w:szCs w:val="18"/>
          <w:color w:val="auto"/>
        </w:rPr>
        <w:t>and efficiently. Asset managers, investment advisers and asset owners can access screening research through the online MSCI ONE platform or a data feed to support alignment with their investment guidelines, implement client mandates or manage potential portfolio risks.</w:t>
      </w:r>
    </w:p>
    <w:p>
      <w:pPr>
        <w:spacing w:after="0" w:line="66" w:lineRule="exact"/>
        <w:rPr>
          <w:sz w:val="20"/>
          <w:szCs w:val="20"/>
          <w:color w:val="auto"/>
        </w:rPr>
      </w:pPr>
    </w:p>
    <w:p>
      <w:pPr>
        <w:ind w:left="1300" w:right="40" w:hanging="644"/>
        <w:spacing w:after="0" w:line="266" w:lineRule="auto"/>
        <w:tabs>
          <w:tab w:leader="none" w:pos="12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MSCI Climate Solutions</w:t>
      </w:r>
      <w:r>
        <w:rPr>
          <w:rFonts w:ascii="Times New Roman" w:cs="Times New Roman" w:eastAsia="Times New Roman" w:hAnsi="Times New Roman"/>
          <w:sz w:val="18"/>
          <w:szCs w:val="18"/>
          <w:color w:val="auto"/>
        </w:rPr>
        <w:t>. Investors and issuers utilize our climate data and tools to support their investment decision making.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can include measuring and reporting on climate risk exposure, implementing low-carbon or fossil-fuel-free strategies, factoring climate change research into risk management processes and engaging companies and external stakeholders.</w:t>
      </w:r>
    </w:p>
    <w:p>
      <w:pPr>
        <w:spacing w:after="0" w:line="66" w:lineRule="exact"/>
        <w:rPr>
          <w:rFonts w:ascii="Arial" w:cs="Arial" w:eastAsia="Arial" w:hAnsi="Arial"/>
          <w:sz w:val="18"/>
          <w:szCs w:val="18"/>
          <w:color w:val="auto"/>
        </w:rPr>
      </w:pPr>
    </w:p>
    <w:p>
      <w:pPr>
        <w:ind w:left="1300" w:right="340" w:hanging="644"/>
        <w:spacing w:after="0" w:line="267"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GeoSpatial Asset Intelligence</w:t>
      </w:r>
      <w:r>
        <w:rPr>
          <w:rFonts w:ascii="Times New Roman" w:cs="Times New Roman" w:eastAsia="Times New Roman" w:hAnsi="Times New Roman"/>
          <w:sz w:val="18"/>
          <w:szCs w:val="18"/>
          <w:color w:val="auto"/>
        </w:rPr>
        <w:t>. Our Geospatial Asset Intelligence tool helps clients, including investors and lenders, explore location-specific exposures and quantify financial impact, including for physical and nature-related risks. It provides drill-down insights into individual real asset locations, to support risk management, due diligence, regulatory compliance and engagement.</w:t>
      </w:r>
    </w:p>
    <w:p>
      <w:pPr>
        <w:spacing w:after="0" w:line="6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MSCI Sustainability and Climate Regulatory Solutions</w:t>
      </w:r>
      <w:r>
        <w:rPr>
          <w:rFonts w:ascii="Times New Roman" w:cs="Times New Roman" w:eastAsia="Times New Roman" w:hAnsi="Times New Roman"/>
          <w:sz w:val="18"/>
          <w:szCs w:val="18"/>
          <w:color w:val="auto"/>
        </w:rPr>
        <w:t>. MSCI Sustainability and Climate Regulatory Solutions help investors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capital-markets participants stay informed of sustainability and climate regulatory requirements and simplify reporting, with tools to support mandatory and voluntary disclosures.</w:t>
      </w:r>
    </w:p>
    <w:p>
      <w:pPr>
        <w:spacing w:after="0" w:line="17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Sustainability and climate data provided to our clients are also made available to, and used in, our other operating segments, such as in the construction of our MSCI Sustainability and Climate equity and fixed income indexes. These Index products are designed to help institutional investors more effectively benchmark sustainability and climate investment performance, issue indexed investment products, as well as manage, measure and report on sustainability and climate mandates.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11.3% of our revenues were attributable to our Sustainability and Climate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 Private Assets</w:t>
      </w:r>
    </w:p>
    <w:p>
      <w:pPr>
        <w:spacing w:after="0" w:line="121"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private assets offerings provide data and analytics to evaluate fundamental information, measure and compare performance, understand exposures and manage risk across private equity, private credit, real estate, infrastructure and other private markets. These offerings also support comparisons of performance and risk across public and private assets and enhance our multi-asset class and total portfolio capabilities.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products and services include datasets on companies, funds and transactions; standardized classifications and methodologies; benchmarks and portfolio analytics for performance measurement, attribution, scenario analysis and risk; and tools that support reporting by limited partners and general partners. We also integrate our private assets data and analytics in other MSCI products offered by our other operating segments, including indexes, climate risk models, MAC models and other MSCI solutions.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Real Assets offerings include:</w:t>
      </w:r>
    </w:p>
    <w:p>
      <w:pPr>
        <w:spacing w:after="0" w:line="115" w:lineRule="exact"/>
        <w:rPr>
          <w:sz w:val="20"/>
          <w:szCs w:val="20"/>
          <w:color w:val="auto"/>
        </w:rPr>
      </w:pPr>
    </w:p>
    <w:p>
      <w:pPr>
        <w:ind w:left="1300" w:right="160" w:hanging="644"/>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 Capital Analytics</w:t>
      </w:r>
      <w:r>
        <w:rPr>
          <w:rFonts w:ascii="Times New Roman" w:cs="Times New Roman" w:eastAsia="Times New Roman" w:hAnsi="Times New Roman"/>
          <w:sz w:val="18"/>
          <w:szCs w:val="18"/>
          <w:color w:val="auto"/>
        </w:rPr>
        <w:t>. RCA aggregates timely transaction data and provides valuable information on market pricing, capital flows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trends in more than 170 countries. Our clients use this unique data to formulate strategies, source new opportunities and execute deals.</w:t>
      </w:r>
    </w:p>
    <w:p>
      <w:pPr>
        <w:spacing w:after="0" w:line="65" w:lineRule="exact"/>
        <w:rPr>
          <w:rFonts w:ascii="Times New Roman" w:cs="Times New Roman" w:eastAsia="Times New Roman" w:hAnsi="Times New Roman"/>
          <w:sz w:val="18"/>
          <w:szCs w:val="18"/>
          <w:color w:val="auto"/>
        </w:rPr>
      </w:pPr>
    </w:p>
    <w:p>
      <w:pPr>
        <w:ind w:left="1300" w:right="80" w:hanging="644"/>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Performance Insights. </w:t>
      </w:r>
      <w:r>
        <w:rPr>
          <w:rFonts w:ascii="Times New Roman" w:cs="Times New Roman" w:eastAsia="Times New Roman" w:hAnsi="Times New Roman"/>
          <w:sz w:val="18"/>
          <w:szCs w:val="18"/>
          <w:color w:val="auto"/>
        </w:rPr>
        <w:t>Our Portfolio Performance Insights application offers an interactive, integrated solution to analyze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drivers of performance across investments, as well as review income analytics, exposures and concentrations across markets, asset types and portfolios.</w:t>
      </w:r>
    </w:p>
    <w:p>
      <w:pPr>
        <w:spacing w:after="0" w:line="65" w:lineRule="exact"/>
        <w:rPr>
          <w:rFonts w:ascii="Times New Roman" w:cs="Times New Roman" w:eastAsia="Times New Roman" w:hAnsi="Times New Roman"/>
          <w:sz w:val="18"/>
          <w:szCs w:val="18"/>
          <w:color w:val="auto"/>
        </w:rPr>
      </w:pPr>
    </w:p>
    <w:p>
      <w:pPr>
        <w:jc w:val="both"/>
        <w:ind w:left="1300" w:right="260" w:hanging="644"/>
        <w:spacing w:after="0" w:line="266" w:lineRule="auto"/>
        <w:tabs>
          <w:tab w:leader="none" w:pos="12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Index Intel. </w:t>
      </w:r>
      <w:r>
        <w:rPr>
          <w:rFonts w:ascii="Times New Roman" w:cs="Times New Roman" w:eastAsia="Times New Roman" w:hAnsi="Times New Roman"/>
          <w:sz w:val="18"/>
          <w:szCs w:val="18"/>
          <w:color w:val="auto"/>
        </w:rPr>
        <w:t>Our Index Intel offering is an extensive private real estate database that is used by institutional investors, asset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banks, custodians and investment consultants to drive allocation decisions, research and strategy developments, and portfolio and risk management.</w:t>
      </w:r>
    </w:p>
    <w:p>
      <w:pPr>
        <w:spacing w:after="0" w:line="66" w:lineRule="exact"/>
        <w:rPr>
          <w:rFonts w:ascii="Arial" w:cs="Arial" w:eastAsia="Arial" w:hAnsi="Arial"/>
          <w:sz w:val="18"/>
          <w:szCs w:val="18"/>
          <w:color w:val="auto"/>
        </w:rPr>
      </w:pPr>
    </w:p>
    <w:p>
      <w:pPr>
        <w:ind w:left="1300" w:right="160" w:hanging="644"/>
        <w:spacing w:after="0" w:line="284"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Portfolio Climate Insights. </w:t>
      </w:r>
      <w:r>
        <w:rPr>
          <w:rFonts w:ascii="Times New Roman" w:cs="Times New Roman" w:eastAsia="Times New Roman" w:hAnsi="Times New Roman"/>
          <w:sz w:val="18"/>
          <w:szCs w:val="18"/>
          <w:color w:val="auto"/>
        </w:rPr>
        <w:t>Our Portfolio Climate Insights solution provides forward-looking and return-based valuation assessments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climate-related risks for real estate assets in an investment portfolio.</w:t>
      </w:r>
    </w:p>
    <w:p>
      <w:pPr>
        <w:spacing w:after="0" w:line="50" w:lineRule="exact"/>
        <w:rPr>
          <w:rFonts w:ascii="Times New Roman" w:cs="Times New Roman" w:eastAsia="Times New Roman" w:hAnsi="Times New Roman"/>
          <w:sz w:val="18"/>
          <w:szCs w:val="18"/>
          <w:color w:val="auto"/>
        </w:rPr>
      </w:pPr>
    </w:p>
    <w:p>
      <w:pPr>
        <w:ind w:left="1300" w:right="120" w:hanging="644"/>
        <w:spacing w:after="0" w:line="267"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Intel. </w:t>
      </w:r>
      <w:r>
        <w:rPr>
          <w:rFonts w:ascii="Times New Roman" w:cs="Times New Roman" w:eastAsia="Times New Roman" w:hAnsi="Times New Roman"/>
          <w:sz w:val="18"/>
          <w:szCs w:val="18"/>
          <w:color w:val="auto"/>
        </w:rPr>
        <w:t>Our Property Intel offering provides web-based services for the analysis of commercial real estate in the Nordics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extensive information on rental levels, property holdings, transactions, ownership, occupiers, footfall, lease data and the ability to simulate market values.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Private Capital Solutions offerings include:</w:t>
      </w:r>
    </w:p>
    <w:p>
      <w:pPr>
        <w:spacing w:after="0" w:line="115" w:lineRule="exact"/>
        <w:rPr>
          <w:sz w:val="20"/>
          <w:szCs w:val="20"/>
          <w:color w:val="auto"/>
        </w:rPr>
      </w:pPr>
    </w:p>
    <w:p>
      <w:pPr>
        <w:ind w:left="1300" w:right="40" w:hanging="644"/>
        <w:spacing w:after="0" w:line="267"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Capital Portfolio Management</w:t>
      </w:r>
      <w:r>
        <w:rPr>
          <w:rFonts w:ascii="Times New Roman" w:cs="Times New Roman" w:eastAsia="Times New Roman" w:hAnsi="Times New Roman"/>
          <w:sz w:val="18"/>
          <w:szCs w:val="18"/>
          <w:color w:val="auto"/>
        </w:rPr>
        <w:t>. Private Capital Portfolio Management provides analytical tools and reporting to help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and operations teams monitor and measure private capital portfolios. The offering enables users to analyze portfolio exposures, manage investment activity and support reporting across private asset classes.</w:t>
      </w:r>
    </w:p>
    <w:p>
      <w:pPr>
        <w:sectPr>
          <w:pgSz w:w="11900" w:h="16838" w:orient="portrait"/>
          <w:cols w:equalWidth="0" w:num="1">
            <w:col w:w="11200"/>
          </w:cols>
          <w:pgMar w:left="320" w:top="121" w:right="37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300" w:right="180" w:hanging="644"/>
        <w:spacing w:after="0" w:line="267"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Plan Manager. </w:t>
      </w:r>
      <w:r>
        <w:rPr>
          <w:rFonts w:ascii="Times New Roman" w:cs="Times New Roman" w:eastAsia="Times New Roman" w:hAnsi="Times New Roman"/>
          <w:sz w:val="18"/>
          <w:szCs w:val="18"/>
          <w:color w:val="auto"/>
        </w:rPr>
        <w:t>The Total Plan Manager provides integrated portfolio management and analytics designed to support oversight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portfolios across public and private assets. The platform offers a comprehensive view of the drivers of performance and risk across asset classes.</w:t>
      </w:r>
    </w:p>
    <w:p>
      <w:pPr>
        <w:spacing w:after="0" w:line="65"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Capital Transparency. </w:t>
      </w:r>
      <w:r>
        <w:rPr>
          <w:rFonts w:ascii="Times New Roman" w:cs="Times New Roman" w:eastAsia="Times New Roman" w:hAnsi="Times New Roman"/>
          <w:sz w:val="18"/>
          <w:szCs w:val="18"/>
          <w:color w:val="auto"/>
        </w:rPr>
        <w:t>Private Capital Transparency provides investment teams with information on underlying fund holdings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exposures of private capital funds. The offering delivers detailed information that is sourced from original documents provided by managers and augmented with extensive research.</w:t>
      </w:r>
    </w:p>
    <w:p>
      <w:pPr>
        <w:spacing w:after="0" w:line="65" w:lineRule="exact"/>
        <w:rPr>
          <w:rFonts w:ascii="Times New Roman" w:cs="Times New Roman" w:eastAsia="Times New Roman" w:hAnsi="Times New Roman"/>
          <w:sz w:val="18"/>
          <w:szCs w:val="18"/>
          <w:color w:val="auto"/>
        </w:rPr>
      </w:pPr>
    </w:p>
    <w:p>
      <w:pPr>
        <w:ind w:left="1300" w:right="300" w:hanging="644"/>
        <w:spacing w:after="0" w:line="284"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Capital Intel</w:t>
      </w:r>
      <w:r>
        <w:rPr>
          <w:rFonts w:ascii="Times New Roman" w:cs="Times New Roman" w:eastAsia="Times New Roman" w:hAnsi="Times New Roman"/>
          <w:sz w:val="18"/>
          <w:szCs w:val="18"/>
          <w:color w:val="auto"/>
        </w:rPr>
        <w:t>. Private Capital Intel provides extensive private capital data with coverage of historical profiles, sourced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limited partners and supports benchmarking, market analysis and performance evaluation.</w:t>
      </w:r>
    </w:p>
    <w:p>
      <w:pPr>
        <w:spacing w:after="0" w:line="50" w:lineRule="exact"/>
        <w:rPr>
          <w:rFonts w:ascii="Times New Roman" w:cs="Times New Roman" w:eastAsia="Times New Roman" w:hAnsi="Times New Roman"/>
          <w:sz w:val="18"/>
          <w:szCs w:val="18"/>
          <w:color w:val="auto"/>
        </w:rPr>
      </w:pPr>
    </w:p>
    <w:p>
      <w:pPr>
        <w:ind w:left="1300" w:right="240" w:hanging="644"/>
        <w:spacing w:after="0" w:line="284"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Book of Record</w:t>
      </w:r>
      <w:r>
        <w:rPr>
          <w:rFonts w:ascii="Times New Roman" w:cs="Times New Roman" w:eastAsia="Times New Roman" w:hAnsi="Times New Roman"/>
          <w:sz w:val="18"/>
          <w:szCs w:val="18"/>
          <w:color w:val="auto"/>
        </w:rPr>
        <w:t>. Investment Book of Record supports the validation, reconciliation and management of private capital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offering enables tracking, forecasting and reporting on capital calls, distributions and valuations.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8.9% of our revenues were attributable to our private assets offerings.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apply an integrated team approach to developing content across our operating segments. Our research and development, product management, data operations and technology teams are at the center of this process. Our content is developed by a research and development team comprised of mathematicians, economists, statisticians, financial engineers, investment professionals and industry experts. Content created in one segment can often be used for the creation of products in another segment. For example, we use elements of our private assets data and research across our offerings, including in certain multi-asset class models created in our Analytics segment that support multi-asset class risk analysis. We also use this content in our index offerings, including private asset benchmarks and benchmarks that combine public and private market exposures. In addition, our MSCI Sustainability and Climate indexes and our climate reporting analytics product are constructed using data from our Sustainability and Climate operating segment.</w:t>
      </w:r>
    </w:p>
    <w:p>
      <w:pPr>
        <w:spacing w:after="0" w:line="8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Through our relationships with the world’s largest investment institutions, we monitor investment trends and their drivers globally. Our research covers instrument valuation, risk modeling, portfolio construction, portfolio attribution, asset allocation and sustainability and climate-related investment risks, including transition risks and physical risks. Direct public consultations, client advisory panels and an Advisory Council, comprising senior investment professionals from around the world and senior members of our research and development team, are important examples of ways in which we monitor global investment trends and their implications for our clients and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Technology plays a pivotal role in our operations and our ability to innovate and launch products and services. Current areas of focus include:</w:t>
      </w:r>
    </w:p>
    <w:p>
      <w:pPr>
        <w:spacing w:after="0" w:line="115" w:lineRule="exact"/>
        <w:rPr>
          <w:sz w:val="20"/>
          <w:szCs w:val="20"/>
          <w:color w:val="auto"/>
        </w:rPr>
      </w:pPr>
    </w:p>
    <w:p>
      <w:pPr>
        <w:ind w:left="1300" w:right="40" w:hanging="644"/>
        <w:spacing w:after="0" w:line="267"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client experience </w:t>
      </w:r>
      <w:r>
        <w:rPr>
          <w:rFonts w:ascii="Times New Roman" w:cs="Times New Roman" w:eastAsia="Times New Roman" w:hAnsi="Times New Roman"/>
          <w:sz w:val="18"/>
          <w:szCs w:val="18"/>
          <w:color w:val="auto"/>
        </w:rPr>
        <w:t>by enhancing the way clients access, interact with and use our data, applications and other tools.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develop and expand delivery channels, including APIs, data feeds, cloud delivery and self-service abilities. These capabilities are designed to help clients integrate MSCI content into their own platforms and workflows, and to reduce client operational burden.</w:t>
      </w:r>
    </w:p>
    <w:p>
      <w:pPr>
        <w:spacing w:after="0" w:line="65" w:lineRule="exact"/>
        <w:rPr>
          <w:rFonts w:ascii="Times New Roman" w:cs="Times New Roman" w:eastAsia="Times New Roman" w:hAnsi="Times New Roman"/>
          <w:sz w:val="18"/>
          <w:szCs w:val="18"/>
          <w:color w:val="auto"/>
        </w:rPr>
      </w:pPr>
    </w:p>
    <w:p>
      <w:pPr>
        <w:ind w:left="1300" w:right="20" w:hanging="644"/>
        <w:spacing w:after="0" w:line="255" w:lineRule="auto"/>
        <w:tabs>
          <w:tab w:leader="none" w:pos="129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Advancing data processing, content quality and product development through data science, machine learning and AI</w:t>
      </w:r>
      <w:r>
        <w:rPr>
          <w:rFonts w:ascii="Times New Roman" w:cs="Times New Roman" w:eastAsia="Times New Roman" w:hAnsi="Times New Roman"/>
          <w:sz w:val="18"/>
          <w:szCs w:val="18"/>
          <w:color w:val="auto"/>
        </w:rPr>
        <w:t>. These capabilities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technologies enable more efficient data collection, enhance content and support quality-control processes. They also allow us to more effectively scale operations and enhance our product development processes. We have developed AI-enabled solutions including AI Portfolio Insights, which features a generative AI-powered interface to help deliver risk and portfolio insights, and GeoSpatial Asset Intelligence, which incorporates AI-driven data processing to help clients analyze location-specific exposures. We designed our AI governance framework, which includes review and approval processes for AI uses, to provide oversight designed to support responsible use, data protection and risk management.</w:t>
      </w:r>
    </w:p>
    <w:p>
      <w:pPr>
        <w:spacing w:after="0" w:line="79" w:lineRule="exact"/>
        <w:rPr>
          <w:rFonts w:ascii="Arial" w:cs="Arial" w:eastAsia="Arial" w:hAnsi="Arial"/>
          <w:sz w:val="18"/>
          <w:szCs w:val="18"/>
          <w:color w:val="auto"/>
        </w:rPr>
      </w:pPr>
    </w:p>
    <w:p>
      <w:pPr>
        <w:ind w:left="1300" w:right="300" w:hanging="644"/>
        <w:spacing w:after="0" w:line="267"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Modernizing how we build and operate software. </w:t>
      </w:r>
      <w:r>
        <w:rPr>
          <w:rFonts w:ascii="Times New Roman" w:cs="Times New Roman" w:eastAsia="Times New Roman" w:hAnsi="Times New Roman"/>
          <w:sz w:val="18"/>
          <w:szCs w:val="18"/>
          <w:color w:val="auto"/>
        </w:rPr>
        <w:t>We are enhancing our software development and operations practices to deliver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faster, reduce service interruptions and increase quality. These efforts include enhancing automation, testing, operational monitoring and secure development practices.</w:t>
      </w:r>
    </w:p>
    <w:p>
      <w:pPr>
        <w:spacing w:after="0" w:line="65" w:lineRule="exact"/>
        <w:rPr>
          <w:rFonts w:ascii="Times New Roman" w:cs="Times New Roman" w:eastAsia="Times New Roman" w:hAnsi="Times New Roman"/>
          <w:sz w:val="18"/>
          <w:szCs w:val="18"/>
          <w:color w:val="auto"/>
        </w:rPr>
      </w:pPr>
    </w:p>
    <w:p>
      <w:pPr>
        <w:jc w:val="both"/>
        <w:ind w:left="1300" w:right="100" w:hanging="644"/>
        <w:spacing w:after="0" w:line="314" w:lineRule="auto"/>
        <w:tabs>
          <w:tab w:leader="none" w:pos="1295"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Operating on cloud platforms</w:t>
      </w:r>
      <w:r>
        <w:rPr>
          <w:rFonts w:ascii="Times New Roman" w:cs="Times New Roman" w:eastAsia="Times New Roman" w:hAnsi="Times New Roman"/>
          <w:sz w:val="17"/>
          <w:szCs w:val="17"/>
          <w:color w:val="auto"/>
        </w:rPr>
        <w:t>, including our cloud-native platforms such as MSCI ONE, and leveraging major cloud providers to reduce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center risks, scale compute and storage, and improve clients’ ability to access and use MSCI content in their investment workflows.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300" w:right="300" w:hanging="644"/>
        <w:spacing w:after="0" w:line="284"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information security and resilience of </w:t>
      </w:r>
      <w:r>
        <w:rPr>
          <w:rFonts w:ascii="Times New Roman" w:cs="Times New Roman" w:eastAsia="Times New Roman" w:hAnsi="Times New Roman"/>
          <w:sz w:val="18"/>
          <w:szCs w:val="18"/>
          <w:color w:val="auto"/>
        </w:rPr>
        <w:t>our technology infrastructure and software security processes, including controls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management, encryption, monitoring and incident response.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Index. </w:t>
      </w:r>
      <w:r>
        <w:rPr>
          <w:rFonts w:ascii="Times New Roman" w:cs="Times New Roman" w:eastAsia="Times New Roman" w:hAnsi="Times New Roman"/>
          <w:sz w:val="18"/>
          <w:szCs w:val="18"/>
          <w:color w:val="auto"/>
        </w:rPr>
        <w:t>Many industry participants compete with us by offering one or more indexes in similar categories. Such indexes vary widely in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by geographic region, business sector and weighting methodology, and may be used by clients in a variety of ways in many different markets around the world. Among our Index competitors are S&amp;P Dow Jones Indices LLC (a joint venture of S&amp;P Global Inc. and CME Group Inc.); FTSE Russell, a subsidiary of the London Stock Exchange Group plc; Nasdaq Inc; Bloomberg Finance L.P. (“Bloomberg”); and Solactive AG.</w:t>
      </w:r>
    </w:p>
    <w:p>
      <w:pPr>
        <w:spacing w:after="0" w:line="18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Competition also exists from industry participants, including asset managers and investment banks, that create their own indexes, often in cooperation with index providers who provide some form of calculation agent service. Some asset managers also manage funds, including ETFs, based on their proprietary indexes, and some investment banks launch structured products or create over-the-counter derivatives based on their proprietary indexes. This is often referred to as self-indexing.</w:t>
      </w:r>
    </w:p>
    <w:p>
      <w:pPr>
        <w:spacing w:after="0" w:line="17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offerings compete with those from a range of competitors, including Axioma (part of SimCorp), BlackRock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Bloomberg, and FactSet Research Systems Inc. Additionally, some of the larger broker-dealers have developed proprietary analytics tools for their clients. Similarly, some of the large global investment organizations, such as custodians, have developed internal risk management and performance analytics tools that they offer to their clients.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Sustainability and Climate. </w:t>
      </w:r>
      <w:r>
        <w:rPr>
          <w:rFonts w:ascii="Times New Roman" w:cs="Times New Roman" w:eastAsia="Times New Roman" w:hAnsi="Times New Roman"/>
          <w:sz w:val="18"/>
          <w:szCs w:val="18"/>
          <w:color w:val="auto"/>
        </w:rPr>
        <w:t>Our Sustainability and Climate offerings compete with a range of companies that issue sustainability and climate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ratings or research, including Sustainalytics Holding B.V. (a part of Morningstar, Inc.), Institutional Shareholder Services Inc. (majority owned by Deutsche Börse AG), S&amp;P Global Inc., Refinitiv (a London Stock Exchange Group business) and Bloomberg.</w:t>
      </w:r>
    </w:p>
    <w:p>
      <w:pPr>
        <w:spacing w:after="0" w:line="17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Other – Private Assets. </w:t>
      </w:r>
      <w:r>
        <w:rPr>
          <w:rFonts w:ascii="Times New Roman" w:cs="Times New Roman" w:eastAsia="Times New Roman" w:hAnsi="Times New Roman"/>
          <w:sz w:val="18"/>
          <w:szCs w:val="18"/>
          <w:color w:val="auto"/>
        </w:rPr>
        <w:t>We have a variety of competitors for our offerings that provide data, market intelligence, indexes, and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attribution services relating to private assets. Our private assets data and analytics products also compete with a variety of products and tools that provide transaction-, fund- and asset-level data for private assets and across asset classes.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Other Proprietary Rights and Sources of Data</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consider many aspects of our offerings, processes and services to be proprietary. We have registered “MSCI” and other marks as trademarks or service marks in the United States and in certain other countries. We will continue to evaluate the registration of additional trademarks and service marks as appropriate. We have also at times filed patent applications to seek to protect our proprietary rights. Additionally, many of our offerings, processes and services require the use of intellectual property that we license for use from third parties. It may be necessary in the future to seek or renew licenses relating to various aspects of our offerings and services. Our ownership and protection of intellectual property and other proprietary rights and our ability to obtain the rights to use third-party intellectual property are important to our business and contribute in part to our overall success.</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intellectual property, we rely on third-party data to create and deliver our products and services. For example, we require certain stock exchange data to construct equity indexes. Termination of or disputes regarding our rights to receive or use such data could limit the information available for us to use or distribute in connection with our products and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MSCI is committed to creating a performance culture and meritocracy with a high degree of employee engagement. Our talent and leadership development programs are designed to identify and develop the people and skills necessary to deliver on MSCI’s strategy.</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Compensation, Talent and Culture Committee (the “Compensation Committee”) of our Board has oversight over talent management matters, including efforts relating to succession planning, career progression, retention strategies, learning and leadership development. In addition, the Compensation Committee oversees efforts relating to our corporate culture, such as our employee engagement and inclusion strategies, and management reports regularly to the Compensation Committee on such matters. We also regularly engage with our shareholders on our human capital management strategies.</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Board regularly reviews our executive talent, including our current leadership bench and succession/progression planning efforts relating to our entire executive team. Senior management regularly reviews talent plans and identifies top talent with the most immediate or near-term potential to progress to the senior-most roles at MSCI.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MSCI is a global company with employees in more than 27 countries. As of December 31, 2025, we employed 6,268 people, of which 51% of MSCI employees were located in the Asia Pacific region, 24% in Europe, Middle East and Africa, 16% in the U.S. and Canada, and 9% in Mexico and Brazil. For the one-year period ended December 31, 2025, voluntary turnover was 7% and involuntary turnover was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Inclusion and Belonging</w:t>
      </w:r>
    </w:p>
    <w:p>
      <w:pPr>
        <w:spacing w:after="0" w:line="121"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Fostering inclusivity is a core value of MSCI. We strive to empower our people to maximize their potential in an inclusive environment. Our performance culture and meritocracy are supported by the belief that all of our people will perform their best when they feel included and valued.</w:t>
      </w:r>
    </w:p>
    <w:p>
      <w:pPr>
        <w:spacing w:after="0" w:line="14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most recent EEO-1 consolidated reports and SASB-aligned disclosures, which provide information about our workforce, including workforce composition, can be found on our website at https://www.msci.com/who-we-are/corporate-responsibility/sustainability-reports-policies. Information contained on our website is not deemed part of or incorporated by reference into this Annual Report on Form 10-K or any other report filed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Benefits and Hybrid Work</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offer a broad range of competitive compensation and benefits programs to employees. These programs include health and welfare benefits for families, including domestic partners; caregiver leave; contributions to defined contribution and defined benefit pensions plans globally and health savings accounts in the U.S.; life insurance; and a global wellness initiative.</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goal is to provide competitive compensation in the markets where we compete for talent and to link pay to performance. All employees are eligible for annual cash bonuses based on performance and, for managing directors, how effectively they demonstrate leadership behaviors consistent with our values and culture.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Senior employees and select other employees are eligible to participate in the MSCI Long-Term Incentive Program (“LTIP”) with awards of MSCI common stock that vest over a multi-year period. The LTIP is designed to align the interests of eligible employees with those of shareholders, reinforce an “owner-operator” philosophy and retain key talent.</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Since January 2022, we have operated a hybrid work model, under which most employees may at times work remotely. The program supports our talent objectives and contributes to employee engagement, recruiting and retention.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Cultivating Talent and Employee Engagement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a variety of learning and development opportunities to help employees grow their skills, receive feedback and coaching, deliver on their goals, and plan their careers. Our learning platform and tools cover a wide range of topics, with options for self-paced and longer-term career development activities. In 2025, participants in our Learning@MSCI platform spent an average of approximately nine hours each on MSCI-provided classroom and self-paced learning. In 2025, we introduced an AI Upskilling Framework to provide targeted learning opportunities ranging from foundational skills to technical specialization. Participants actively engaged with AI-focused courses through our digital learning platform.</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MSCI regularly conducts an employee engagement survey that measures whether our approaches to performance, growth and career development are effective. Managers receive anonymous feedback and are accountable for driving engagement.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Safety</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workplace, and the well-being of our employees is one of our highest priorities. We have relevant health and safety policies and procedures and are committed to complying with all applicable laws and regulations relating to workplace safety.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corporate responsibility practices align with our business goals and demonstrate our commitment to long-term sustainability for the benefit of our clients, employees and shareholders. The Governance and Corporate Responsibility Committee of our Board of Directors (“Board”) oversees our corporate responsibility strategy and activities and receives regular updates from MSCI management.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report regularly on our corporate responsibility efforts. We have published reports aligned with a number of international frameworks, including the “Carbon Disclosure Project (CDP),” the Task Force on Climate-related Financial Disclosures (TCFD) and the Sustainability Accounting Standards Board (SASB).</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Additional information on our corporate responsibility efforts can be found on our website at https://www.msci.com/who-we-are/corporate-responsibility. Information contained on our website is not deemed part of or incorporated by reference into this Annual Report on Form 10-K or any other report filed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existing and evolving laws and regulations in the jurisdictions where we operate, which may increase costs or legal risks, or affect our operations, products and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is subject to reporting, disclosure and recordkeeping obligations pursuant to SEC requirements applicable to U.S. public companies.</w:t>
      </w:r>
    </w:p>
    <w:p>
      <w:pPr>
        <w:spacing w:after="0" w:line="237"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In the United Kingdom, MSCI Limited (a subsidiary of MSCI Inc.) is authorized by the Financial Conduct Authority (FCA) as a benchmark administrator for applicable MSCI indexes. In the European Union, MSCI Deutschland GmbH (a subsidiary of MSCI Inc.) is authorized by Germany’s Federal Financial Supervisory Authority (BaFin) and by the European Securities and Markets Authority (ESMA) as a benchmark administrator for applicable MSCI indexes. Information about index regulation is periodically updated on our website at https://www.msci.com/indexes/index-resources. Information contained on our website is not deemed part of or incorporated by reference into this Annual Report on Form 10-K or any other report filed with the SEC.</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the European Union adopted Regulation (EU) 2024/3005 on the transparency and integrity of ESG rating activities, which will require ESG rating providers operating in the European Union to be authorized by, or registered with, ESMA beginning July 2, 2026. The regulation imposes requirements relating to organizational governance, management of conflicts of interest, transparency of rating methodologies and disclosure to rated entities and users of ratings. Certain of our Sustainability and Climate products are expected to be in scope of this regulation.</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MSCI ESG Ratings and Research Private Limited (a subsidiary of MSCI Inc.) is in the process of surrendering its certificate of registration with the Securities and Exchange Board of India (SEBI) as an ESG Ratings Provider, following a strategic review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MSCI Limited is registered with Cyberspace Administration of China as a foreign institution supplying financial information services in China.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364"/>
        </w:trPr>
        <w:tc>
          <w:tcPr>
            <w:tcW w:w="50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5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Henry A. Fernandez</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6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9"/>
        </w:trPr>
        <w:tc>
          <w:tcPr>
            <w:tcW w:w="5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 Baer Pettit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30"/>
        </w:trPr>
        <w:tc>
          <w:tcPr>
            <w:tcW w:w="5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 Wiechmann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Gutowski</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Head of Corporate Affairs</w:t>
            </w:r>
          </w:p>
        </w:tc>
      </w:tr>
      <w:tr>
        <w:trPr>
          <w:trHeight w:val="230"/>
        </w:trPr>
        <w:tc>
          <w:tcPr>
            <w:tcW w:w="5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A. Crum</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34"/>
        </w:trPr>
        <w:tc>
          <w:tcPr>
            <w:tcW w:w="50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Alvise J. Munari</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 and Head of Client Segments</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any director or other executive officer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Henry A. Fernandez</w:t>
      </w:r>
    </w:p>
    <w:p>
      <w:pPr>
        <w:spacing w:after="0" w:line="12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Mr. Fernandez has served as Chairman of the Company’s Board since October 2007 and as Chief Executive Officer and a director since 1998. He served as head of the MSCI business from 1996 to 1998 and as President from 1998 to October 2017. MSCI was previously a business unit within Morgan Stanley prior to its IPO in 2007. Before leading MSCI, he was a Managing Director at Morgan Stanley, where he worked from 1983 to 1991 and from 1994 to 2007, in emerging markets business strategy, equity derivatives sales and trading, mergers and acquisitions, and corporate and mortgage finance. Mr.</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Fernandez also serves on boards of directors/trustees at Stanford University, King Abdullah University of Science and Technology and its affiliate, KIMC, Memorial Sloan-Kettering Cancer Center and the Foreign Policy Association. Mr. Fernandez previously served on the boards of directors/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trustees at Royalty Pharma plc, Georgetown University, the Trinity School, The Browning School and MexDer (Mexican Derivatives Exchange) and was the Chair of the Advisory Council at the Stanford University Graduate School of Business. He holds a Bachelor of Arts in economics from Georgetown University, an M.B.A. from the Stanford University Graduate School of Business and pursued doctoral studies in economics at Princeton University.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 Baer Pettit</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Mr. Pettit has served as the Company’s President since October 2017 and as a Director on the Company’s Board since January 2023. Mr. Pettit will step down as President and as a member of the Board on March 1, 2026. He previously served as Chief Operating Officer from January 2020 until November 2025 and from 2015 to 2017, Head of the Product Group from February 2015 to September 2015, Head of Index Products from 2011 to 2015, Head of Marketing from 2005 to 2012 and Head of Client Coverage from 2001 to 2012. Prior to joining MSCI, Mr. Pettit worked for Bloomberg L.P. from 1992 to 1999. Mr. Pettit holds a Master of Arts degree in history from Cambridge University and a Master of Science degree from the School of Foreign Service at Georgetown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Andrew C. Wiechmann</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Mr. Wiechmann has served as the Company’s Chief Financial Officer since September 2020. Mr. Wiechmann previously served as Treasurer from November 2021 to June 2022, Chief Strategy Officer from May 2019 to September 2020, Interim Chief Financial Officer from March 2019 to May 2019, Head of Strategy and Corporate Development from July 2012 to March 2019, Head of Investor Relations from December 2017 to March 2019 and Head of Financial Planning &amp; Analysis from July 2015 to December 2017. Prior to joining MSCI in 2012, Mr. Wiechmann was an investment banker at Morgan Stanley where he executed M&amp;A and capital markets transactions for financial technology and specialty finance companies, including advising MSCI on its IPO and various acquisitions. Mr. Wiechmann holds Bachelor of Arts degrees in Physics and Economics from Hamilton College.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Robert J. Gutowski</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Mr. Gutowski has served as the Company’s General Counsel since January 2020 and the Company’s Head of Corporate Affairs since July 2024. In this capacity he oversees the firm’s legal; compliance; corporate affairs; government and regulatory affairs; corporate responsibility; and internal audit functions. Mr. Gutowski previously served as the Company’s Deputy General Counsel and the Head of Compliance from 2010 to 2019 and the Head of Internal Audit from 2012 to 2019. He joined MSCI in 2002. Prior to joining MSCI, he was an attorney in private practice at Rogers &amp; Wells LLP and Clifford Chance LLP, focused on financial services, corporate and intellectual property matters. He received his B.A. from Georgetown University and his J.D. from the State University of New York at Buffalo Law School.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A. Crum</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Mr. Crum has served as the Company’s Chief Human Resources Officer since April 2014. Prior to joining MSCI, Mr. Crum served as global head of human resources for four publicly traded companies. Mr. Crum worked for Avon Products, Inc. as Senior Vice President of Human Resources and Chief People Officer from 2012 to 2013. From 2010 to 2012, Mr. Crum served as Senior Vice President and Chief People Officer of Motorola Mobility Holdings, Inc., one of two publicly traded companies formally created when Motorola Inc. split in January 2011 until it was acquired by Google. Prior to that, he served as the Senior Vice President and Director of Human Resources of ITT Corporation from 2002 to 2010 and Senior Vice President of Administration and Employee Resources at General Instrument Corp. from 1997 to 2000. Mr. Crum holds a Bachelor of Business Administration with a concentration in industrial relations from Southern Methodist University.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Alvise J. Munari</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Mr. Munari has served as the Company’s Chief Product Officer since October 2025 and the Company’s Head of Client Segments since November 2025. In this capacity, he is responsible for driving our business across all products and client segments. Mr. Munari previously served as the Company’s Chief Product Officer from July 2024 to February 2025, Chief Business Officer from February 2025 to October 2025, Chief Client Officer from 2022 to 2024 and Global Head of Client Coverage from 2020 to 2022. Before joining MSCI, Alvise worked at Morgan Stanley as Global Head of Equity Derivatives Distribution and held senior positions at Merrill Lynch and Goldman Sachs. Mr. Munari holds a D.Phil. in Mathematics from Oxford University and an undergraduate degree in Economics and Mathematics from the London School of Economics.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7 World Trade Center, 250 Greenwich Street, 49th Floor, New York, New York, 10007, and our telephone number is (212) 804-3900. We maintain a website on the internet at www.msci.com. The contents of our website are not a part of or incorporated by reference in this Annual Report on Form 10-K.</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and information statements and other information that we file electronically with the SEC at www.sec.gov. We also make available free of charge, on or through our website, these reports, proxy and information statements and other information as soon as reasonably practicable following the time they are electronically filed with or furnished to the SEC. To access these, click on the “SEC Filings” link under the “Financial Information” tab found on our investor relations homepage (https://ir.msci.com).</w:t>
      </w:r>
    </w:p>
    <w:p>
      <w:pPr>
        <w:spacing w:after="0" w:line="18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also use our investor relations website ir.msci.com and our social media outlets, such as LinkedIn or X (@MSCI_Inc), as channels of distribution of Company information. The information we post through these channels may be deemed material.</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Accordingly, investors should monitor these channels, in addition to following our press releases, SEC filings and public conference calls and webcasts. In addition, you may automatically receive email alerts and other information about us when you enroll your email address by visiting the “Email Alerts” on our investor relations homepage at https://ir.msci.com/email-alerts. The contents of our website, including our investor relations website, and our social media channels are not, however, a part of or incorporated by reference in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rFonts w:ascii="Arial" w:cs="Arial" w:eastAsia="Arial" w:hAnsi="Arial"/>
          <w:sz w:val="21"/>
          <w:szCs w:val="2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1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all of the other information set forth in this Annual Report on Form 10-K. If any of the following risks occurs, our business, financial condition or results of operations could be materially and adversely affected. You should read the section titled “Forward-Looking Statements” on page 1 for a description of the types of statements that are considered forward-looking statements, as well as the significance of such statements in the context of this Annual Report on Form 10-K. This information should be read in conjunction with “Management’s Discussion and Analysis of Financial Condition and Results of Operations” and the consolidated financial statements and related notes, which discuss factors that could materially affect our future results.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5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to supply us with data, applications and services and to distribute our products;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defects, malfunctions or similar problems;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reputational and credibility concerns;</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clients seek to negotiate lower asset-based fees or cease using our indexes as the basis for indexed investment products;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or reductions by our clients or reduced demand for our products or services;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disruptions, instability or vulnerabilities in our information technology systems, networks or applications;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ensure and protect the confidentiality of data;</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security incidents including cyber-attacks or failures of our plans, systems, networks or procedures;</w:t>
      </w:r>
    </w:p>
    <w:p>
      <w:pPr>
        <w:spacing w:after="0" w:line="117" w:lineRule="exact"/>
        <w:rPr>
          <w:rFonts w:ascii="Times New Roman" w:cs="Times New Roman" w:eastAsia="Times New Roman" w:hAnsi="Times New Roman"/>
          <w:sz w:val="18"/>
          <w:szCs w:val="18"/>
          <w:color w:val="auto"/>
        </w:rPr>
      </w:pPr>
    </w:p>
    <w:p>
      <w:pPr>
        <w:ind w:left="1300" w:right="74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failures, interruptions or delays in the performance or delivery of our products as a result of the adoption of new technologies;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vulnerabilities resulting from our use of open source code;</w:t>
      </w:r>
    </w:p>
    <w:p>
      <w:pPr>
        <w:spacing w:after="0" w:line="117"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the use of AI and development of AI-related solutions resulting in reputational harm, competitive harm, regulatory scrutiny or legal liability;</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economic conditions and the global capital markets, including those resulting from geopolitical events, adverse equity market conditions, volatility in the financial markets and evolving investment trends;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us from competition and financial and budgetary pressures affecting our clients;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new and enhanced products and services;</w:t>
      </w:r>
    </w:p>
    <w:p>
      <w:pPr>
        <w:spacing w:after="0" w:line="11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global presence and operations and any expansion and our exposure to additional issues from our increased global footprint;</w:t>
      </w:r>
    </w:p>
    <w:p>
      <w:pPr>
        <w:spacing w:after="0" w:line="53"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rules or regulations; changes to current laws, rules or regulations; or the introduction of new laws, rules or regulations relevant to our business;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fluctuation;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indebtedness on our cash flows and financial flexibility;</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credit ratings;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tax liabilities in various jurisdictions; and</w:t>
      </w:r>
    </w:p>
    <w:p>
      <w:pPr>
        <w:spacing w:after="0" w:line="1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attract, develop or retain talent.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supply data, applications and services for our products and services and are dependent on certain vendors to distribute our products. A refusal or failure by a key vendor to distribute our products; any termination,</w:t>
      </w:r>
    </w:p>
    <w:p>
      <w:pPr>
        <w:sectPr>
          <w:pgSz w:w="11900" w:h="16838" w:orient="portrait"/>
          <w:cols w:equalWidth="0" w:num="1">
            <w:col w:w="11160"/>
          </w:cols>
          <w:pgMar w:left="320" w:top="121" w:right="419" w:bottom="1440" w:gutter="0" w:footer="0" w:header="0"/>
        </w:sect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suspension or other loss of key third-party data, applications or services; a decline in the accuracy or quality of such data, applications or services; or any failure by us to comply with our suppliers’ or distributors’ licensing requirements or expectations could impair our ability to provide our products and services, which could have a material adverse effect on our business, financial condition or results of operations.</w:t>
      </w:r>
    </w:p>
    <w:p>
      <w:pPr>
        <w:spacing w:after="0" w:line="17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rely on third-party suppliers of data, applications and services, including data from stock exchanges and other suppliers (collectively, “Vendor Products”), and depend on the accuracy and quality of Vendor Products and the ability and willingness of such suppliers to deliver, support, enhance and develop new products on a timely and cost-effective basis. Additionally, we rely on clients to supply us with certain data for our products and services, and depend on the delivery, accuracy, quality and accessibility of such data.</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If Vendor Products include errors or design defects, are delayed, become incompatible with future versions of our products, are unavailable on acceptable terms or are suspended or not available at all, we may not be able to deliver our products and services. In addition, in the ordinary course of business, suppliers of Vendor Products are subject to various forms of cyber-attacks or other security incidents. Cyber-attacks, vulnerabilities in our suppliers’ software, systems or networks, failure of our suppliers’ safeguards, policies or procedures and other incidents related to our suppliers’ systems and networks, including supply-chain compromises, may cause material interruptions or malfunctions in our or such suppliers’ websites, applications or data processing and delivery, or may compromise the confidentiality and integrity of affected information. In addition, certain of our suppliers are also our competitors, and they could change the terms of the data and products that they supply to us or refuse to continue to supply us with data and products in order to gain competitive advantage against us.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of our agreements with third-party suppliers allow them to cancel on short notice, and from time to time we receive notices from third-party suppliers threatening to terminate the provision of their products or services to us, and some data suppliers have terminated the provision of their data to us. In addition, certain of our most significant data and technology agreements are subject to periodic renewal or re-pricing, and we may be required to accept significantly higher fees or other less favorable commercial or legal terms in order to maintain access to key Vendor Products. Termination or suspension of the provision of Vendor Products by one or more of our significant suppliers or exclusion from, or restricted use of, or litigation or other disputes in connection with Vendor Products could decrease the data and materials available for us to use and deliver to our clients. In addition, some of our competitors could enter into exclusive contracts with our suppliers, including with certain stock exchanges, which could preclude us from receiving certain data or other materials or restrict us in our use of such data or other materials. Such exclusive contracts could hinder our ability to create our products and services or to provide our clients with the data or other products or services they prefer. Certain Vendor Products are concentrated among a small number of suppliers, and we also rely on major cloud and infrastructure providers to host and deliver certain products and services, so an adverse negotiation, dispute or renewal outcome with, or our inability to replace, a key supplier or to obtain comparable data or services on acceptable terms could affect our costs or ability to deliver products and services.</w:t>
      </w:r>
    </w:p>
    <w:p>
      <w:pPr>
        <w:spacing w:after="0" w:line="19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Despite our efforts to comply with the licensing requirements of Vendor Products, there can be no assurance that third parties will not challenge our use, which could result in increased acquisition or licensing costs, loss of rights or costly legal actions. Our business could be materially adversely affected if we are unable to timely or effectively replace the data, other materials or functionality provided by Vendor Products that may become unavailable or fail to operate effectively for any reason. Our operating costs could increase if additional license fees are imposed, or current license fees increase or the efforts to incorporate enhancements to Vendor Products are substantial and we are unable to negotiate acceptable licensing arrangements with these suppliers or find alternative sources of equivalent products or services.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also rely on third-party vendors, including some competitors, to distribute our data to clients. Should any of our key vendors refuse to distribute our data for any reason or require that we pay them new or additional fees in connection with the distribution of our data, we would need to find alternative ways to distribute our data, which could increase costs or disrupt operations. If any of these risks materialize, they could have a material adverse effect on our business, financial condition or results of operations.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contain undetected errors or fail to perform properly due to defects, malfunctions or similar problems, we may face increased costs or liability, which could have a material adverse effect on our business, financial condition or results of operations.</w:t>
      </w:r>
    </w:p>
    <w:p>
      <w:pPr>
        <w:spacing w:after="0" w:line="5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support the investment processes of our clients, which relate to, in the aggregate, trillions of dollars in assets. Products or services we develop or license have contained, and in the future may contain, undetected errors or defects. Use of our products or services as part of the investment process creates the risk that our clients, the parties whose assets are managed by our clients, investors in investment products linked to our indexes, the companies that we rate or assess in our sustainability and climate solutions or the shareholders of those companies, may pursue claims against us based on errors in our or third-party data, calculations, methodologies or analysis or a malfunction or failure in our systems, products or services.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Despite internal testing and in some cases testing or use by clients, our products or services have contained, and in the future may contain, errors in our, third-party or client-provided data, calculations, methodologies or analysis, including serious defects or malfunctions. This risk may grow with the increase in the number, type and complexity of our products, such as complex custom indexes that may require unique and more manual implementation and maintenance. For instance, certain processes utilize manual data entry or collection, which increases the risk of human error. In addition, as our business has grown and evolved over time, we have incurred technical debt resulting from, among other things, legacy code and system architectures, deferred maintenance and upgrades, short-term workarounds, unremediated issues, rapid product development, acquisitions, and the integration of new technologies into existing platforms. Such technical debt can exacerbate these risks by increasing the potential for system outages, performance degradation, defects, cybersecurity vulnerabilities, and testing and remediation limitations. If we detect any errors before we release or deliver a product or service or publish a methodology or analysis, we might have to suspend or delay the product or service release or delivery for an extended period of time while we address the problem. We may not discover errors that affect our products or services or enhancements until after they are deployed, and we may need to provide enhancements or corrections to address such errors, and in certain cases it may be impracticable to do so. If undetected errors exist in our products or services, or if our products or services fail to perform properly due to defects, malfunctions or similar problems, it could result in harm to our brand or reputation, increased costs, lost sales and revenues, delays in commercial release, third-party claims, contractual disputes, negative publicity, delays in or loss of market acceptance of our products or services, license terminations or renegotiations or unexpected expenses and diversion of resources to remedy or mitigate such errors, defects or malfunctions. In addition, defects or flawed outputs in regulated products, including indexes and ESG ratings, may prompt regulatory inquiries, supervisory actions or enforcement proceedings that could require changes to products or controls and impose significant fines or other remediation costs. The realization of any of these events could materially adversely affect our business, financial condition or results of operations.</w:t>
      </w:r>
    </w:p>
    <w:p>
      <w:pPr>
        <w:spacing w:after="0" w:line="19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we have provisions in our client contracts that are designed to limit our liability from claims brought by our clients or third parties relating to our products or services, these provisions could be invalidated or fail to adequately or effectively limit our liability. In addition, clients also increasingly require us to provide contractual assurances regarding our IT and operational risk management and security practices or policies, and many of our clients in the financial services sector are subject to regulations and requirements to adopt risk management processes to oversee their third-party relationships.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Contractual disputes could result in the provision of credits, adverse monetary judgments and other penalties and damages. Any such claims brought against us, even if the outcome were to be ultimately favorable to us, would require attention of our management, personnel, financial and other resources and could have a negative impact on our reputation or pose a disruption to our normal business operations. In addition, the duration or outcome of such claims and lawsuits is difficult to predict, which could further exacerbate the adverse effect they may have on our business, financial condition or results of operations.</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MSCI is exposed to potential reputational and credibility concerns, which could have a material adverse effect on our business, financial condition or results of operations.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any of MSCI’s operating segments, product lines or MSCI as a whole suffers a reputational or other loss in credibility, it could have a material adverse effect on our business, financial condition or results of operations. Reputational damage could prompt clients or vendors to reduce use of our products, or terminate or renegotiate contracts. Factors that have affected or could affect our credibility include: real or perceived conflicts of interest; the adequacy, completeness and editorial independence of our index composition and ESG ratings and controversy assessment processes and decisions; allegations of perceived bias or lack of independence; the inappropriate influence, attempted influence or appearance of influence of third parties, including governments, politicians, NGOs and other advocacy groups, and clients (including large asset managers or asset owners), on our editorial decisions; the impact on companies of our indexes, ESG ratings and controversies, risk models or other MSCI content or analytics; the timing and nature of changes to our methodologies or products, including indexes and ESG ratings and controversies; disagreement with our methodologies or models, including for calculating indexes, value-at-risk and other risk measures, climate metrics, and ESG ratings and controversies; the accuracy and completeness of our client data or third-party data, including data voluntarily disclosed by the investment community, corporate issuers and others that is utilized in our products; and controversies, investigations, media attention, or regulatory or other governmental actions affecting our industry, competitors, clients, strategic partners, vendors or other relevant industry participants.</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face public or media scrutiny concerning politically or socially sensitive topics, which could lead to negative media coverage, reputational harm or increased government or regulatory scrutiny, even if such claims lack merit. Views expressed by the media, politicians, other government officials or representatives, regulators, NGOs and other advocacy groups, industry associations or other third parties regarding our company, our industry or our role in the investment process—including allegations or suggestions that we have biases, lack independence or encourage investment in, or divestment from, certain companies, countries or regions or in support of certain causes or trends—and the impact of political and geopolitical tensions relating to countries, industries, companies or issues relevant to our products and services, such as the inclusion of certain Chinese companies in our indexes or the focus on ESG or sustainable investing and climate considerations, could negatively impact our reputation and credibility. Such negative attention or scrutiny could also increase the risk of shareholder activism, including proposals seeking changes to our governance practices, corporate strategy or product offerings.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some cases, our offerings may insert MSCI into a public spotlight or a public debate regarding investment trends and practices; environmental, social or political issues; geopolitical matters; or corporate governance matters. For example, scrutiny around ESG and climate investment considerations has increased, with anti-ESG and anti-climate advocacy groups, political leaders and industry organizations criticizing ESG or climate-focused risk management practices or investment strategies. Anti-ESG and anti-climate sentiment may impact demand for our products, limit our ability to retain clients or lead to heightened scrutiny of our methodologies or content. Additionally, legislation, litigation, investigations or regulatory action or enforcement activities aimed at curbing ESG or climate investing practices or penalizing institutions perceived as prioritizing ESG or climate considerations could further increase reputational risks to us and reduce the marketability of our products.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increased regulatory and political focus on ESG and climate-related investment considerations has impacted our clients. Certain of our clients use our sustainability and climate data and tools to build and manage portfolios; perform risk management; benchmark their investment performance; and construct and manage ETFs and other indexed financial products. In some cases, these institutional investors are increasingly the subject of additional disclosure requirements, as well as media and regulatory scrutiny, that are focused on preventing “greenwashing” (i.e., holding out an investment product as having “green” or “sustainable” characteristics when this is not, in fact, the case). Our products, and the use of our products by these institutions, could draw MSCI into media attention, political debates, and litigation or regulatory actions related to greenwashing allegations.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Factors affecting our reputation and credibility also include perception of our own sustainability and corporate responsibility policies or practices, including as a result of failure to meet publicly disclosed sustainability-related targets or goals, failure to comply with mandatory sustainability disclosure requirements or misalignment with evolving market standards or the methodologies and standards used in our own products and ESG ratings. Certain of our own corporate responsibility policies and practices are based on third-party frameworks and stakeholder expectations, and our adherence to these frameworks may change due to business developments, policy changes or other factors, drawing scrutiny of our corporate responsibility policies and practices.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Scrutiny of MSCI competitors could also damage the reputation of the industries that we operate in and, therefore, harm the reputation of the Company or certain of our products. In addition, we believe that MSCI’s corporate culture and reputation positively contribute to our ability to attract and retain talent, and that reputational damage could negatively affect our hiring, employee engagement and retention. Damage to our reputation, brand or credibility could have a material adverse effect on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Client Risks</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clients that pay us a variable license fee (e.g., based on the assets under management or total expense ratio or trading volumes of an indexed investment product) may seek to negotiate a lower fee structure or may lower the total expense ratio of such products or may cease using our indexes, which could limit the growth of or decrease our revenues from asset-based or other variable fees and have a material adverse effect on our business, financial condition or results of operations.</w:t>
      </w:r>
    </w:p>
    <w:p>
      <w:pPr>
        <w:spacing w:after="0" w:line="7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portion of our revenues are from asset-based fees or fees based on trading volumes and some of these revenue streams are concentrated in some of our largest clients, including BlackRock, and in our largest market, the U.S. Our clients may seek for a variety of reasons to negotiate to pay us lower asset-based fee percentages, which are sometimes calculated as a percentage of the relevant product’s total expense ratio (“TER”). Additionally, competition is intense among our clients that offer or manage indexed investment products, including ETFs, and low fees are one of the competitive differentiators. Where an investment product’s TER determines our fees, a reduction in the TER may negatively impact our revenues. Additionally, our clients, including our largest clients, may seek to renegotiate existing asset-based fee models with the objective of achieving lower fees, either on a rate basis or in aggregate, which may have a negative impact on our operating revenues.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Moreover, clients that have licensed our indexes to serve as the basis of indexed investment products are generally not required to continue to use our indexes. For example, clients that license our indexes to serve as the basis for listed futures and options contracts might discontinue such contracts. Additionally, we have a differentiated licensing strategy for our indexes and from time to time experience faster growth from lower fee products, resulting in a lower average asset-based fee percentage from indexed investment products. While we aim to maximize the price and volume tradeoff over the long-term, there can be no assurance that we will be able to do so. Results for any given quarter could be materially adversely affected by stronger growth in assets in indexed investment products with lower-than-average fees not sufficiently offset by growth in assets in indexed investment products with higher-than-average fees. Our asset-based fees could dramatically decrease, which could have a material adverse effect on our business, financial condition or results of operations. Finally, to the extent that multiple investment products are based on the same index, (i) assets under management in one product could shift to products that pay MSCI lower fee levels, (ii) the products could compete for the same assets such that none of the products becomes large enough to be successful or sustained, or (iii) the failure or discontinuance of one product (e.g., derivatives used for hedging) could have a detrimental effect on the use of the other products (e.g., ETFs).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Cancellations or reductions by our clients could have a material adverse effect on our business, financial condition or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material portion of our revenues is concentrated in some of our largest clients. For the fiscal year ended December 31, 2025, our largest client organization by revenue, BlackRock, accounted for 10.8% of our consolidated operating revenues. For the fiscal year ended December 31, 2024, our largest client organization by revenue, BlackRock accounted for 10.2% of our consolidated operating revenues. Our revenue growth depends on our ability to obtain new clients, quickly onboard our clients and deploy our products and services to them, sell additional services to existing clients and achieve, maintain or improve pricing structures and sustain a high level of renewal rates with respect to our existing licenses. Failure to achieve one or more of these objectives could have a material adverse effect on our business, financial condition or results of operations.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 client’s activity with us may decrease for a variety of reasons, including the client’s level of satisfaction with our products and services; the effectiveness of our support services; the pricing of our products and services; the pricing and quality of competing products or services; client events such as mergers, acquisitions, restructurings, or business closures; or the effects of changes in economic conditions and the global capital markets. In addition, demand for our products may be impacted by cyclical market changes, regulatory uncertainty and political scrutiny, which could negatively affect client adoption and our financial performance. If we experience significant cancellations or reductions in licenses, either individually or in the aggregate, and we are unsuccessful in replacing those licenses, our business, financial condition or results of operations could be materially adversely affected.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clients may become more self-sufficient, which may reduce demand for our products or services and materially adversely affect our business, financial condition or results of operations.</w:t>
      </w:r>
    </w:p>
    <w:p>
      <w:pPr>
        <w:spacing w:after="0" w:line="5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clients may internally develop certain functionality contained in the products or services they currently license from us. For example, a number of our clients have obtained regulatory clearance to create indexes for use as the basis of ETFs that they manage and others have invested in direct indexing strategies, allowing investors to purchase individual stocks making up an index rather than investing in a fund or ETF. Similarly, some of our clients who currently license our risk or sustainability and climate data to analyze their portfolio risk may develop their own tools to collect data and assess risk or embed sustainability considerations into their investment processes, making our products or services unnecessary for them. Advances in AI and cloud platforms have also lowered the barriers for clients to build capabilities internally. A growing number of asset managers and investment banks, in partnership with index providers that offer calculation agent services, or acting together with an industry group or association, have created or may create their own range of proprietary indexes, which they use to manage funds or as the basis of ETFs, structured products or over-the-counter derivatives. To the extent that our clients become more self-sufficient, demand for our products or services may be reduced, which could have a material adverse effect on our business, financial condition or results of operations.</w:t>
      </w:r>
    </w:p>
    <w:p>
      <w:pPr>
        <w:spacing w:after="0" w:line="2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Complex relationships with clients, competitors, investors and distributors could have a material adverse effect on our business, financial condition or results of operations.</w:t>
      </w:r>
    </w:p>
    <w:p>
      <w:pPr>
        <w:spacing w:after="0" w:line="5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complex relationships with various parties, including clients, shareholders, distributors of our content and competitors, which may present potential conflicts of interest that could adversely affect our business. Certain of our clients are also significant shareholders, competitors or distributors of our content, including some of our largest clients, such as BlackRock. This dynamic may introduce competitive pressures that could cause these clients to terminate all or a portion of the relationship and result in a loss of business or reduced revenue or influence our strategic decisions, such as whether to prioritize the client relationship over the development or enhancement of products that directly compete with those clients’ offerings.</w:t>
      </w:r>
    </w:p>
    <w:p>
      <w:pPr>
        <w:spacing w:after="0" w:line="18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also relate to these parties. For example, our ESG ratings and other products assess companies, including clients, shareholders, distributors of our content and competitors. Additionally, our indexes may include or exclude companies that are clients, shareholders, distributors of our content or competitors. These determinations could cause an impacted company to cease doing business with us, or may create perceptions of bias, lack of independence or influence over our editorial decisions. Allegations of such influence or bias could undermine the perceived integrity of our products, leading to reputational harm, increased regulatory scrutiny or lower demand for our products.</w:t>
      </w:r>
    </w:p>
    <w:p>
      <w:pPr>
        <w:spacing w:after="0" w:line="183"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While we have implemented policies and procedures designed to identify, mitigate and manage potential conflicts of interest, we may not be effective in all circumstances. The inability to adequately address these issues could lead to the loss of key clients, distributors or partners; diminished revenues; or harm to our reputation. Any of these outcomes could have a material adverse effect on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Risks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failures, disruptions, instability or vulnerabilities in our information technology architecture, platforms, vendors and service providers, production and delivery systems, software, code, networks, the internet or other systems may disrupt our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cause our products or services to be unavailable or fail and impose delays or additional costs, or impose conditions or restrictions on our products or services and have a material adverse effect on our business, financial condition or results of operations.</w:t>
      </w:r>
    </w:p>
    <w:p>
      <w:pPr>
        <w:spacing w:after="0" w:line="51" w:lineRule="exact"/>
        <w:rPr>
          <w:sz w:val="20"/>
          <w:szCs w:val="20"/>
          <w:color w:val="auto"/>
        </w:rPr>
      </w:pPr>
    </w:p>
    <w:p>
      <w:pPr>
        <w:jc w:val="both"/>
        <w:ind w:right="120" w:firstLine="648"/>
        <w:spacing w:after="0" w:line="272" w:lineRule="auto"/>
        <w:rPr>
          <w:sz w:val="20"/>
          <w:szCs w:val="20"/>
          <w:color w:val="auto"/>
        </w:rPr>
      </w:pPr>
      <w:r>
        <w:rPr>
          <w:rFonts w:ascii="Times New Roman" w:cs="Times New Roman" w:eastAsia="Times New Roman" w:hAnsi="Times New Roman"/>
          <w:sz w:val="17"/>
          <w:szCs w:val="17"/>
          <w:color w:val="auto"/>
        </w:rPr>
        <w:t>We depend heavily on the capacity, reliability and security of our information technology systems, networks and platforms and their components, including our data centers, cloud providers and other third-party vendors and service providers, production and delivery systems as well as the internet, to create and deliver our products and service our clients. Our employees also depend on these systems, networks, platforms and providers for internal use.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Factors affecting the availability of our products and services and our information technology systems and networks, such as loss of service, operational failures, human error, model error, terrorist attacks, geopolitical instability, climate-related events (e.g., hurricanes, floods or other natural disasters), outbreak of pandemic or contagious disease, power loss, telecommunications failures, technical breakdowns, internet failures or cyber-attacks, could impair our or our third-party service provider systems’ operations or interrupt their availability for extended periods of time or impact the availability of our or our third-party service provider’s personnel. Our ability to effectively use the internet, including for remote work, may also be impaired due to a variety of reasons including infrastructure failures, service outages, cyber-attacks or government restrictions.</w:t>
      </w:r>
    </w:p>
    <w:p>
      <w:pPr>
        <w:spacing w:after="0" w:line="19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Disruptions, failures, or slowdowns in our operations, or those of our third-party vendors and service providers, could reduce confidence in our products and services, damage our brand and reputation, result in litigation, or negatively affect our ability to distribute products to clients, including managed services or real-time index data. In addition, accumulated design, implementation, or architectural decisions in our technology environment, which may have been appropriate at the time they were made, may require incremental investment over time to maintain, enhance, or modernize our systems. This “technical debt” can increase the risk of outages, disruptions, performance degradation, defects, and cybersecurity incidents. While we generally perform cybersecurity due diligence on key vendors and service providers, our ability to monitor their practices is limited, and vulnerabilities or incidents affecting their software, systems, or networks could introduce risks to our operations. Additionally, newly acquired businesses may not have invested in technology and resilience to the same extent as we have, and integration of their systems could introduce vulnerabilities that impact us.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successfully defend against such disruptions or that our disaster recovery or business continuity plans, or those of our third-party service providers (including cloud providers), will be effective in mitigating the risks and associated costs, which could be exacerbated by our hybrid work model. While we maintain insurance coverage intended to address certain aspects of cybersecurity and data protection risks, such coverage may not include, or may not be sufficient to cover, all or a majority of any costs or other losses resulting from cyber-attacks or other security incidents. Any of these factors could have a material impact on our business, financial condition, or results of operations.</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ensure and protect the confidentiality of data could have a material adverse effect on our business, financial condition or results of operations.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systems and processes involve the collection, retrieval, storage, transmission and processing of proprietary, third-party and client confidential information. We also handle personal information of our employees in connection with their employment. We rely on complex processes and IT controls along with policies, procedures and training to protect this information, including sensitive data such as material non-public information and client portfolio data, against unauthorized access or disclosure. When we change the composition of our indexes or if we expect to change the methodologies that govern our indexes, in some cases, those changes can have an indirect effect on the prices of constituent securities and on certain indexed investment products as a result of trading activity related to tracking our indexes. The foreknowledge of these changes could be determined to be material non-public information. Similarly, our ESG ratings and changes to our ratings or methodology could potentially impact the companies and entities that we rate, including the price of their securities and the price of other securities that reference their securities.</w:t>
      </w:r>
    </w:p>
    <w:p>
      <w:pPr>
        <w:spacing w:after="0" w:line="19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If our processes, confidentiality policies, conflict of interest policies or information barrier procedures fail or are insufficient, including as a result of intentional or unintentional human error, manual process failure, system error or other failure, then unauthorized release of, access to, or disclosure or misappropriation of data, including material non-public information or other confidential information (e.g., certain client portfolio data, index composition data, or ESG rating data), could harm our brand and reputation, lead to litigation, regulatory actions or penalties, and result in a loss of client confidence, which could have a material adverse effect on our business, financial condition or results of operations. In addition, such incidents may trigger notification and reporting obligations to regulators, clients and other stakeholders. Failure to meet those obligations or to effectively communicate during an incident could exacerbate reputational harm and regulatory exposure, including the risk of enforcement actions and fines.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security incidents and the failure of security plans, systems and procedures could have a material adverse effect on our business, financial condition or results of operations.</w:t>
      </w:r>
    </w:p>
    <w:p>
      <w:pPr>
        <w:spacing w:after="0" w:line="5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operations rely on the secure collection, retrieval, storage, transmission and other processing of confidential, sensitive, proprietary and other types of data and information that is managed internally and with third-party vendors and service providers. We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and our vendors and service providers are subject to security risks, including cyber-attacks and other security incidents, such as phishing scams or other social engineering attacks, deepfake attacks, hacking, tampering, intrusions, viruses, malware (including ransomware) and denial-of-service attacks – all of which could be exacerbated by AI technologies. Cybersecurity risks also may derive from fraud or malice on the part of our employees or third parties, or may result from human error, software bugs, server malfunctions, software or hardware failure or other technological failure. The use of mobile and cloud technologies, as well as remote work arrangements, may heighten these risks. In addition, failure by our clients, third-party vendors or service providers to notify us of cybersecurity incidents in a timely manner could lead to unauthorized access to our systems and data, resulting in material adverse effects on our business, operations, and financial results.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be exposed to more targeted and more sophisticated cyber-attacks and other security incidents because of our role or prominence in the global marketplace, including our handling of client portfolio data, the composition and use of our indexes and ESG ratings. Advanced, persistent and state-sponsored threat actors with significant resources and capabilities could also attempt to penetrate our or our vendors’ systems. Additionally, although we conduct due diligence during acquisition processes, acquired businesses may not have invested as heavily in security measures and technology, and this may introduce additional security risk. In the past, we have experienced cyber-attacks of varying degrees, including denial-of-service attacks. There can be no assurance that there will not be material adverse effects relating to these types of incidents in the future, in particular as these types of incidents have generally become increasingly frequent, sophisticated, difficult to detect and difficult to successfully defend against, and we may see their frequency increased, and effectiveness enhanced, by the use of AI. As these threats continue to evolve, we may be required to devote additional resources to modify or enhance our operational or security systems and networks and our cybersecurity program.</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security measures or those of our third-party providers may prove insufficient. Cyber-attacks, security incidents or third-party reports of perceived security vulnerability to our systems or networks, even if no intrusion has occurred, could damage our brand and reputation, result in litigation, regulatory actions, investigations, sanctions or other penalties, lead to loss of client confidence, which would harm our ability to retain clients and gain new clients, and result in financial losses. Any of the foregoing could lead to unexpected or higher than estimated costs. We may also incur additional costs as we enhance and refine our internal processes and IT controls, policies, and procedures.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Migration of our applications, systems, processes and infrastructure to new technologies, providers, processes, platforms or applications could result in unanticipated failures, interruptions or delays in the performance and delivery of our products, services and support. Such incidents could have a material adverse effect on our business, financial condition or results of operations.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past, we have experienced interruptions and delays in the performance and delivery of certain products, including after we migrated applications and infrastructure to new data centers or other network infrastructure. While we have taken steps to mitigate such interruptions and delays, we cannot provide assurance that they will not occur again as part of future migration to new technologies, applications or processes (e.g., cloud migration), even after extensive testing, or if we experience significant growth of our client base or increases in the number of products or services or in the speed at which we provide products and services. Future migrations may result in outages, latency or degraded functionality, or data loss or corruption despite backup and recovery plans. Such disruptions may result in cancellations and reduced demand for our products and services, resulting in decreased revenues, or in cost increases relating to our use of power and system resources. After adopting new technologies, applications and processes, we may experience unanticipated interruption and delay in the performance or delivery of certain products, services or client support. We may also incur increased operating expenses to recover data, repair, replace or remediate systems, equipment or facilities, and to protect ourselves from such disruptions. Accordingly, any significant failures, disruptions or instability affecting our information technology platforms, providers, production and delivery systems, applications, processes or the internet could negatively affect our ability to distribute products and service our clients, damage our brand and reputation and result in litigation, which may have a material adverse effect on our business, financial condition or results of operations.</w:t>
      </w:r>
    </w:p>
    <w:p>
      <w:pPr>
        <w:spacing w:after="0" w:line="2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code could introduce security vulnerabilities, impose delays or costs, result in litigation or impose conditions or restrictions on our ability to commercialize our products or services. Such incidents could have a material adverse effect on our business, financial condition or results of operations.</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rely on open source code to develop software and to incorporate it in our products and internal systems. The use of open source code may entail greater risks than third-party commercial software, as open source licensors generally do not provide warranties or other protections regarding infringement claims, the quality of the code or the security of the code. Certain open source licenses provide that if we combine our proprietary code with open source code and distribute it in a certain manner, we could be required to release the source code to the public, potentially allowing our competitors to create similar products and putting us at a competitive disadvantage. Additionally, the terms of many open source code licenses are ambiguous and have not been interpreted by U.S. courts, increasing the risk of unanticipated restrictions or conditions on our use of such software. Therefore, we could be required to seek licenses from third parties on terms that are not commercially feasible, to make portions of our proprietary code publicly available to re-engineer our products or systems, to discontinue licensing certain products, or to take other remedial action that could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divert resources. We could also be subject to suits by parties claiming breach of the terms of licenses, which could be costly for us to defend. Open source code may also contain security vulnerabilities or malicious code (including backdoors), which could impair our products or systems, reduce client confidence, harm our reputation and expose us to litigation or other liability. Any of these factors could materially adversely affect our business, financial condition or results of operations.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use of AI and development of AI-related solutions could result in reputational harm, competitive harm, regulatory scrutiny or legal liability, and could have a material adverse effect on our business, financial condition or results of operations.</w:t>
      </w:r>
    </w:p>
    <w:p>
      <w:pPr>
        <w:spacing w:after="0" w:line="5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currently incorporate, and expect to continue to incorporate, AI technologies, including generative AI, into our products and operations, and these uses of AI may become significantly more important over time. There are significant and evolving risks involved in utilizing AI, and there is no assurance that our usage of AI will help our products and operations become more effective, efficient or profitable, or otherwise achieve our intended outcomes. Our use of AI will require additional resources and costs to develop and maintain products, comply with emerging regulations, address ethical and reputational considerations, and manage technical, operational and competitive risks.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Competitors and new market entrants may use AI to develop products that compete with our offerings at lower price points, with faster time-to-market or with additional or better capabilities, which could impair our ability to compete effectively and put pressure on our revenues and subscriptions. Additionally, AI-enabled tools may allow clients, including asset managers, asset owners, banks, hedge funds and others, to develop in-house capabilities to replace our products such as custom indexes, risk analytics, and sustainability and climate data. Large-scale data scraping and generative AI models trained on publicly available information could also diminish the perceived uniqueness and commercial value of our proprietary content. Further, third-party AI tools and model providers may change their model behavior, pricing or terms, which could adversely affect our offerings, increase our costs or disrupt our operations.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models underlying our use of AI technologies may be incorrectly or inadequately designed or implemented. If the content, analyses, or recommendations produced by AI are, or are perceived to be, biased, inaccurate, misleading, of poor quality, unethical or otherwise deficient or flawed, any of which may not be easily detectable or may be exacerbated when AI systems operate with greater autonomy, our business may be adversely affected. AI technologies, including generative AI, can produce outputs that appear authoritative but contain factual errors, “hallucinations,” or unintended biases. If AI-generated content in our products contains such errors, we could face client losses, reputational damage and potential legal liability. Failure to maintain appropriate oversight, governance frameworks, testing, documentation and monitoring could exacerbate these risks.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use of AI may involve third-party information with unclear intellectual property rights or interests. If we do not have sufficient rights to use the data or other material or content that AI technologies utilize or generate, we may incur liability through the violation of applicable laws and regulations, third-party intellectual property, privacy or other rights or contracts to which we are a party. In addition, intellectual property ownership rights, including copyright, of generative and other AI output, have not been fully interpreted by courts or regulations. The use of AI by us or by others may also result in, and increase our exposure to, cyber-attacks or other security incidents, including those that involve confidential or personal information (e.g., proprietary, third-party, employee or client information). The use of AI by our employees, contractors or partners could also result in the inadvertent disclosure of confidential or personal information, risking our intellectual property rights, competitive position and reputation.</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adopted principles and governance frameworks designed to support responsible use, data protection and risk management, but these may prove insufficient to prevent harmful outcomes or may not keep pace with the rapid evolution of AI capabilities and risks.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AI technologies are subject to an evolving and fragmented legal and regulatory landscape. Laws and regulations applicable to AI, including intellectual property, data privacy and security, consumer protection, competition and equal opportunity laws, continue to develop and may be inconsistent from jurisdiction to jurisdiction. Because AI is complex and rapidly developing, it is not possible to predict all of the legal, operational or technological risks that may arise relating to the use of AI. These risks include the possibility of enhanced governmental or regulatory scrutiny, litigation or other legal liability, compliance issues, ethical concerns, negative consumer perceptions, confidentiality or security risks, supply-chain and cost risks related to AI infrastructure and models, as well as other factors. Any of these issues could materially adversely affect our business, financial condition or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Growth Risks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changes in economic conditions and the global capital markets, including those resulting from geopolitical events, trade policy changes, adverse equity market conditions, volatility in the financial markets and evolving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trends. Such changes could decrease the use of our products and services which could have a material adverse effect on our business, financial condition or results of operations.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is impacted by economic conditions, including economic uncertainty, market downturns and volatility in the global capital markets and evolving investment trends (including volatility and trends resulting from geopolitical events and trade policy changes, including tariffs, retaliatory tariffs and related trade tensions). Our clients use our products for a variety of purposes, including benchmarking, performance attribution, portfolio construction and risk management, and to support investment strategies including sustainability, climate, factor, thematic, private asset and MAC investing. Volatile capital markets, geopolitical instability or unrest, trade tensions and shifts in trade policy and other economic and market conditions and trends, including a recession or other significant financial-market event or crisis, may impact whether, how, where and when investors choose to invest, for example between developed or emerging markets, U.S. or non-U.S. markets, as well as whether to adopt different investment strategies. Such shifts may increase demand for certain of our products while reducing demand for others, and may reduce client budgets, delay purchasing decisions or cause clients to defer or cancel subscriptions, any of which could materially reduce demand for our offerings.</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portion of our revenues comes from clients who use our indexes as the basis for indexed investment products. These fees are primarily based on a client’s assets under management or trading volumes, and if the level of assets under management or trading volumes declines, we expect our fee-based revenue to show a corresponding decline. The value of an investment product’s assets may increase or decrease in response to changes in market performance and cash inflows and outflows, which could impact our revenues.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portion of our revenues comes from products and services that relate to certain investment trends. A decline in the equity markets or movement away from such investment trends, including as a result of changing economic conditions or political or regulatory concerns or scrutiny, could decrease demand for our related products and services, which could have a material adverse effect on our business, financial condition or results of operations.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and financial and budgetary pressures affecting clients may cause price reductions or loss of market share, which may materially adversely affect our business, financial condition or results of operations.</w:t>
      </w:r>
    </w:p>
    <w:p>
      <w:pPr>
        <w:spacing w:after="0" w:line="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Competition exists across all markets for our products and services. Our competitors range from large companies with substantial resources to small, single-product businesses that are highly specialized. Larger competitors may have access to more resources and may be able to achieve greater economies of scale, and specialized competitors may have unique expertise and dedicated resources and capabilities to compete with respect to a particular product or service. Some competitors may offer price incentives or different pricing structures that are more attractive to clients. The competitive landscape may also experience consolidation, which results in a narrower pool of competitors that are better capitalized or that are able to gain a competitive advantage through synergies.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Barriers to entry may be low or declining in many markets, including for single-purpose product companies, supporting new competitors. For example, more broker-dealers, data suppliers, credit rating agencies, analytics firms, technology providers (including AI providers) or other market participants or vendors could begin developing their own content such as proprietary risk analytics, sustainability and climate data or indexes. Factors such as increases in the availability of free or relatively inexpensive information through internet sources and through the use of AI or other low-cost delivery systems, advances in cloud computing, increased use of open source code, the ability of machine learning and other AI to process and organize large data sets, as well as client development of proprietary applications, have further reduced barriers to entry in some cases and our competitors may use these tools to deliver solutions at lower prices, or these tools may be used in a way that significantly increases access to publicly available information. Such developments may over time reduce the demand for, or clients’ willingness to pay for, certain of our products and services.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experience pressures to reduce our fees, prolonged selling and renewal cycles, reduced client spending and increased cancellation rates on account of financial and budgetary pressures affecting our clients, including those resulting from weak or volatile economic or market conditions, geopolitical conflicts and the inflationary environment, which may lead certain clients to reduce their overall spending on our products or services, including by seeking similar products or services at a lower cost than what we are able to provide, by consolidating their spending with fewer providers, by consolidating with other clients or by self-sourcing their information and analytical needs. Accordingly, competitive and market pressures may result in fewer clients or reduced sales, including as a result of client closures and consolidations, price reductions, prolonged selling and renewal cycles and increased operating costs, such as for marketing and product development, which could, individually or in the aggregate, result in a material adverse effect on our business, financial condition or results of operations.</w:t>
      </w:r>
    </w:p>
    <w:p>
      <w:pPr>
        <w:spacing w:after="0" w:line="29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we must successfully develop new and enhanced products and services and effectively manage product transitions and integrations. Our failure to do so may materially adversely affect our business, financial condition or results of operations.</w:t>
      </w:r>
    </w:p>
    <w:p>
      <w:pPr>
        <w:spacing w:after="0" w:line="5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operate in highly competitive markets that continually change to meet client needs. To remain competitive, we must continually introduce new products and services; enhance existing products and services delivered through our own systems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through third-party platforms; collect, organize, analyze and protect large amounts of information to generate insights; and effectively generate client demand for new and enhanced products and services. We may not be successful in developing, introducing, implementing, marketing, pricing, launching or licensing new products or enhancements on a timely or cost-effective basis or without impacting the stability and efficiency of existing products and services. Any new products or services and enhancements may not adequately meet the requirements of the marketplace or industry standards or achieve market acceptance.</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process of enhancing existing, and developing new, products and services and expanding our offerings to new client types is complex and may become increasingly complex and expensive in the future, including due to new technology and AI, competition for talent, workforce costs and evolving client expectations. Expansion into new product and service offerings and client types also increases the complexity of our go-to-market, product development, operational and regulatory requirements and may require substantial additional investment. This process often requires effective collaboration across various functions and product lines, and ineffective or insufficient collaboration may harm our ability to meet our business objectives. In particular, serving new client types may require new capabilities, additional product features and use cases, specialized distribution and implementation, and different contractual and licensing arrangements, all of which can increase time to market and execution risk. In addition, our reputation could be harmed if we are perceived as not innovating rapidly enough to meet the changing needs of investors or their advisors. These changing needs include a greater expectation that information be delivered with a higher degree of customization and service quality. We must make long-term investments and commit significant resources before knowing whether these investments will eventually result in new or enhanced products and services that satisfy our clients’ needs, including new client types, and generate adequate revenues. We also incur costs to integrate existing products and services and transition clients to enhanced products and services, which also present execution risks and could lead to price reductions or other concessions.</w:t>
      </w:r>
    </w:p>
    <w:p>
      <w:pPr>
        <w:spacing w:after="0" w:line="19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increased presence of AI in the market could also lead to increased expectations from clients and market participants regarding the quality, features, timeliness and use cases of our products and services. If we are unable to effectively manage the development of new or enhanced products and services for our clients, we may not be able to remain competitive and our business, financial condition or results of operations could be materially adversely affected.</w:t>
      </w:r>
    </w:p>
    <w:p>
      <w:pPr>
        <w:spacing w:after="0" w:line="176"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global presence and operations and any future expansions may continue to place significant strain on our resources and subject us to additional risks and costs resulting from our increased global footprint, which could materially adversely impact our business, financial condition or results of operations.</w:t>
      </w:r>
    </w:p>
    <w:p>
      <w:pPr>
        <w:spacing w:after="0" w:line="6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global presence and operations and any future expansion are expected to continue to place significant demands on our personnel, management and other resources, and there can be no assurance that we will effectively attract, develop and retain talent and effective leaders across locations; expand our sales activities; operate our physical facilities and information technology infrastructure; scale our legal and compliance infrastructure; meet our regulatory obligations; develop and maintain appropriate operational and financial systems, procedures and controls; integrate acquired businesses; or otherwise adequately manage our global presence and operations and any future expansion.</w:t>
      </w:r>
    </w:p>
    <w:p>
      <w:pPr>
        <w:spacing w:after="0" w:line="18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global presence and operations and our ability to deliver our products and services to our clients also expose us to political, economic, legal, regulatory, operational, reputational, franchise and other risks resulting from operating and selling in many countries. These include the risk that geopolitical tensions, trade policy changes and related policy responses may restrict or limit our ability to offer certain products, services or content in particular jurisdictions, affect our access to the technology on which our operations depend, or reduce client demand for our products and services in affected markets. We also may face such impacts from product constraints, capital controls, exchange controls, customs duties, tariffs, retaliatory trade measures, sanctions compliance, tax penalties, levies or assessments, legal uncertainty, regulatory intervention and other restrictive governmental actions such as export restrictions, requirements favoring local competitors, limits on foreign ownership or investment, limits on the use of foreign technology, requirements applicable to particular types of data services and processing, data localization rules and restrictions on cross-border transfers of data and services, as well as the outbreak of hostilities or political and governmental instability. As we operate in multiple jurisdictions, our ability to repatriate cash to the U.S. could also be impacted by foreign currency controls, restrictions on cash transfers, or limits on converting currency or paying dividends from non-U.S. subsidiaries, as well as adverse tax consequences. In addition, the majority of our employees are located in offices outside of the U.S., and a number of those employees are located in emerging market locations. The cost of establishing and maintaining these offices, including costs related to information technology, as well as the costs of attracting, training and retaining employees in these locations may be higher, or may increase at a faster rate, than we anticipate. Additionally, social and health conditions, such as public health epidemics impacting the global economy or our employees, may have a material adverse effect on our business, financial condition or results of operations.</w:t>
      </w:r>
    </w:p>
    <w:p>
      <w:pPr>
        <w:spacing w:after="0" w:line="19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in many countries applicable to our business are uncertain and evolving, and it may be difficult or costly for us to determine and remain compliant with the exact requirements of local laws in every market. Our inability to maintain consistent internal policies and procedures across our offices and remain in compliance with local laws in a particular market could have a significant and negative effect not only on our businesses in that market but also on our reputation.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Demand for our products and services is still nascent in many parts of the world, particularly in certain emerging markets where investment management practices, including risk management and sustainability and climate integration, are less established. In addition, the data required to model local securities in some emerging markets might be difficult to source and local investment product nuances may be difficult or costly to model. If we do not appropriately tailor our products and services to fit the needs of the local market, we may be unable to effectively grow sales of our products and services.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Any failure to effectively manage expansion or to effectively manage our business globally could damage our brand and reputation, result in increased costs and litigation and have a material adverse effect on our business, financial condition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rules or regulations, or the introduction of new or revised laws, rules or regulations could materially adversely affect our business, financial condition or results of operations.</w:t>
      </w:r>
    </w:p>
    <w:p>
      <w:pPr>
        <w:spacing w:after="0" w:line="5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Failure to comply with any applicable laws, rules, regulations, executive or administrative orders or other governmental requirements, or industry codes of conduct, could subject us to litigation, regulatory actions, sanctions, fines or other penalties, as well as damage our brand and reputation. The financial services industry, within which we and many of our clients operate, is subject to extensive laws, rules and regulations, with direct regulation of certain of our products in some jurisdictions. These laws, rules and regulations are complex, evolve frequently and sometimes quickly and unexpectedly, and are subject to administrative interpretation and judicial construction in ways that are difficult to predict, and could materially adversely affect our business or our clients’ businesses. Additionally, we may be required to comply with multiple and potentially conflicting laws, rules or regulations in various jurisdictions, which could, individually or in the aggregate, result in materially higher compliance costs to us. Laws, rules or regulations could require changes to the way we license and price our products and services. In addition, various government and regulatory bodies from time to time may make inquiries and conduct investigations into our compliance with applicable laws and regulations and our business practices, including those related to our regulated activities and other matters.</w:t>
      </w:r>
    </w:p>
    <w:p>
      <w:pPr>
        <w:spacing w:after="0" w:line="1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Changes to the laws, rules and regulations applicable to our clients could limit our clients’ ability to use our products and services or could otherwise impact our clients’ demand for our products and services. As such, to the extent our clients become subject to certain laws, rules or regulations, we may incur higher costs in connection with modifying our products or services. If laws, rules or regulations place new obligations on clients that affect us, restrict our clients’ or vendors’ ability or willingness to provide data to us, or impose new compliance obligations or restrictions on how we access and use such data, our ability to continue to produce products and services, or the costs associated with doing so, could be negatively affected.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regulations and regulatory considerations that most significantly impact us are described below:</w:t>
      </w:r>
    </w:p>
    <w:p>
      <w:pPr>
        <w:spacing w:after="0" w:line="115" w:lineRule="exact"/>
        <w:rPr>
          <w:sz w:val="20"/>
          <w:szCs w:val="20"/>
          <w:color w:val="auto"/>
        </w:rPr>
      </w:pPr>
    </w:p>
    <w:p>
      <w:pPr>
        <w:ind w:left="660" w:right="100" w:hanging="328"/>
        <w:spacing w:after="0" w:line="275"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Benchmarks. </w:t>
      </w:r>
      <w:r>
        <w:rPr>
          <w:rFonts w:ascii="Times New Roman" w:cs="Times New Roman" w:eastAsia="Times New Roman" w:hAnsi="Times New Roman"/>
          <w:sz w:val="17"/>
          <w:szCs w:val="17"/>
          <w:color w:val="auto"/>
        </w:rPr>
        <w:t>Compliance with regulations affecting benchmarks or their uses, as well as related technical standards and guidance, could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negatively impact our business and results of operations. Benchmarks, which include the indexes we provide, are subject to regulations that may require changes in our business practices, product offerings or our ability to offer indexes in certain jurisdictions. Such impacts could include, without limitation, increased costs, including direct regulatory fees and costs; diminished intellectual property rights; methodology requirements or restrictions; product requirements or restrictions; constraints on the fees we charge; constraints on our ability to meet contractual commitments with data providers; or constraints on how we offer our products. Any of these factors could have a material adverse effect on our index products.</w:t>
      </w:r>
    </w:p>
    <w:p>
      <w:pPr>
        <w:spacing w:after="0" w:line="62" w:lineRule="exact"/>
        <w:rPr>
          <w:rFonts w:ascii="Times New Roman" w:cs="Times New Roman" w:eastAsia="Times New Roman" w:hAnsi="Times New Roman"/>
          <w:sz w:val="17"/>
          <w:szCs w:val="17"/>
          <w:color w:val="auto"/>
        </w:rPr>
      </w:pPr>
    </w:p>
    <w:p>
      <w:pPr>
        <w:ind w:left="660" w:right="6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example, the EU Benchmark Regulation (“EU BMR”) and UK Benchmarks Regulation (“UK BMR”) impose distinct requirements. Following Brexit, the EU BMR provided a transition period until December 31, 2025, allowing EU-regulated entities to use benchmarks from non-EU administrators. Beginning January 1, 2026, most of our indexes fall outside EU supervision and remain under UK oversight. For indexes that remain subject to EU regulation, ESMA’s supervision may result in additional compliance obligations for our business. The UK BMR transition period for non-UK administrators continues until December 31, 2030. In December 2025, the UK HM Treasury launched a consultation on proposals to amend the scope of the UK BMR. Depending on the outcome, these changes could affect the regulatory status of certain of our benchmarks, alter our compliance obligations or impact our ability to offer certain products to UK-regulated clients. Diverging interpretations or future amendments to these regulations may also increase compliance burdens and operational complexity.</w:t>
      </w:r>
    </w:p>
    <w:p>
      <w:pPr>
        <w:spacing w:after="0" w:line="83" w:lineRule="exact"/>
        <w:rPr>
          <w:rFonts w:ascii="Times New Roman" w:cs="Times New Roman" w:eastAsia="Times New Roman" w:hAnsi="Times New Roman"/>
          <w:sz w:val="17"/>
          <w:szCs w:val="17"/>
          <w:color w:val="auto"/>
        </w:rPr>
      </w:pPr>
    </w:p>
    <w:p>
      <w:pPr>
        <w:ind w:left="6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Additionally, guidance issued by the European Securities and Markets Authority (“ESMA”) may affect benchmark administrators and their clients. For instance, the ESMA Guidelines on ETFs and other Undertakings for Collective Investment in Transferable Securities (“UCITS”) Issues impose disclosure requirements for indexes used in UCITS funds, such as making index constituents and their respective weightings easily accessible free of charge to investors on a delayed and periodic basis. These requirements could increase the compliance obligations for benchmark administrators, affect the eligibility of certain indexes for use in UCITS funds and influence the demand for specific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17"/>
          <w:szCs w:val="17"/>
          <w:color w:val="auto"/>
        </w:rPr>
        <w:t>Globally, the benchmark industry faces heightened scrutiny and potential new regulations. The International Organization of Securities Commissions (IOSCO) has recommended that benchmark administrators voluntarily publicly disclose whether they comply with its principles for financial benchmarks. Other jurisdictions have also indicated they may consider potential benchmark regulation or conduct reviews of the benchmark industry. For instance, regulation is being considered or developed in South Africa. Heightened scrutiny and regulatory attention on benchmarks and index providers from regulators, policymakers, and the media in the EU, U.S., and other regions could result in negative publicity or comments about the role or influence of our company or the index industry, which could harm our reputation and credibility. For example, in the past we have made changes or announced proposed changes to our index methodologies that have triggered media and policymaker attention.</w:t>
      </w:r>
    </w:p>
    <w:p>
      <w:pPr>
        <w:spacing w:after="0" w:line="63"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Further, laws, rules or regulations affecting users of our indexes, such as sanctions that prohibit users of our indexes from investing or transacting in markets or securities included in our indexes, can have an indirect impact on our indexes, including their construction and composition.</w:t>
      </w:r>
    </w:p>
    <w:p>
      <w:pPr>
        <w:spacing w:after="0" w:line="30" w:lineRule="exact"/>
        <w:rPr>
          <w:sz w:val="20"/>
          <w:szCs w:val="20"/>
          <w:color w:val="auto"/>
        </w:rPr>
      </w:pPr>
    </w:p>
    <w:p>
      <w:pPr>
        <w:ind w:left="660" w:right="4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ESG Ratings</w:t>
      </w:r>
      <w:r>
        <w:rPr>
          <w:rFonts w:ascii="Times New Roman" w:cs="Times New Roman" w:eastAsia="Times New Roman" w:hAnsi="Times New Roman"/>
          <w:sz w:val="18"/>
          <w:szCs w:val="18"/>
          <w:color w:val="auto"/>
        </w:rPr>
        <w:t>. The EU has adopted a new regulation requiring market participants providing ESG ratings in the EU to become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supervised by ESMA. The regulation becomes effective in July 2026 and imposes requirements relating to governance, conflicts of interest, transparency of methodologies and ongoing supervisory obligations. Certain of our Sustainability and Climate products are expected to be in scope. We may incur significant costs to achieve and maintain authorization, modify our operations or product offerings and comply with ongoing supervisory requirements.</w:t>
      </w:r>
    </w:p>
    <w:p>
      <w:pPr>
        <w:spacing w:after="0" w:line="77"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has adopted separate legislation to regulate ESG ratings providers beginning in June 2028, the requirements of which are still being developed. A number of other jurisdictions, including Japan, Hong Kong SAR, Taiwan, India and Singapore, have completed, or are in the process of developing, legislation or codes of conduct for ESG rating or data providers. Regulation of ESG ratings and data providers could impose significant compliance burdens and costs on our Sustainability and Climate products and services. Furthermore, the potential for inconsistent or conflicting requirements across jurisdictions may create implementation challenges, increase compliance risks and result in inadvertent noncompliance, which could materially impact our operations and reputation.</w:t>
      </w:r>
    </w:p>
    <w:p>
      <w:pPr>
        <w:spacing w:after="0" w:line="7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Privacy and AI. </w:t>
      </w:r>
      <w:r>
        <w:rPr>
          <w:rFonts w:ascii="Times New Roman" w:cs="Times New Roman" w:eastAsia="Times New Roman" w:hAnsi="Times New Roman"/>
          <w:sz w:val="18"/>
          <w:szCs w:val="18"/>
          <w:color w:val="auto"/>
        </w:rPr>
        <w:t>Laws, rules, regulations and standards governing privacy, data collection and AI impact our ability to collect, manage,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and otherwise process personal data and other information. We operate across jurisdictions with differing and often conflicting data privacy laws, including extraterritorial requirements, which continue to expand in scope and complexity. Compliance with these laws requires significant resources to ensure data security and regulatory adherence. Furthermore, we frequently have privacy compliance requirements as a result of our contractual obligations with counterparties. Emerging AI regulations, such as the European Union’s Artificial Intelligence Act, impose requirements for transparency, fairness and oversight of AI systems. These regulations may directly affect our operations, including the use of AI in hiring, employee performance monitoring and client-facing applications, by requiring audits, documentation and human oversight. Compliance with evolving AI regulatory frameworks may increase costs, impact our product development, restrict the use of certain applications of AI and expose us to liability for violations of applicable laws, regulations or contracts.</w:t>
      </w:r>
    </w:p>
    <w:p>
      <w:pPr>
        <w:spacing w:after="0" w:line="80"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Advisory Services. </w:t>
      </w:r>
      <w:r>
        <w:rPr>
          <w:rFonts w:ascii="Times New Roman" w:cs="Times New Roman" w:eastAsia="Times New Roman" w:hAnsi="Times New Roman"/>
          <w:sz w:val="18"/>
          <w:szCs w:val="18"/>
          <w:color w:val="auto"/>
        </w:rPr>
        <w:t>Regulators have examined the role of various types of third-party information providers, including index and model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proxy advisors, in the asset-management ecosystem. Regulatory or legislative developments that expand or alter the definition of investment advice, proxy advice, or that subject index providers, model providers or ESG ratings providers to fiduciary or adviser-style obligations, could affect our businesses. For instance, in the United States, the SEC has previously sought public comment on the role of index providers and whether they are acting as investment advisers under the Investment Advisers Act. If any of our businesses were deemed to be providing investment advice or otherwise to have fiduciary or adviser-style obligations, this could significantly increase the costs and complexity of our business and potentially conflict with obligations under other regulations.</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ability to comply with applicable laws and regulations depends on maintaining an effective compliance program, which can be time-consuming and costly, as well as on our ability to attract and retain qualified compliance personnel. In some instances, in connection with the provision of data and services, we have incurred additional costs to implement processes and systems at the request of our clients to ensure their use of our data complies with applicable regulations. U.S. Executive Orders and related agency directives may also indirectly influence client mandates and market accessibility, require rapid adjustments and result in additional compliance obligations for our business. For example, a U.S. Executive Order prohibiting many of our clients from transacting in the securities of certain Chinese companies resulted in our decision to remove these companies from relevant indexes to support our clients’ needs for indexes to be replicable in investment portfolios. To the extent that our clients are subject to increased requirements or regulation, we may be indirectly impacted, leading to lower revenues or higher costs that could reduce the profitability of certain products or services.</w:t>
      </w:r>
    </w:p>
    <w:p>
      <w:pPr>
        <w:spacing w:after="0" w:line="18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Because the financial services industry is highly regulated, we could become subject to other existing or new regulatory frameworks in the jurisdictions where we operate, which could increase our costs and risks, require changes to our products and services, or otherwise impact our business. Additionally, there has been increased attention on and scrutiny of index providers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ESG ratings and data providers by politicians, regulators, policymakers and the media. This heightened attention may result in new or expanded regulations, investigations or other regulatory actions, which could increase compliance costs, impose operational constraints, or otherwise materially adversely affect our business, financial condition, or results of operations.</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protections for our intellectual property rights and other rights may not be sufficient or available to protect our competitive advantages. Third parties may infringe on our intellectual property rights or we may infringe upon their intellectual property rights, which, in each case, could have a material adverse effect on our business, financial condition or results of operations.</w:t>
      </w:r>
    </w:p>
    <w:p>
      <w:pPr>
        <w:spacing w:after="0" w:line="6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Failure to protect our intellectual property adequately could harm us, our brand or reputation and affect our ability to compete effectively. We rely primarily on a combination of trade secrets, patents, copyrights, trademarks, laws regarding unfair competition and the misappropriation of intellectual property, technical measures and contractual protections, to obtain, maintain, protect, defend and enforce our intellectual property rights, including our proprietary rights in our content, products and services. However, these measures may not prevent unauthorized use, misappropriation or theft of our intellectual property, nor ensure that third parties from whom we license or acquire technology have adequately protected their rights.</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Intellectual property laws in various jurisdictions are subject to change or varying interpretations at any time and could further restrict our ability to protect our intellectual property rights. The enforceability of intellectual property rights and obligations under our agreements, as well as the availability of remedies in the event of a breach, may vary in the different jurisdictions in which our clients and employees are located. In addition, intellectual property ownership rights, including copyright, of generative and other AI output, are uncertain and have not been fully interpreted by courts or regulations.</w:t>
      </w:r>
    </w:p>
    <w:p>
      <w:pPr>
        <w:spacing w:after="0" w:line="164"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7"/>
          <w:szCs w:val="17"/>
          <w:color w:val="auto"/>
        </w:rPr>
        <w:t>There is no guarantee that any intellectual property rights that we may obtain will protect our competitive advantages, nor is there any assurance that our competitors will not infringe upon our rights, including through the use of AI models. Furthermore, our competitors may independently develop and protect products and services that are the same or similar to ours. We may be unable to detect the unauthorized use or disclosure of our intellectual property or confidential information, particularly where such use occurs through AI technologies, or to take the necessary steps to enforce our rights. In addition, our products and services, or third-party products that we provide to our clients, could infringe upon the intellectual property rights of others.</w:t>
      </w:r>
    </w:p>
    <w:p>
      <w:pPr>
        <w:spacing w:after="0" w:line="1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Pursuing intellectual property claims to preserve our intellectual property rights or responding to intellectual property claims, regardless of merit, can be costly, time-consuming, and uncertain. From time to time, we have received, and may continue to receive, third-party claims alleging infringement of their intellectual property rights, which would likely be costly to defend and could require us to pay damages, limit our future use of certain technologies, harm our brand and reputation, increase our costs and prevent us from offering some services or products. We may need to settle such claims on unfavorable terms, pay damages, stop providing or using the affected products or services, undertake workarounds or substantial reengineering of our products or services or enter into royalty or licensing agreements, which may include terms that are not commercially acceptable to us. Our client contracts and distribution agreements frequently require us to indemnify our clients, distributors and other users of our products and services from claims of intellectual property infringement or misappropriation. If any of these risks materialize, they could have a material adverse effect on our business, financial condition or results of operations.</w:t>
      </w:r>
    </w:p>
    <w:p>
      <w:pPr>
        <w:spacing w:after="0" w:line="18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Courts in different jurisdictions have held whether issuers of indexed investment products must obtain a license from the index owner in various scenarios. In some instances, the results have been unfavorable to the index owner. While we believe that we have adequate legal authority and means to protect our index data and intellectual property, such unfavorable rulings or the inability to distinguish unfavorable judicial precedent that a license is not required to issue investment products based on our index data or our related intellectual property rights could have a material adverse effect on our business, financial condition or results of operations. This also might lead to changes in current industry practices such that we would no longer make our index level data publicly available, such as via our website or news media, on a timely basis.</w:t>
      </w:r>
    </w:p>
    <w:p>
      <w:pPr>
        <w:spacing w:after="0" w:line="187"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In addition, changes to regulatory requirements, including those governing intellectual property rights, could impact our ability to protect or enforce rights relating to our proprietary content and products, necessitate enhancements to meet new standards or affect client demand for certain products. Any of these risks could have a material adverse effect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expenses, assets and liabilities are subject to foreign currency exchange rate fluctuation risk, which could have a material adverse effect on our business, financial condition or results of operations.</w:t>
      </w:r>
    </w:p>
    <w:p>
      <w:pPr>
        <w:spacing w:after="0" w:line="5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foreign currency exchange rate fluctuation risk. Exchange rate movements can impact the U.S. dollar reported value of our revenues, expenses, assets and liabilities denominated in non-U.S. dollar currencies or where the currency of such items is different than the functional currency of the entity where these items were recorded. Additionally, the value of assets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indexed investment products can fluctuate significantly over short periods of time and such volatility may be further impacted by fluctuations in foreign currency exchange rates.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manage certain portions of our foreign currency exchange rate risk, in part, through the use of derivative financial instruments comprised principally of forward contracts on foreign currency which are not designated as hedging instruments for accounting purposes. Any derivative financial instruments that we are currently party to or may enter into in the future may not be successful, resulting in an adverse impact on our results of operations.</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activities recorded in local currencies increase or decrease in the future, our exposure to fluctuations in foreign currency exchange rates may correspondingly increase or decrease and could have a material adverse effect on our business, financial condition or results of operations.</w:t>
      </w:r>
    </w:p>
    <w:p>
      <w:pPr>
        <w:spacing w:after="0" w:line="280"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adversely affect our cash flows and financial flexibility, which could have a material adverse effect on our business, financial condition or results of operations.</w:t>
      </w:r>
    </w:p>
    <w:p>
      <w:pPr>
        <w:spacing w:after="0" w:line="51"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For an overview of our current outstanding indebtedness, see “Management’s Discussion and Analysis of Financial Condition and Results of Operations.” Although we believe that our cash flows will be sufficient to service our outstanding indebtedness, we cannot provide assurance that we will generate and maintain cash flows sufficient to permit us to pay the principal, premium, if any, and interest on our indebtedness. Our ability to make payments on indebtedness and to fund planned capital expenditures depends on our ability to generate and access cash in the future, which, in turn, is subject to general economic, financial, competitive, regulatory and other factors, many of which are beyond our control. If we are unable to pay our obligations as they mature, we may need to refinance all or a portion of our indebtedness on or before maturity. If we are unable to secure additional financing on terms favorable or acceptable to us or at all, we could also be forced to sell assets to make up for any shortfall in our payment obligations. If we cannot refinance or otherwise pay our obligations as they mature and fund our liquidity needs, our business, financial condition, results of operations, cash flows, liquidity, ability to obtain financing and ability to compete in our industry could be materially adversely affected.</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need or want to refinance our existing debt or incur additional debt from time to time to finance working capital, capital expenditures, investments or acquisitions, or for other purposes. If we do so, we may be subject to less favorable terms. The risks related to our level of indebtedness could also intensify, including by making it difficult for us to optimally capitalize and manage the cash flow for our business or placing us at a competitive disadvantage compared to our competitors that have less indebtedness.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terms of our debt agreements include restrictive covenants that limit, among other things, our and our existing and future subsidiaries’ financial flexibility. If we are unable to comply with the restrictions and covenants in our debt agreements, there could be a default that, in some cases, if continuing, could result in the accelerated payment of our debt obligations or the termination of borrowing commitments on the part of the lenders under our revolving credit facility (the “Revolving Credit Facility”) under the Third Amended and Restated Credit Agreement (the “Credit Agreement”), dated as of August 20, 2025, by and among the Company, JPMorgan Chase Bank, N.A., as administrative agent, Bank of America, N.A., in its capacity as syndication agent and the lenders from time to time party thereto, as amended, supplemented, modified or amended and restated from time to time. As of December 31, 2025, there was $300.0 million outstanding under the Revolving Credit Facility.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borrowings under the Revolving Credit Facility under our Credit Agreement are primarily based on the Secured Overnight Financing Rate (“SOFR”), and certain factors may impact SOFR, including factors causing SOFR to cease to exist, new methods of calculating SOFR to be established, or the use of alternative reference rates. These consequences are not entirely predictable and could have an adverse impact on our financing costs and our results of operations. Because we have incurred variable rate indebtedness, and we may incur additional variable rate indebtedness, we are subject to interest rate risk generally, which could cause our debt service obligations to increase significantly. Reference rates used to determine the applicable interest rates for our variable rate debt have risen significantly over the past few years. If interest rates increase, the debt service obligations on such indebtedness will increase even if the amount borrowed remains the same, and our net income and cash flows, including cash available for servicing our indebtedness, will correspondingly decrease.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credit ratings could materially adversely affect our financial condition.</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credit ratings are not recommendations to buy, sell or hold any of our common stock or outstanding debt. Any rating assigned to our debt is subject to ongoing evaluation by the credit rating agencies and could be lowered or withdrawn entirely at any time by any of the agencies if, in the agency’s judgment, future circumstances relating to the basis of the rating so warrant. Such future circumstances include, but are not limited to, adverse changes to our results of operations, financial condition or cash flows, or revisions to our corporate strategy pertaining to capitalization or leverage. Any such downgrade or withdrawal could adversely affect the amount of capital we can access, as well as the terms of any financing we obtain. In addition, the credit agreement governing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revolving credit facility includes a springing minimum interest coverage ratio, tested only during any period in which we do not maintain specified investment grade credit ratings.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adverse change in our credit rating could have a negative effect on our liquidity and future growth through transactions in which we rely on the ability to receive debt capital at an advantageous cost and on favorable terms. Accordingly, actual or anticipated changes or downgrades to or withdrawal of our credit ratings, including any announcement that our ratings are under review or have been assigned a negative outlook, could result in damage to our brand and reputation and have a material adverse effect on our business, financial condition, results of operations and cash flows and on the market value of our common stock and outstanding debt.</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exposure to tax liabilities in various jurisdictions. Future changes in tax law could materially affect our tax obligations and effective tax rate, which could have a material adverse effect on our business, financial condition or results of operations.</w:t>
      </w:r>
    </w:p>
    <w:p>
      <w:pPr>
        <w:spacing w:after="0" w:line="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income taxes, and non-income taxes, across various jurisdictions. Significant judgment is required in determining our global provision for income taxes and other tax liabilities. Our income tax obligations are based in part on our corporate structure and intercompany arrangements. In the ordinary course of our global business, there are many intercompany transactions and calculations where the ultimate tax determination is uncertain, and tax authorities of the jurisdictions in which we operate may challenge our methodologies.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Changes in tax laws could negatively impact our overall effective tax rate. Over the last several years, many jurisdictions and intergovernmental organizations have been discussing or are in the process of implementing proposals that may change aspects of the existing framework under which our tax obligations are determined in many of the jurisdictions in which we operate. Changes in tax laws, including the implementation of a 15% global minimum tax under OECD BEPS Pillar 2, uncertainty regarding its application to U.S.-based companies, potential state-level divergence from federal tax legislation in the U.S. and abroad and potential corporate tax rate increases in the U.S. and abroad could materially affect our tax liabilities, effective tax rate and compliance costs. For instance, ongoing global adoption of minimum tax rules may increase our tax burden and operational complexity. In addition, heightened global tax transparency initiatives, such as country-by-country reporting and new FASB disclosure requirements, could increase tax controversy activity and investor scrutiny, further increasing our compliance costs and risks. Additionally, digital services taxes adopted or proposed in several countries could, if applicable to us, increase our tax obligations or compliance costs.</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regularly under audit by tax authorities. From time to time, we also face proceedings, investigations or inquiries related to tax matters. The ultimate outcomes of these matters are uncertain and may involve litigation, administrative appeals or negotiated settlements. We may be subject to additional tax liabilities, as the jurisdictions in which we do business globally are increasingly focused on digital taxes and the treatment of remote workforces. Enhanced tax-authority resources and global transparency measures have increased the frequency and scope of tax audits and disputes involving multinationals, which could result in additional tax liabilities, interest and penalties, as well as additional compliance burdens. Although we believe that our tax provisions are reasonable, there can be no assurance that the final determination of tax audits or tax disputes will not be different from what is reflected in our historical income tax provisions and accruals. To the extent we are required to pay amounts in excess of our reserves, such differences could have a material adverse effect on our Consolidated Statement of Income for a particular future period. In addition, an unfavorable resolution of one or more significant tax disputes could require use of our cash and result in an increase in our effective tax rate in the period in which such resolution occurs and may have a material impact on our financial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117"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performance might not be sufficient for us to meet the full-year financial guidance or long-term targets that we provide publicly. Failure to meet our financial guidance or long-term targets could have a material adverse effect on our business, financial condition or results of operations.</w:t>
      </w:r>
    </w:p>
    <w:p>
      <w:pPr>
        <w:spacing w:after="0" w:line="2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provide certain full-year financial guidance and long-term targets to the public based upon our assumptions regarding our expected financial performance, which depend on numerous factors, including market conditions, client demand and the successful execution of our business strategy, that may not always prove to be accurate and may vary from actual results. In addition, uncertainty regarding macroeconomic factors such as inflation, interest rates, tariffs and trade policy, currency fluctuations or geopolitical instability could impact our ability to forecast our expected financial performance. Our ability to forecast financial performance may also be impacted by delays in product launches, slower-than-expected client adoption of our products and services or greater-than-anticipated cancellations.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Revising financial guidance or long-term targets, or failing to meet the financial guidance or achieve the long-term targets that we provide, may negatively affect investor confidence, leading to volatility in the market value of our common stock and other securities. Additionally, repeated revisions or significant deviations from public guidance and long-term targets may harm our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reputation and credibility with investors, analysts and other stakeholders, potentially impacting our access to capital markets or increasing our cost of capital.</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and profitability may not continue at the same rate as we have experienced in the past for several reasons, including if our operating costs are higher than expected, which could have a material adverse effect on our business, financial condition or results of operations.</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significant revenue and earnings growth since we began operations. There can be no assurance that we will be able to maintain the levels of growth and profitability that we have experienced in the past. Factors that could affect our financial performance include higher than expected operating costs, including increased compensation costs, regulatory compliance costs, occupancy costs, selling and marketing costs, investments in geographic expansion, market data costs, software license costs, communication costs, travel costs, application development costs, professional fees, costs related to information technology infrastructure, cloud usage and other IT costs. If we cannot adjust to these costs, our operating results may fluctuate significantly or our anticipated profitability may be reduced.</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Additionally, macroeconomic conditions such as inflation, interest rates, tariffs and currency fluctuations may increase our operating costs and create uncertainty for our clients, placing downward pressure on their budgets and reducing demand for our products and services. Prolonged sales cycles or shifts in client priorities, including consolidation, restructuring or changes in investment strategies, may lead to lower client retention. Evolving market dynamics, including increased competition or slower adoption of new offerings, may further challenge our ability to meet growth expectations.</w:t>
      </w:r>
    </w:p>
    <w:p>
      <w:pPr>
        <w:spacing w:after="0" w:line="180"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Additionally, there can be no assurance that our investments in our product development, selling and marketing efforts, or capital return or allocation strategies will achieve anticipated returns or result in growth or profit margins comparable to those we have experienced in the past. If we fail to effectively manage these challenges, our operating results could fluctuate significantly, and our financial condition may be materially adversely affected.</w:t>
      </w:r>
    </w:p>
    <w:p>
      <w:pPr>
        <w:spacing w:after="0" w:line="26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as a result of failure to comply with laws and regulations relating to our global presence and operations, including anti-corruption laws, and any determination that we violated these laws could have a material adverse effect on our business.</w:t>
      </w:r>
    </w:p>
    <w:p>
      <w:pPr>
        <w:spacing w:after="0" w:line="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complex laws and regulations that are applicable to our global presence and operations, such as laws and regulations governing economic and trade sanctions, embargoes, anti-boycott restrictions and anti-corruption and other similar laws and regulations as well as export controls and anti-money-laundering and counter-terrorist-financing laws. Any determination that we have violated these laws or regulations could have a material adverse effect on our business, financial condition or results of operations. We conduct business in countries and regions that in some cases are generally recognized as potentially corrupt business environments. Our activities in these countries create the risk of unauthorized payments or offers of payments by one of our employees or agents that could be in violation of various anti-corruption laws including the Foreign Corrupt Practices Act of 1977, as amended (the “FCPA”) and the UK Bribery Act 2010.</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existing safeguards and policies and any future improvements may prove to be less than fully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fines, sanctions, damages or other penalties or costs. Violations of any of these laws, including the FCPA or other anti-corruption laws, may result in severe criminal or civil sanctions and penalties, damage our brand and reputation and subject us to other liabilities which could have a material adverse effect on our business, financial condition or results of operations.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execute and realize expected returns or synergies from acquisitions or strategic partnerships or investments, our financial results may be materially adversely affected.</w:t>
      </w:r>
    </w:p>
    <w:p>
      <w:pPr>
        <w:spacing w:after="0" w:line="5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 element of our growth strategy is growth through acquisitions, strategic partnerships and investments. There can be no assurance that we will be able to identify and execute transactions with suitable strategic partners, investment opportunities or attractive acquisition candidates at acceptable terms. In addition, strategic transactions may impact our cash position, and we may require additional debt or equity financing for future acquisitions and doing so may be made more difficult by the terms of our existing indebtedness.</w:t>
      </w:r>
    </w:p>
    <w:p>
      <w:pPr>
        <w:spacing w:after="0" w:line="18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Our ability to achieve the expected returns or synergies from our acquisitions, strategic partnerships and investments depends, in part, on our ability to successfully integrate offerings, data, technology, functions and personnel from acquired businesses. We cannot guarantee that we will be successful in integrating acquired businesses, that our acquired businesses will perform at the levels we anticipate or that our strategic partnerships and investments will advance our long-term growth strategy. Our past and future acquisitions, strategic partnerships and investments may subject us to unanticipated risks or liabilities, including the potential to</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disrupt our operations, or increase our reliance on third parties, which may result in future disruptions if those partnerships are unsuccessful or discontinued or the content or level of support provided by strategic partners is diminished.</w:t>
      </w:r>
    </w:p>
    <w:p>
      <w:pPr>
        <w:spacing w:after="0" w:line="16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If we undertake multiple acquisitions or partnerships within a short period, the associated risks, such as integration challenges or operational disruptions, may increase. Failure to complete or execute these transactions successfully, or to identify growth opportunities, could harm our brand, reputation, and long-term growth, and materially impact our business, financial condition, or results of operations.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goodwill and other intangible assets resulting from our acquisitions could be impaired as a result of future business conditions, requiring us to record substantial write-downs that would reduce our operating income and materially adversely affect our financial condition.</w:t>
      </w:r>
    </w:p>
    <w:p>
      <w:pPr>
        <w:spacing w:after="0" w:line="5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evaluate the recoverability of recorded goodwill amounts annually or when evidence of potential impairment exists. Intangible assets are reviewed for impairment whenever events or changes in circumstances indicate that the carrying value of the asset may not be recoverable. These impairment tests are based on several factors requiring management’s judgment.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past, we have completed a number of acquisitions and investments. A prolonged or severe period of weakness in the business environment, financial markets, the performance of one or more of our recently acquired companies or reporting units or our common stock price, or a significant deviation from management’s assumptions, could result in impairments of goodwill or intangible assets. Such impairments could materially adversely affect our results of operations and financial position. In addition, if we are not successful in achieving anticipated revenue opportunities or operating efficiencies associated with acquisitions, our goodwill and intangible assets may become impaired.</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develop or retain the necessary talent, including through our compensation programs, our business, financial condition or results of operations could be materially adversely affected.</w:t>
      </w:r>
    </w:p>
    <w:p>
      <w:pPr>
        <w:spacing w:after="0" w:line="5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on the knowledge, skills, experience and abilities of our employees, particularly our executives and other key personnel. Although we do not believe that we are overly dependent upon any individual employee, the loss of any of our key employees and our inability to replace them with suitable candidates quickly or at all, as well as any negative market perception resulting from such loss, could have a material adverse effect on our business, financial condition or results of operations. In addition, leadership transitions, including planned retirements, appointments and reorganizations of our senior leadership team, involve inherent risk and can be disruptive. Such transition periods may result in the loss of personnel with deep institutional or technical knowledge, may temporarily diminish management capacity and may adversely affect stakeholder confidence.</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compete for talent across industries, including technology, engineering and financial services companies, and there is a limited pool of employees who have the skills and training needed to do our work, including with expertise in emerging technologies, such as AI. Competition for these employees is intense, and turnover may impact our objectives and place strain on our human resources teams. The emergence and adoption of AI technologies have also required and will continue to require upskilling and additional training of our employees, making retention and training increasingly important. We may not be able to attract highly qualified employees or to develop and retain similar highly qualified employees in the future.</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Rising compensation expenses could also adversely affect our ability to attract and retain high-quality employees. Competitors may offer more favorable working conditions or more attractive compensation packages. If our compensation programs do not adequately engage our key employees or are not competitive, or if we fail to attract, engage and retain the necessary qualified employees, the quality of our products and services as well as our ability to support and retain our clients and achieve business objectives may suffer.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provide any guarantee that we will continue to repurchase shares of our common stock pursuant to our share repurchase program.</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timing, price and volume of repurchases of shares of our common stock are based on market conditions, relevant securities laws and other factors and may be made through open market repurchases or privately negotiated transactions, including, without limitation, accelerated share repurchase transactions, trading plans or derivative transactions, or otherwise. Additionally, the Inflation Reduction Act of 2022 introduced an excise tax on share repurchases, which has increased our cost of share repurchases.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Share repurchases are a component of our capital return strategy, which we fund with free operating cash flow and borrowings. However, we are not required to make any share repurchases under our share repurchase program. The share repurchase program does not obligate us to repurchase any set dollar amount or number of shares and may be modified, suspended, or terminated at any time without prior notice. The reduction or elimination of our share repurchase program could adversely affect the market price of our common stock. Additionally, the existence of a share repurchase program could cause the market price of our common stock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 higher than it would be in the absence of such a program and could potentially reduce the market liquidity for our shares. As a result, any repurchase program may not ultimately result in enhanced value to our shareholders and may not prove to be the best use of our cash resources.</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required to be disclosed.</w:t>
      </w:r>
    </w:p>
    <w:p>
      <w:pPr>
        <w:spacing w:after="0" w:line="3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recognize the importance of identifying, assessing and managing material cybersecurity risks, including, among other things, damage to our operations; intellectual property theft; fraud; extortion; violation of data privacy or cybersecurity laws; legal and regulatory actions; and reputational damage. We have an enterprise-wide information security program designed to secure our technology infrastructure, networks, data, products and services,</w:t>
      </w:r>
    </w:p>
    <w:p>
      <w:pPr>
        <w:spacing w:after="0" w:line="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and we have implemented several processes, technologies and controls to aid in our efforts to identify, assess and manage related risks. Our Chief Information Security Officer (“CISO”) manages this program, in collaboration with our business and corporate teams.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Cybersecurity risks are integrated into our enterprise risk management (“ERM”) program, which evaluates cybersecurity risks alongside other company risks as part of a quarterly and ongoing process designed to identify, assess and manage risk exposures over the short-, intermediate- and long-term. In addition, our management-level Information and Technology Risk Oversight Committee (“ITROC”), led by our CISO, and including senior leaders such as our COO, CFO and General Counsel, provides oversight relating to cybersecurity and technology-related risks that may present significant impacts to our operations, clients, reputation and financial position, and the considerations of the ITROC are fully incorporated into our overall ERM framework. Our CISO also provides updates to our Disclosure Committee on material cybersecurity incidents.</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also have cybersecurity-specific policies, standards and procedures, and our cybersecurity program aligns with industry standards, including the U.S. National Institute of Standards and Technology (“NIST”) cybersecurity framework and International Organization for Standardization (“ISO”) information security standard. Our information security management system has achieved ISO 27001:2022 certification. To help ensure the resilience of critical data and systems, maintain regulatory compliance, manage material cybersecurity risks, and protect against, detect and respond to cybersecurity incidents, we regularly undertake the following activities:</w:t>
      </w:r>
    </w:p>
    <w:p>
      <w:pPr>
        <w:spacing w:after="0" w:line="10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24x7x365 security operations monitoring of our systems, networks and services to detect and act on weaknesses and potential intrusions;</w:t>
      </w:r>
    </w:p>
    <w:p>
      <w:pPr>
        <w:spacing w:after="0" w:line="111" w:lineRule="exact"/>
        <w:rPr>
          <w:rFonts w:ascii="Arial" w:cs="Arial" w:eastAsia="Arial" w:hAnsi="Arial"/>
          <w:sz w:val="21"/>
          <w:szCs w:val="21"/>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Regular internal and external security audits and penetration tests;</w:t>
      </w:r>
    </w:p>
    <w:p>
      <w:pPr>
        <w:spacing w:after="0" w:line="125"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Assessment of new products and services to identify potential security vulnerabilities before release;</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Regular network and endpoint monitoring;</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Periodic red- and purple-team assessments;</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Business resiliency planning with IT disaster recovery and business continuity testing;</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Role-based access controls to identify, authenticate and authorize individuals to access systems based on their job responsibilities;</w:t>
      </w:r>
    </w:p>
    <w:p>
      <w:pPr>
        <w:spacing w:after="0" w:line="125"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Protection, including encryption, for the secure communication of sensitive data;</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Monitoring of emerging data protection laws and implementation of changes to our processes designed to comply therewith;</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Regular review of policies and standards related to cybersecurity;</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At least annual security awareness training and testing of our employees;</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Regular review of critical third-party security practices;</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Tabletop exercises to simulate a response to a cybersecurity incident and to use the findings to improve our processes and technologies;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1300" w:right="420" w:hanging="644"/>
        <w:spacing w:after="0" w:line="234" w:lineRule="auto"/>
        <w:tabs>
          <w:tab w:leader="none" w:pos="129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A cross-functional approach to addressing cybersecurity risk, with participation from Technology, Operations, Risk, Finance, Legal, Compliance, Privacy and Internal Audit functions; and</w:t>
      </w:r>
    </w:p>
    <w:p>
      <w:pPr>
        <w:spacing w:after="0" w:line="91" w:lineRule="exact"/>
        <w:rPr>
          <w:rFonts w:ascii="Arial" w:cs="Arial" w:eastAsia="Arial" w:hAnsi="Arial"/>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insurance to provide protection against potential losses arising from a cybersecurity incident.</w:t>
      </w:r>
    </w:p>
    <w:p>
      <w:pPr>
        <w:spacing w:after="0" w:line="225" w:lineRule="exact"/>
        <w:rPr>
          <w:sz w:val="20"/>
          <w:szCs w:val="20"/>
          <w:color w:val="auto"/>
        </w:rPr>
      </w:pPr>
    </w:p>
    <w:p>
      <w:pPr>
        <w:ind w:right="60" w:firstLine="648"/>
        <w:spacing w:after="0" w:line="220" w:lineRule="exact"/>
        <w:rPr>
          <w:sz w:val="20"/>
          <w:szCs w:val="20"/>
          <w:color w:val="auto"/>
        </w:rPr>
      </w:pPr>
      <w:r>
        <w:rPr>
          <w:rFonts w:ascii="Times New Roman" w:cs="Times New Roman" w:eastAsia="Times New Roman" w:hAnsi="Times New Roman"/>
          <w:sz w:val="18"/>
          <w:szCs w:val="18"/>
          <w:color w:val="auto"/>
        </w:rPr>
        <w:t>Our IT risk program also includes an incident response plan for how we detect, respond to and recover from cybersecurity incidents, including processes designed to triage, assess severity, escalate, contain, investigate and remediate the incident, as well as to comply with potentially applicable legal obligations and mitigate damage to our brand and reputation. We periodically conduct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functional tabletop exercises, and lessons learned are incorporated into our playbooks and controls.</w:t>
      </w:r>
    </w:p>
    <w:p>
      <w:pPr>
        <w:spacing w:after="0" w:line="20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part of the above processes, we regularly engage with assessors, consultants, auditors and other third parties, including by annually having a third-party review our cybersecurity program to help identify areas for continued focus, improvement and compliance.</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processes also address cybersecurity risks associated with our use of third-party service providers, including those in our supply chain or who have access to our client or employee data or our systems. Cybersecurity considerations affect the selection and oversight of our third-party service providers. Although we perform diligence on third parties and monitor cybersecurity risks identified through such diligence, we cannot guarantee that we can prevent or mitigate the risk of any compromise or failure in the information systems, software, networks and other assets owned or controlled by third parties.</w:t>
      </w:r>
    </w:p>
    <w:p>
      <w:pPr>
        <w:spacing w:after="0" w:line="18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In the last three fiscal years and based on information known to date, we have not identified any material cybersecurity incidents and have not identified any material risks from cybersecurity threats that have materially affected or are reasonably likely to materially affect our business strategy, results of operations, or financial condition, and the expenses we have incurred from any cybersecurity incidents over the last three fiscal years were immaterial. Furthermore, we have not been penalized or paid any amount under an information security breach settlement in the last three fiscal years. There can be no guarantee that we will not experience such an incident or incur such expenses in the future. For more information on our cybersecurity risks, see “Technology Risks” included as part of our risk factor disclosures in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(“Board”) and management.</w:t>
      </w:r>
    </w:p>
    <w:p>
      <w:pPr>
        <w:spacing w:after="0" w:line="22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The Audit and Risk Committee (the “Audit Committee”) of our Board is responsible for the oversight of risks from cybersecurity threats. On a quarterly basis, our CISO updates the Audit Committee on the Company’s IT security program, including an overview of risks and trends, results from third-party assessments, progress towards pre-determined risk-mitigation-related goals, our incident response plan, and cybersecurity threat developments, as well as the steps management has taken to respond to these topics. This quarterly update is also made available to the full Board, and the Chair of the Audit Committee informs the Board of any key updates during quarterly reports to the Board. Material cybersecurity risks are also considered during Board and Audit Committee discussions of matters such as enterprise risk management, operational and strategic planning, business continuity planning, mergers and acquisitions, reputation management and other relevant matters. The Board periodically conducts education sessions on cybersecurity trends and risks.</w:t>
      </w:r>
    </w:p>
    <w:p>
      <w:pPr>
        <w:spacing w:after="0" w:line="171"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processes, which are discussed in greater detail above, are led by our CISO, who has over 20 years of work experience relating to cybersecurity, including at major financial institutions and consulting firms, involving the management of information security and the development of cybersecurity strategy, as well as relevant degrees and certifications, including holding a Bachelor of Science degree in Electrical and Computer Engineering. Our CISO oversees a team of approximately 50 professionals charged with the ongoing management of our cybersecurity risk and strategy. These employees monitor the prevention, mitigation, detection, and remediation of cybersecurity incidents, including through the operation of our ITROC, incident response plan and other processes. Our cybersecurity team includes managers that have expertise with cybersecurity, as demonstrated by prior work experience, possession of a cybersecurity certification or degrees or other cybersecurity experience.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our principal offices consisted of the following leased properties:</w:t>
      </w:r>
    </w:p>
    <w:p>
      <w:pPr>
        <w:spacing w:after="0" w:line="259"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2033</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Budapest, Hungary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70,833</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2029</w:t>
            </w: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Mumbai, India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63,143</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31, 2032</w:t>
            </w: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Monterrey, Mexico</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31, 2028</w:t>
            </w:r>
          </w:p>
        </w:tc>
      </w:tr>
      <w:tr>
        <w:trPr>
          <w:trHeight w:val="22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England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25, 2026</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Pune, India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2029</w:t>
            </w: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Manila, Philippines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2027</w:t>
            </w: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Stellenbosch, South Africa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2031</w:t>
            </w:r>
          </w:p>
        </w:tc>
      </w:tr>
      <w:tr>
        <w:trPr>
          <w:trHeight w:val="230"/>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Coimbatore, India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27, 2026</w:t>
            </w: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Sofia, Bulgaria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14, 2027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ind w:left="640" w:hanging="632"/>
        <w:spacing w:after="0" w:line="226" w:lineRule="auto"/>
        <w:tabs>
          <w:tab w:leader="none" w:pos="64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41,759 square feet of this location have been subleased.</w:t>
      </w:r>
    </w:p>
    <w:p>
      <w:pPr>
        <w:spacing w:after="0" w:line="3" w:lineRule="exact"/>
        <w:rPr>
          <w:rFonts w:ascii="Times New Roman" w:cs="Times New Roman" w:eastAsia="Times New Roman" w:hAnsi="Times New Roman"/>
          <w:sz w:val="19"/>
          <w:szCs w:val="19"/>
          <w:color w:val="auto"/>
          <w:vertAlign w:val="superscript"/>
        </w:rPr>
      </w:pPr>
    </w:p>
    <w:p>
      <w:pPr>
        <w:ind w:left="640" w:hanging="632"/>
        <w:spacing w:after="0" w:line="189" w:lineRule="auto"/>
        <w:tabs>
          <w:tab w:leader="none" w:pos="64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17,059 square feet of this location have been subleased.</w:t>
      </w:r>
    </w:p>
    <w:p>
      <w:pPr>
        <w:spacing w:after="0" w:line="2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we had more than 30 leased and occupied locations of which the principal offices are listed above. We believe that our properties are in good operating condition and adequately serve our current business operations. With respect to leased properties scheduled to expire in the near term, we expect to continue to maintain an office presence in those locations through renewals, replacement leases, or other suitable arrangements. We anticipate that suitable additional or alternative space, including those under lease options, will be available at commercially reasonable terms for future expansion.</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Various lawsuits, arbitrations, claims, government inquiries, requests for information, subpoenas, regulatory investigations, examinations, inspections and other legal or regulatory processes have been or may be instituted or asserted against the Company in the ordinary course of business. While the potential losses could be substantial, due to uncertainties surrounding the potential outcomes, management cannot currently reasonably estimate the possible loss or range of loss that may arise from these matters. Consequently, it is possible that MSCI’s business, operating results, financial condition or cash flows in a particular period could be materially affected by these matters. However, based on facts currently available, we believe that the disposition of matters that are currently pending or asserted will not, individually or in the aggregate, have a material effect on MSCI’s business, operating results, financial condition or cash flows.</w:t>
      </w:r>
    </w:p>
    <w:p>
      <w:pPr>
        <w:spacing w:after="0" w:line="2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1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Stock Price and Dividends</w:t>
      </w:r>
    </w:p>
    <w:p>
      <w:pPr>
        <w:spacing w:after="0" w:line="2" w:lineRule="exact"/>
        <w:rPr>
          <w:sz w:val="20"/>
          <w:szCs w:val="20"/>
          <w:color w:val="auto"/>
        </w:rPr>
      </w:pPr>
    </w:p>
    <w:p>
      <w:pPr>
        <w:jc w:val="both"/>
        <w:ind w:right="100" w:firstLine="577"/>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“MSCI.” As of January 30, 2026, there were 292 shareholders of record of our common stock. Because many shares of our common stock are held by brokers and other institutions on behalf of beneficial holders, we are unable to estimate the total number of shareholders represented by these shareholders of record.</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payment amounts of future dividends will be determined by the Board of Directors in light of conditions then existing, including our earnings, financial condition and capital requirements, business conditions, corporate law requirements and other factors. See Part II, Item 7. “Management’s Discussion and Analysis of Financial Condition and Results of Operations—Liquidity and Capital Resources” for additional information on our dividend policy.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approved a stock repurchase program for the purchase of the Company’s common stock in the open market. See Note 11, “Shareholders’ Equity (Deficit),” of the Notes to Consolidated Financial Statements included herein for additional information on our stock repurchase program.</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or on behalf of the Company of its shares of common stock during the quarter ended December 31, 2025.</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2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1"/>
                <w:szCs w:val="11"/>
                <w:color w:val="auto"/>
              </w:rPr>
            </w:pPr>
          </w:p>
        </w:tc>
        <w:tc>
          <w:tcPr>
            <w:tcW w:w="1240" w:type="dxa"/>
            <w:vAlign w:val="bottom"/>
          </w:tcPr>
          <w:p>
            <w:pPr>
              <w:jc w:val="center"/>
              <w:ind w:right="42"/>
              <w:spacing w:after="0" w:line="137"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2"/>
                <w:szCs w:val="12"/>
                <w:color w:val="auto"/>
              </w:rPr>
            </w:pPr>
          </w:p>
        </w:tc>
        <w:tc>
          <w:tcPr>
            <w:tcW w:w="1240" w:type="dxa"/>
            <w:vAlign w:val="bottom"/>
          </w:tcPr>
          <w:p>
            <w:pPr>
              <w:jc w:val="center"/>
              <w:ind w:right="42"/>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1"/>
                <w:szCs w:val="11"/>
                <w:color w:val="auto"/>
              </w:rPr>
            </w:pPr>
          </w:p>
        </w:tc>
        <w:tc>
          <w:tcPr>
            <w:tcW w:w="1240" w:type="dxa"/>
            <w:vAlign w:val="bottom"/>
          </w:tcPr>
          <w:p>
            <w:pPr>
              <w:jc w:val="center"/>
              <w:ind w:right="62"/>
              <w:spacing w:after="0" w:line="135"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20" w:type="dxa"/>
            <w:vAlign w:val="bottom"/>
          </w:tcPr>
          <w:p>
            <w:pPr>
              <w:spacing w:after="0"/>
              <w:rPr>
                <w:sz w:val="12"/>
                <w:szCs w:val="12"/>
                <w:color w:val="auto"/>
              </w:rPr>
            </w:pPr>
          </w:p>
        </w:tc>
        <w:tc>
          <w:tcPr>
            <w:tcW w:w="12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Programs (in</w:t>
            </w:r>
          </w:p>
        </w:tc>
        <w:tc>
          <w:tcPr>
            <w:tcW w:w="0" w:type="dxa"/>
            <w:vAlign w:val="bottom"/>
          </w:tcPr>
          <w:p>
            <w:pPr>
              <w:spacing w:after="0"/>
              <w:rPr>
                <w:sz w:val="1"/>
                <w:szCs w:val="1"/>
                <w:color w:val="auto"/>
              </w:rPr>
            </w:pPr>
          </w:p>
        </w:tc>
      </w:tr>
      <w:tr>
        <w:trPr>
          <w:trHeight w:val="202"/>
        </w:trPr>
        <w:tc>
          <w:tcPr>
            <w:tcW w:w="384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7"/>
                <w:szCs w:val="17"/>
                <w:color w:val="auto"/>
              </w:rPr>
            </w:pPr>
          </w:p>
        </w:tc>
        <w:tc>
          <w:tcPr>
            <w:tcW w:w="120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1240" w:type="dxa"/>
            <w:vAlign w:val="bottom"/>
          </w:tcPr>
          <w:p>
            <w:pPr>
              <w:jc w:val="center"/>
              <w:ind w:right="42"/>
              <w:spacing w:after="0" w:line="202" w:lineRule="exact"/>
              <w:rPr>
                <w:sz w:val="20"/>
                <w:szCs w:val="20"/>
                <w:color w:val="auto"/>
              </w:rPr>
            </w:pPr>
            <w:r>
              <w:rPr>
                <w:rFonts w:ascii="Times New Roman" w:cs="Times New Roman" w:eastAsia="Times New Roman" w:hAnsi="Times New Roman"/>
                <w:sz w:val="14"/>
                <w:szCs w:val="14"/>
                <w:b w:val="1"/>
                <w:bCs w:val="1"/>
                <w:color w:val="auto"/>
                <w:w w:val="96"/>
              </w:rPr>
              <w:t>millions)</w:t>
            </w:r>
            <w:r>
              <w:rPr>
                <w:rFonts w:ascii="Times New Roman" w:cs="Times New Roman" w:eastAsia="Times New Roman" w:hAnsi="Times New Roman"/>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2025-October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2025-November 30, 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2025-December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1,620,144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1,619,164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 w:lineRule="exact"/>
        <w:rPr>
          <w:sz w:val="20"/>
          <w:szCs w:val="20"/>
          <w:color w:val="auto"/>
        </w:rPr>
      </w:pPr>
    </w:p>
    <w:p>
      <w:pPr>
        <w:ind w:left="660" w:right="20" w:hanging="652"/>
        <w:spacing w:after="0" w:line="237" w:lineRule="auto"/>
        <w:tabs>
          <w:tab w:leader="none" w:pos="647"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when applicable, (i) shares purchased by the Company on the open market under the stock repurchase program; (ii) shares withheld to satisfy tax withholding obligations on behalf of employees that occur upon vesting and delivery of outstanding shares underlying restricted stock units; and (iii)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spacing w:after="0" w:line="1" w:lineRule="exact"/>
        <w:rPr>
          <w:rFonts w:ascii="Times New Roman" w:cs="Times New Roman" w:eastAsia="Times New Roman" w:hAnsi="Times New Roman"/>
          <w:sz w:val="19"/>
          <w:szCs w:val="19"/>
          <w:color w:val="auto"/>
          <w:vertAlign w:val="superscript"/>
        </w:rPr>
      </w:pPr>
    </w:p>
    <w:p>
      <w:pPr>
        <w:ind w:left="640" w:hanging="632"/>
        <w:spacing w:after="0" w:line="192" w:lineRule="auto"/>
        <w:tabs>
          <w:tab w:leader="none" w:pos="6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1% excise tax incurred on share repurchases.</w:t>
      </w:r>
    </w:p>
    <w:p>
      <w:pPr>
        <w:spacing w:after="0" w:line="3" w:lineRule="exact"/>
        <w:rPr>
          <w:rFonts w:ascii="Times New Roman" w:cs="Times New Roman" w:eastAsia="Times New Roman" w:hAnsi="Times New Roman"/>
          <w:sz w:val="19"/>
          <w:szCs w:val="19"/>
          <w:color w:val="auto"/>
          <w:vertAlign w:val="superscript"/>
        </w:rPr>
      </w:pPr>
    </w:p>
    <w:p>
      <w:pPr>
        <w:ind w:left="640" w:hanging="632"/>
        <w:spacing w:after="0" w:line="189" w:lineRule="auto"/>
        <w:tabs>
          <w:tab w:leader="none" w:pos="6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Note 11, “Shareholders’ Equity (Deficit),” of the Notes to the Consolidated Financial Statements included herein for further information regarding our stock repurchase program.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equity securities in the year ended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Sale of 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FIVE-YEAR STOCK PERFORMANCE GRAPH</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shareholders’ return on our common stock, the Standard &amp; Poor’s 500 Stock Index and the MSCI USA Financials Index since December 31, 2020 assuming an investment of $100 at the closing price on December 31, 2020. In calculating total annual shareholders’ return, reinvestment of dividends, if any, is assumed. The indexes are included for comparative purposes only. They do not necessarily reflect management’s opinion that such indexes are an appropriate measure of the relative performance of the common stock. This graph is not “soliciting material,” is not to be deemed filed with the SEC and is not to be incorporated by reference in any of our filings under the Securities Act of 1933, as amended (the “Securities Act”)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131445</wp:posOffset>
            </wp:positionV>
            <wp:extent cx="6000750" cy="3429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Total Investment Value</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9"/>
        </w:trPr>
        <w:tc>
          <w:tcPr>
            <w:tcW w:w="2820" w:type="dxa"/>
            <w:vAlign w:val="bottom"/>
          </w:tcPr>
          <w:p>
            <w:pPr>
              <w:spacing w:after="0"/>
              <w:rPr>
                <w:sz w:val="11"/>
                <w:szCs w:val="11"/>
                <w:color w:val="auto"/>
              </w:rPr>
            </w:pPr>
          </w:p>
        </w:tc>
        <w:tc>
          <w:tcPr>
            <w:tcW w:w="12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2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MSCI Inc.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w:t>
            </w: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MSCI USA Financials Index</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76"/>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4"/>
        </w:trPr>
        <w:tc>
          <w:tcPr>
            <w:tcW w:w="80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Overview</w:t>
            </w:r>
          </w:p>
        </w:tc>
        <w:tc>
          <w:tcPr>
            <w:tcW w:w="960" w:type="dxa"/>
            <w:vAlign w:val="bottom"/>
            <w:gridSpan w:val="2"/>
          </w:tcPr>
          <w:p>
            <w:pPr>
              <w:jc w:val="center"/>
              <w:ind w:left="690"/>
              <w:spacing w:after="0" w:line="194" w:lineRule="exact"/>
              <w:rPr>
                <w:sz w:val="20"/>
                <w:szCs w:val="20"/>
                <w:color w:val="auto"/>
              </w:rPr>
            </w:pPr>
            <w:r>
              <w:rPr>
                <w:rFonts w:ascii="Times New Roman" w:cs="Times New Roman" w:eastAsia="Times New Roman" w:hAnsi="Times New Roman"/>
                <w:sz w:val="18"/>
                <w:szCs w:val="18"/>
                <w:color w:val="0000FF"/>
                <w:w w:val="99"/>
              </w:rPr>
              <w:t>36</w:t>
            </w:r>
          </w:p>
        </w:tc>
        <w:tc>
          <w:tcPr>
            <w:tcW w:w="80" w:type="dxa"/>
            <w:vAlign w:val="bottom"/>
          </w:tcPr>
          <w:p>
            <w:pPr>
              <w:spacing w:after="0"/>
              <w:rPr>
                <w:sz w:val="16"/>
                <w:szCs w:val="16"/>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Current Trends Affecting MSCI</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36</w:t>
            </w:r>
          </w:p>
        </w:tc>
        <w:tc>
          <w:tcPr>
            <w:tcW w:w="8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Key Financial and Operating Metrics and Drivers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37</w:t>
            </w:r>
          </w:p>
        </w:tc>
        <w:tc>
          <w:tcPr>
            <w:tcW w:w="8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Non-GAAP Financial Measures and Operating Metrics, definitions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39</w:t>
            </w:r>
          </w:p>
        </w:tc>
        <w:tc>
          <w:tcPr>
            <w:tcW w:w="80" w:type="dxa"/>
            <w:vAlign w:val="bottom"/>
          </w:tcPr>
          <w:p>
            <w:pPr>
              <w:spacing w:after="0"/>
              <w:rPr>
                <w:sz w:val="18"/>
                <w:szCs w:val="18"/>
                <w:color w:val="auto"/>
              </w:rPr>
            </w:pPr>
          </w:p>
        </w:tc>
      </w:tr>
      <w:tr>
        <w:trPr>
          <w:trHeight w:val="209"/>
        </w:trPr>
        <w:tc>
          <w:tcPr>
            <w:tcW w:w="48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Critical Accounting Estimates</w:t>
            </w:r>
          </w:p>
        </w:tc>
        <w:tc>
          <w:tcPr>
            <w:tcW w:w="3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80" w:type="dxa"/>
            <w:vAlign w:val="bottom"/>
          </w:tcPr>
          <w:p>
            <w:pPr>
              <w:spacing w:after="0"/>
              <w:rPr>
                <w:sz w:val="18"/>
                <w:szCs w:val="18"/>
                <w:color w:val="auto"/>
              </w:rPr>
            </w:pPr>
          </w:p>
        </w:tc>
      </w:tr>
      <w:tr>
        <w:trPr>
          <w:trHeight w:val="209"/>
        </w:trPr>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Results of Operations</w:t>
            </w:r>
          </w:p>
        </w:tc>
        <w:tc>
          <w:tcPr>
            <w:tcW w:w="600" w:type="dxa"/>
            <w:vAlign w:val="bottom"/>
            <w:tcBorders>
              <w:top w:val="single" w:sz="8" w:color="0000FF"/>
            </w:tcBorders>
            <w:gridSpan w:val="2"/>
          </w:tcPr>
          <w:p>
            <w:pPr>
              <w:spacing w:after="0"/>
              <w:rPr>
                <w:sz w:val="18"/>
                <w:szCs w:val="18"/>
                <w:color w:val="auto"/>
              </w:rPr>
            </w:pPr>
          </w:p>
        </w:tc>
        <w:tc>
          <w:tcPr>
            <w:tcW w:w="586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80" w:type="dxa"/>
            <w:vAlign w:val="bottom"/>
          </w:tcPr>
          <w:p>
            <w:pPr>
              <w:spacing w:after="0"/>
              <w:rPr>
                <w:sz w:val="18"/>
                <w:szCs w:val="18"/>
                <w:color w:val="auto"/>
              </w:rPr>
            </w:pPr>
          </w:p>
        </w:tc>
      </w:tr>
      <w:tr>
        <w:trPr>
          <w:trHeight w:val="209"/>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Segment Results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46</w:t>
            </w:r>
          </w:p>
        </w:tc>
        <w:tc>
          <w:tcPr>
            <w:tcW w:w="8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Operating Metrics</w:t>
            </w:r>
          </w:p>
        </w:tc>
        <w:tc>
          <w:tcPr>
            <w:tcW w:w="670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80" w:type="dxa"/>
            <w:vAlign w:val="bottom"/>
          </w:tcPr>
          <w:p>
            <w:pPr>
              <w:spacing w:after="0"/>
              <w:rPr>
                <w:sz w:val="18"/>
                <w:szCs w:val="18"/>
                <w:color w:val="auto"/>
              </w:rPr>
            </w:pPr>
          </w:p>
        </w:tc>
      </w:tr>
      <w:tr>
        <w:trPr>
          <w:trHeight w:val="210"/>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55</w:t>
            </w:r>
          </w:p>
        </w:tc>
        <w:tc>
          <w:tcPr>
            <w:tcW w:w="80" w:type="dxa"/>
            <w:vAlign w:val="bottom"/>
          </w:tcPr>
          <w:p>
            <w:pPr>
              <w:spacing w:after="0"/>
              <w:rPr>
                <w:sz w:val="18"/>
                <w:szCs w:val="18"/>
                <w:color w:val="auto"/>
              </w:rPr>
            </w:pPr>
          </w:p>
        </w:tc>
      </w:tr>
      <w:tr>
        <w:trPr>
          <w:trHeight w:val="210"/>
        </w:trPr>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Cash Flows</w:t>
            </w:r>
          </w:p>
        </w:tc>
        <w:tc>
          <w:tcPr>
            <w:tcW w:w="570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8"/>
                <w:szCs w:val="18"/>
                <w:color w:val="auto"/>
              </w:rPr>
            </w:pPr>
          </w:p>
        </w:tc>
      </w:tr>
      <w:tr>
        <w:trPr>
          <w:trHeight w:val="20"/>
        </w:trPr>
        <w:tc>
          <w:tcPr>
            <w:tcW w:w="840" w:type="dxa"/>
            <w:vAlign w:val="bottom"/>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Contractual Obligations</w:t>
            </w:r>
          </w:p>
        </w:tc>
        <w:tc>
          <w:tcPr>
            <w:tcW w:w="9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0000FF"/>
                <w:w w:val="99"/>
              </w:rPr>
              <w:t>57</w:t>
            </w:r>
          </w:p>
        </w:tc>
        <w:tc>
          <w:tcPr>
            <w:tcW w:w="80" w:type="dxa"/>
            <w:vAlign w:val="bottom"/>
          </w:tcPr>
          <w:p>
            <w:pPr>
              <w:spacing w:after="0"/>
              <w:rPr>
                <w:sz w:val="18"/>
                <w:szCs w:val="18"/>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Recent Accounting Standards Updates</w:t>
            </w:r>
          </w:p>
        </w:tc>
        <w:tc>
          <w:tcPr>
            <w:tcW w:w="524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80" w:type="dxa"/>
            <w:vAlign w:val="bottom"/>
          </w:tcPr>
          <w:p>
            <w:pPr>
              <w:spacing w:after="0"/>
              <w:rPr>
                <w:sz w:val="18"/>
                <w:szCs w:val="18"/>
                <w:color w:val="auto"/>
              </w:rPr>
            </w:pPr>
          </w:p>
        </w:tc>
      </w:tr>
    </w:tbl>
    <w:p>
      <w:pPr>
        <w:spacing w:after="0" w:line="20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is a discussion and analysis of the financial condition and results of the operations of MSCI Inc. and its consolidated subsidiaries for the year ended December 31, 2025. This discussion should be read in conjunction with the consolidated financial statements and related notes included elsewhere in this Annual Report on Form 10-K. The discussion summarizing the significant factors affecting the results of operations and financial condition of MSCI for the year ended December 31, 2024 can be found in Part II, “Item 7. Management’s Discussion and Analysis of Financial Condition and Results of Operations” of our Annual Report on Form 10-K for the year ended December 31, 2024 (the “2024 Annual Report”), which was filed with the Securities and Exchange Commission on February 7,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research-based data, analytics and indexes, supported by advanced technology, set standards for global investors and help our clients understand risks and opportunities, make better investment decisions and unlock innovation. The Company has five operating segments: Index, Analytics, Sustainability and Climate, Real Assets and Private Capital Solutions, which are presented as the following three reportable segments: Index, Analytics, and Sustainability and Climate. For reporting purposes, the Real Assets and Private Capital Solutions operating segments are combined and presented as All Other – Private Assets, as they did not meet the required thresholds for separate reportable segment disclosure.</w:t>
      </w:r>
    </w:p>
    <w:p>
      <w:pPr>
        <w:spacing w:after="0" w:line="183"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Our growth strategy includes: (a) extending leadership in research-enhanced content across asset classes, (b) leading the enablement of sustainability and climate investment integration, (c) enhancing distribution and content-enabling technology, (d) expanding solutions that empower client customization, (e) strengthening client relationships and expanding our presence in key geographic areas and (f) executing strategic partnerships and acquisitions with complementary data, content and technology companies. For more information about our Company’s operations, see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principal business model is generally to license annual, recurring subscriptions for the majority of our products and services for a fee due in advance of the service period. A portion of our fees comes from clients who use our indexes as the basis for index-linked investment products. Such fees are primarily based on a client’s assets under management (“AUM”), trading volumes and fee levels.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2025, we renamed our “ESG and Climate” operating and reportable segment to “Sustainability and Climate” to reflect the breadth of our product offerings. There were no changes to the composition of our reportable segments or information reviewed by the chief operating decision maker and no impact on our historical segment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 Affecting MSCI</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Trends in Sustainability and Climate Investment Strategies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believe sustainability and climate risks are investment risks that significantly impact many investment decisions and corporate strategies. In Europe, disclosure requirements continue to drive demand for sustainability and climate tools to meet both</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regulatory and investor expectations. In the United States, political debate has led to some scrutiny of the use of sustainability and climate considerations in investment and risk management decisions.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growth in this space depends on rising global demand for sustainability and climate solutions, which may be influenced by potential regulatory uncertainty or political opposition in certain markets. While some markets may face greater near-term challenges and uncertainty, we believe the long-term shift toward integrating financially material sustainability and climate factors into investment and risk management processes will support continued adoption of our sustainability and climate tools.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Industry Dynamics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recent periods, the asset management industry—a key client segment for the Company—has undergone fee pressure and consolidation, driven by structural shifts, intensifying competition and evolving investor preferences. While industry fee pressure and consolidation may result in cost-cutting and vendor consolidation, firms may require more sophisticated and a broader array of investment tools across use cases and asset classes, driving demand for the Company’s offerings.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impact of this fee pressure and consolidation remains uncertain, as client cost pressures could lead to contract adjustments or terminations, while asset managers may expand their use of the Company’s products and services, including for additional investment strategies. The extent to which these dynamics will impact the Company’s growth, client retention and revenue generation will depend on the pace of industry fee pressure and consolidation, evolving client priorities and the Company’s ability to adapt to shifting market demands.</w:t>
      </w:r>
    </w:p>
    <w:p>
      <w:pPr>
        <w:spacing w:after="0" w:line="17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See Item 1</w:t>
      </w:r>
      <w:r>
        <w:rPr>
          <w:rFonts w:ascii="Times New Roman" w:cs="Times New Roman" w:eastAsia="Times New Roman" w:hAnsi="Times New Roman"/>
          <w:sz w:val="18"/>
          <w:szCs w:val="18"/>
          <w:i w:val="1"/>
          <w:iCs w:val="1"/>
          <w:color w:val="auto"/>
        </w:rPr>
        <w:t>. Business—Industry Trends and Competitive Advantages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Factors—Client Risks</w:t>
      </w:r>
      <w:r>
        <w:rPr>
          <w:rFonts w:ascii="Times New Roman" w:cs="Times New Roman" w:eastAsia="Times New Roman" w:hAnsi="Times New Roman"/>
          <w:sz w:val="18"/>
          <w:szCs w:val="18"/>
          <w:color w:val="auto"/>
        </w:rPr>
        <w:t xml:space="preserve"> of this Annual Report on Form 10-K for additional discussion of client trends and related risks.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 and Drivers</w:t>
      </w:r>
    </w:p>
    <w:p>
      <w:pPr>
        <w:spacing w:after="0" w:line="12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evaluating our financial performance, we focus on revenue and profit growth, including results accounted for under generally accepted accounting principles in the United States (“GAAP”) as well as non-GAAP measures, for the Company as a whole and by segment.</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present revenues disaggregated by types and by segments, which represent our major product lines. We also review expenses by activity, which provides more transparency into how resources are being deployed. In addition, we utilize operating metrics including Run Rate, Subscription Sales and Retention Rate to manage and assess performance and to provide deeper insights into the recurring portion of our business.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discussion that follows, we provide certain variances excluding the impact of foreign currency exchange rate fluctuations.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any such impact is excluded from the disclosed foreign currency-adjusted variances.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revenues are presented by type and by segment. For each segment, we present revenues disaggregated by the nature of the revenues, which are recurring subscriptions, asset-based fees and non-recurring revenues.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Recurring subscription revenues represent fees earned from clients primarily under renewable contracts and are generally recognized ratably over the term of the license or service pursuant to the contract terms. The fees are recognized as we provide the product and service to the client over the license period and are generally billed in advance, prior to the license start date.</w:t>
      </w:r>
    </w:p>
    <w:p>
      <w:pPr>
        <w:spacing w:after="0" w:line="176"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Asset-based fees represent fees earned that are variable in nature, as they are primarily calculated based on the AUM linked to our indexes. Asset-based fees also include revenues related to futures and options contracts linked to our indexes, which are based on trading volumes and fee levels.</w:t>
      </w:r>
    </w:p>
    <w:p>
      <w:pPr>
        <w:spacing w:after="0" w:line="162"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Non-recurring revenues primarily represent fees earned on products and services where we typically do not have renewal clauses within the contract. Examples of such products and services include one-time license fees, certain derivative financial products, certain implementation services, historical data sets and, occasionally, fees for unlicensed usage of our content in historical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periods. Based on the nature of the services provided, non-recurring revenues are generally billed either in advance or after delivery and recognized point in time or over the service period.</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1, “Introduction and Basis of Presentation” and Note 3, “Revenue Recognition” of the Notes to the Consolidated Financial Statements included herein for additional information on revenue recognition.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group our operating expenses into the following activity categories:</w:t>
      </w:r>
    </w:p>
    <w:p>
      <w:pPr>
        <w:spacing w:after="0" w:line="11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(“R&amp;D”);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(“G&amp;A”);</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property, equipment and leasehold improvements.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Costs are assigned to these activity categories based on the nature of the expense or, when not directly attributable, an estimated allocation based on the type of effort involved. Cost of revenues, selling and marketing, R&amp;D and G&amp;A all include both compensation as well as non-compensation related expenses.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of revenues expenses consist of costs related to the production and servicing of our products and services and primarily includes related information technology costs, including data center, cloud service, platform and infrastructure costs; costs to acquire, produce and maintain market data information; costs of research to support and maintain existing products; costs of product management teams; costs of client service and consultant teams to support customer needs; as well as other support costs directly attributable to the cost of revenues including certain human resources, finance and legal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costs associated with acquiring new clients or selling new products or product renewals to existing clients and primarily includes the costs of our sales and marketing teams, as well as costs incurred in other departments associated with acquiring new business, including product management, research, technology and sales operations.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R&amp;D expenses consist of costs to develop new or enhanced products and the costs to develop new or enhanced technologies and service platforms for the delivery of our products and services and primarily include the costs of development, research, product management, project management and the technology support directly associated with these activities.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G&amp;A expenses consist of costs primarily related to finance operations, human resources, office of the CEO, legal, corporate technology, corporate development and certain other administrative costs that are not directly attributed, but are instead allocated, to a product or service.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expense relates to definite-lived intangible assets arising from past acquisitions and capitalization of internally developed software projects. Intangibles arising from past acquisitions consist of customer relationships, proprietary data, trademarks and trade names and technology and software. We amortize definite-lived intangible assets over their estimated useful lives. See Note 1, “Introduction and Basis of Presentation” and Note 9, “Goodwill and Intangible Assets, Net” of the Notes to the Consolidated Financial Statements included herein for additional information on intangible assets and amortization expense.</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of Property, Equipment and Leasehold Improvements</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of property, equipment and leasehold improvements consists of expenses related to depreciating or amortizing the cost of computer and related equipment, leasehold improvements, software and furniture and fixtures over the estimated useful life of the assets.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primarily of interest we pay on our outstanding indebtedness, including losses on early extinguishment of debt, gains and losses associated with equity method and other minority investments, foreign currency exchange rate gains and losses, interest we collect on cash and short-term investments, as well as other non-operating income and expense items that may arise from time to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certain acquisition-related integration and transaction costs.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when applicable, certain acquisition-related integration and transaction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margin” is defined as Adjusted EBITDA divided by operating revenues.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Adjusted EBITDA, Adjusted EBITDA expenses and Adjusted EBITDA margin are believed to be meaningful measures for management to assess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adjusted EBITDA expenses and adjusted EBITDA margin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Adjusted EBITDA expenses and Adjusted EBITDA margin measures may not be comparable to similarly titled measures computed by other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Run Rate</w:t>
      </w:r>
    </w:p>
    <w:p>
      <w:pPr>
        <w:spacing w:after="0" w:line="12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Run Rate is a key operating metric and is important because an increase or decrease in our Run Rate ultimately impacts our future operating revenues over time. At the end of any period, we generally have recurring subscription and investment product license agreements in place for a large portion of total revenues for the following 12 months. We measure the fees related to these agreements and refer to this as “Run Rate.” See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Metrics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Run Rate</w:t>
      </w:r>
      <w:r>
        <w:rPr>
          <w:rFonts w:ascii="Times New Roman" w:cs="Times New Roman" w:eastAsia="Times New Roman" w:hAnsi="Times New Roman"/>
          <w:sz w:val="18"/>
          <w:szCs w:val="18"/>
          <w:color w:val="auto"/>
        </w:rPr>
        <w:t>” below for additional information on the calculation of this metric.</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Subscription Sales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Subscription Sales is a key operating metric and is important to management because new Subscription Sales increase our Run Rate and represent future operating revenues that will be recognized over time. See “—</w:t>
      </w:r>
      <w:r>
        <w:rPr>
          <w:rFonts w:ascii="Times New Roman" w:cs="Times New Roman" w:eastAsia="Times New Roman" w:hAnsi="Times New Roman"/>
          <w:sz w:val="18"/>
          <w:szCs w:val="18"/>
          <w:i w:val="1"/>
          <w:iCs w:val="1"/>
          <w:color w:val="auto"/>
        </w:rPr>
        <w:t>Operating Metrics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below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Retention Rate</w:t>
      </w:r>
    </w:p>
    <w:p>
      <w:pPr>
        <w:spacing w:after="0" w:line="121"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Retention Rate is a key operating metric and is important to management because subscription cancellations decrease our Run Rate and ultimately our future operating revenues over time. See “—</w:t>
      </w:r>
      <w:r>
        <w:rPr>
          <w:rFonts w:ascii="Times New Roman" w:cs="Times New Roman" w:eastAsia="Times New Roman" w:hAnsi="Times New Roman"/>
          <w:sz w:val="17"/>
          <w:szCs w:val="17"/>
          <w:i w:val="1"/>
          <w:iCs w:val="1"/>
          <w:color w:val="auto"/>
        </w:rPr>
        <w:t>Operating Metrics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Retention Rate</w:t>
      </w:r>
      <w:r>
        <w:rPr>
          <w:rFonts w:ascii="Times New Roman" w:cs="Times New Roman" w:eastAsia="Times New Roman" w:hAnsi="Times New Roman"/>
          <w:sz w:val="17"/>
          <w:szCs w:val="17"/>
          <w:color w:val="auto"/>
        </w:rPr>
        <w:t>” below for additional information on the calculation of this metric.</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These accounting principles require us to make certain estimates and judgments that can affect the reported amounts of assets and liabilities as of the date of the consolidated financial statements, as well as the reported amounts of revenues and expenses during the periods presented. Significant estimates and judgments made by management include such examples as assessment of impairment of goodwill and intangible assets and income taxes. We believe the estimates and judgments upon which we rely are reasonable based upon information available to us at the time these estimates and judgments are made. To the extent there are material differences between these estimates and actual results, our consolidated financial statements will be affected.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recognize goodwill in business combination transactions when the purchase price exceeds the fair value of the acquired net tangible and separately identifiable intangible assets. We test goodwill for impairment annually on July 1 or when interim triggers arise. When testing goodwill for impairment, we first assess qualitative factors to determine whether it is necessary to perform the quantitative goodwill impairment test; however, on a periodic basis, we may elect to bypass the qualitative assessment and proceed directly to the quantitative test. During the year ended December 31, 2025, the Company has selected to bypass the optional qualitative assessment for the Real Assets and Private Capital Solutions (“PCS”) reporting units. This decision was based on the relatively low excess of fair value over carrying value observed in the prior year’s analysis. Therefore, a quantitative goodwill impairment test was performed for both Real Assets and PCS. For the Index, Analytics, and Sustainability and Climate reporting units, the company performed a qualitative assessment. The quantitative test for impairment used an equal weighting of the income approach and the market approach to estimate the fair value of the Real Assets and PCS reporting units.</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income approach requires significant judgment in estimating future cash flows, including assumptions, amongst others, about revenue growth rates and EBITDA margins, and the selection of an appropriate discount rate, which reflects the reporting unit’s cost of capital. Forecasted future cash flows are estimated based on a combination of historical experience and assumptions regarding future growth and profitability of each reporting unit. Discount rates are selected for each reporting unit being valued based on each reporting unit’s estimated weighted-average cost of capital. The weighted-average cost of capital is estimated based on both the capital structure that we believe a market participant would utilize as well as the discount rates of guideline public companies that have similar characteristics to each reporting unit being valued, adjusted for the risk inherent in each reporting unit. Terminal growth rates are selected based on growth rates used during the reporting unit’s forecast period in combination with economic conditions. The market approach utilizes valuation multiples of revenue and cash flows derived from guideline public companies that have similar characteristics to each reporting unit being valued. Selecting appropriate guideline companies, valuation multiples and other key assumptions such as revenue growth rates and discount rates requires significant management judgment, and changes to these estimates could materially impact the fair value determination of each reporting unit. We perform sensitivity analyses around key assumptions in order to assess the reasonableness of the assumptions and the impact on the estimated fair value.</w:t>
      </w:r>
    </w:p>
    <w:p>
      <w:pPr>
        <w:spacing w:after="0" w:line="19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Impairment occurs when the estimated fair value of the reporting unit is below the carrying value. As of July 1, 2025, all reporting units had fair values exceeding their carrying values. As a result, no goodwill impairment was recorded as of this date.</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completed our annual goodwill impairment test as of July 1, 2025 on our Index, Analytics, Sustainability and Climate, Real Assets and Private Capital Solutions reporting units, which are also our operating segments. At December 31, 2025, the carrying value of goodwill within the Real Assets and Private Capital Solutions reporting units were $691 million and $618 million, respectively. As of July 1, 2025, the fair value of the Real Assets and Private Capital Solutions reporting units exceeded their carrying values by approximately 39% and 15%, respectively. If we experience a prolonged or severe period of weakness in the business environment, financial markets, the performance of one or more of our recently acquired companies or reporting units, or our common stock price, or if economic conditions differ significantly from management’s assumptions, our goodwill could be impaired in the future, which may be material to our results of operations and financial position.</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Real Assets and PCS reporting units, individually, a hypothetical decrease in revenue growth rates by 100 basis points or a hypothetical 100 basis point increase in the weighted average cost of capital would not result in an impairment. See Note 1, “Introduction and Basis of Presentation” and Note 9, “Goodwill and Intangible Assets, Net” of the Notes to the Consolidated Financial Statements included herein for additional information on goodwill.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reviewed for impairment whenever events or changes in circumstances indicate that the carrying value of the asset or asset group may not be recoverable. These events or circumstances include adverse changes in the manner in which the asset will be used, adverse changes in legal factors related to the asset or negative changes in expected financial</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performance of the asset, including accumulation of costs and operating losses. Determining whether an event or changes in circumstances warrant an impairment review involves management judgment.</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Once it is determined that an impairment review is necessary, recoverability is determined based on comparing the carrying amount of the asset group to the estimated future undiscounted cash flows. If the carrying amount exceeds the estimated future undiscounted cash flows, the asset grouping is considered to be impaired. Measurement of impairment for intangible assets is based on the amount the carrying value exceeds the fair value of the asset, which is based on estimated discounted future cash flows. Estimated undiscounted and discounted cash flows used in the determination and calculation of impairments represent management forecasts and require significant management judgment. While management believes that its forecasts are reasonable, differences between forecasts and actual experience could materially affect the valuations. There were no events or changes in circumstances that would indicate that the carrying value of the definite-lived intangible assets may not be recoverable during the years presented.</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amortize our intangible assets over the estimated period of economic benefit. If the estimated period of economic benefit is changed, the prospective amortization of the intangible asset could materially change.</w:t>
      </w:r>
    </w:p>
    <w:p>
      <w:pPr>
        <w:spacing w:after="0" w:line="16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See Note 1, “Introduction and Basis of Presentation” and Note 9, “Goodwill and Intangible Assets, Net” of the Notes to the Consolidated Financial Statements included herein for additional information on intangible assets and amortization expense.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Deferred tax assets are reduced by a valuation allowance when, in our opinion, it is more likely than not that all or some portion of the deferred tax assets will not be realized. In assessing the need for a valuation allowance, management is required to estimate future taxable income which requires judgment.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regularly assess the likelihood of additional assessments in each of the taxing jurisdictions in which we file income tax returns and adjust unrecognized tax benefits when additional information is available or when an event occurs. This assessment requires significant judgment in assessment of tax laws, frequency of tax examinations, and the nature of intercompany transactions and tax positions.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See Note 1, “Introduction and Basis of Presentation” and Note 12, “Income Taxes” of the Notes to the Consolidated Financial Statements included herein for additional information on income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revenues are grouped by the following types: recurring subscriptions, asset-based fees and non-recurring. We also group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major product as follows: Index, Analytics, Sustainability and Climate and All Other – Private Assets.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operating revenues by type for the years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2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Index</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882,367</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Asset-based fees</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1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Index total</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1,786,808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1,596,145</w:t>
            </w:r>
          </w:p>
        </w:tc>
        <w:tc>
          <w:tcPr>
            <w:tcW w:w="18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658,610</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18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Analytics total</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714,397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675,089</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Sustainability and Climate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318,835</w:t>
            </w:r>
          </w:p>
        </w:tc>
        <w:tc>
          <w:tcPr>
            <w:tcW w:w="1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Sustainability and Climate total</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326,601</w:t>
            </w:r>
          </w:p>
        </w:tc>
        <w:tc>
          <w:tcPr>
            <w:tcW w:w="18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Other – Private Assets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254,633</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5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 – Private Assets total</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258,293</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2,114,445</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Asset-based fees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1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84,182</w:t>
            </w:r>
          </w:p>
        </w:tc>
        <w:tc>
          <w:tcPr>
            <w:tcW w:w="1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2,856,128</w:t>
            </w:r>
          </w:p>
        </w:tc>
        <w:tc>
          <w:tcPr>
            <w:tcW w:w="1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operating revenues increased 9.7% for the year ended December 31, 2025. The $278.3 million increase was driven by $164.3 million in</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higher recurring subscription revenues, $113.2 million in higher asset-based fees and a $0.9 million increase in non-recurring revenues. Adjusting for the impact of foreign currency exchange rate fluctuations, total operating revenues would have increased 9.3%.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the section titled “Segment Results” that follows for further discussion of segment revenues.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7.0% for the year ended December 31, 2025. Adjusting for the impact of foreign currency exchange rate fluctuations, the increase would have been 6.7%.</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operating expenses by activity category for the years indicated:</w:t>
      </w: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4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550,366</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514,382</w:t>
            </w:r>
          </w:p>
        </w:tc>
        <w:tc>
          <w:tcPr>
            <w:tcW w:w="1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291,220</w:t>
            </w:r>
          </w:p>
        </w:tc>
        <w:tc>
          <w:tcPr>
            <w:tcW w:w="1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158,653</w:t>
            </w:r>
          </w:p>
        </w:tc>
        <w:tc>
          <w:tcPr>
            <w:tcW w:w="1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and leasehold improvements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1,327,610</w:t>
            </w:r>
          </w:p>
        </w:tc>
        <w:tc>
          <w:tcPr>
            <w:tcW w:w="17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increased 7.0% for the year ended December 31, 2025, primarily driven by increases in compensation and benefits costs as a result of increased headcount costs and higher severance costs, as well as increases in non-compensation costs reflecting higher information technology and market data costs.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9.8% for the year ended December 31, 2025, primarily driven by increases in compensation and benefits costs as a result of increased headcount costs as well as higher severance costs.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R&amp;D expenses increased 11.9% for the year ended December 31, 2025, primarily driven by increases in compensation and benefits costs as a result of increased headcount costs as well as higher severance costs, partially offset by increased capitalization of costs related to internally developed software projects. The increase was also driven by increases in non-compensation costs reflecting higher information technology costs.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G&amp;A expenses decreased 1.2% for the year ended December 31, 2025, primarily driven by decreases in non-compensation costs reflecting lower transaction costs, partially offset by increases in compensation and benefits costs as a result of increased headcount costs as well as higher severance costs.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expenses using compensation and non-compensation categories, rather than using activity categories, for the years indicated:</w:t>
      </w:r>
    </w:p>
    <w:p>
      <w:pPr>
        <w:spacing w:after="0" w:line="196"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18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822,789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Non-compensation expenses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323,806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equipment and leasehold improvements</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1,327,610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the incentive compensation component of operating expenses is based on the achievement of a number of financial and operating metrics. In a scenario where operating revenue growth and profitability moderate, incentive compensation would be expected to decrease accordingly.</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firstLine="648"/>
        <w:spacing w:after="0" w:line="312" w:lineRule="auto"/>
        <w:rPr>
          <w:sz w:val="20"/>
          <w:szCs w:val="20"/>
          <w:color w:val="auto"/>
        </w:rPr>
      </w:pPr>
      <w:r>
        <w:rPr>
          <w:rFonts w:ascii="Times New Roman" w:cs="Times New Roman" w:eastAsia="Times New Roman" w:hAnsi="Times New Roman"/>
          <w:sz w:val="17"/>
          <w:szCs w:val="17"/>
          <w:color w:val="auto"/>
        </w:rPr>
        <w:t>Fixed costs constitute a significant portion of the non-compensation component of operating expenses. The discretionary non-compensation component of operating expenses could, however, be reduced in the near-term in a scenario where operating revenue growth moderates.</w:t>
      </w:r>
    </w:p>
    <w:p>
      <w:pPr>
        <w:spacing w:after="0" w:line="14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had 6,268 employees as of December 31, 2025 compared to 6,132 employees as of December 31, 2024, reflecting a 2.2% growth in the number of employees. Continued growth of our emerging market centers around the world is an important factor in our ability to manage and control the growth of our compensation and benefits costs. As of December 31, 2025, 71% of our employees were located in emerging market centers compared to 69% as of December 31, 2024.</w:t>
      </w:r>
    </w:p>
    <w:p>
      <w:pPr>
        <w:spacing w:after="0" w:line="180"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Compensation and benefits costs increased 8.1% for the year ended December 31, 2025, primarily driven by increased headcount costs and higher severance costs. Adjusting for the impact of foreign currency exchange rate fluctuations, compensation and benefits costs would have increased by 7.7%.</w:t>
      </w:r>
    </w:p>
    <w:p>
      <w:pPr>
        <w:spacing w:after="0" w:line="14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Non-compensation expenses increased 4.7% for the year ended December 31, 2025, primarily driven by higher information technology and market data costs, partially offset by lower transaction costs. Adjusting for the impact of foreign currency exchange rate fluctuations non-compensation expenses would have increased by 4.4%.</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expense increased 3.3% for the year ended December 31, 2025, primarily driven by higher amortization of internally developed software, partially offset by certain intangible assets becoming fully amortized during the period.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of Property, Equipment and Leasehold Improvements</w:t>
      </w:r>
    </w:p>
    <w:p>
      <w:pPr>
        <w:spacing w:after="0" w:line="12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of property, equipment and leasehold improvements increased 37.9% for the year ended December 31, 2025, primarily driven by higher depreciation on computer and related equipment.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other expense (income), net for the years indicated:</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0" w:type="dxa"/>
            <w:vAlign w:val="bottom"/>
          </w:tcPr>
          <w:p>
            <w:pPr>
              <w:jc w:val="right"/>
              <w:ind w:right="27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7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4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172,350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Total other expense (income), net increased 27.2% for the year ended December 31, 2025, primarily driven by higher interest expenses reflecting higher debt levels and an $11.8 million loss resulting from the full write-off of the investment in a minority investee.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years ended December 31, 2025 and 2024 was 19.5% and 18.2%, respectively. The increase in the effective tax rate in 2025 was driven by $38 million of expense recognized in connection with a multi-phase internal legal entity restructuring that commenced in the period and was completed subsequent to year end.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net income for the years indicated:</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8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7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1,109,128</w:t>
            </w:r>
          </w:p>
        </w:tc>
        <w:tc>
          <w:tcPr>
            <w:tcW w:w="8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factors described above, net income increased 8.4% for the year ended December 31, 2025.</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Shares and Common Shares Outstanding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weighted average shares and common shares outstanding for the years indicated:</w:t>
      </w:r>
    </w:p>
    <w:p>
      <w:pPr>
        <w:spacing w:after="0" w:line="259"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4"/>
          </w:tcPr>
          <w:p>
            <w:pPr>
              <w:ind w:left="12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restart"/>
          </w:tcPr>
          <w:p>
            <w:pPr>
              <w:spacing w:after="0"/>
              <w:rPr>
                <w:sz w:val="11"/>
                <w:szCs w:val="11"/>
                <w:color w:val="auto"/>
              </w:rPr>
            </w:pPr>
          </w:p>
        </w:tc>
        <w:tc>
          <w:tcPr>
            <w:tcW w:w="162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76,504</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common shares outstanding for the periods indicated:</w:t>
      </w:r>
    </w:p>
    <w:p>
      <w:pPr>
        <w:spacing w:after="0" w:line="273"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4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gridSpan w:val="3"/>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jc w:val="center"/>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3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weighted average shares and common shares outstanding primarily reflects the impact of share repurchases made pursuant to the Company’s stock repurchase program, partially offset by the vesting of certain stock-based awards.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non-GAAP Adjusted EBITDA, Adjusted EBITDA expenses and Adjusted EBITDA margin for the years indicated:</w:t>
      </w:r>
    </w:p>
    <w:p>
      <w:pPr>
        <w:spacing w:after="0" w:line="259"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15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1"/>
                <w:szCs w:val="11"/>
                <w:color w:val="auto"/>
              </w:rPr>
            </w:pPr>
          </w:p>
        </w:tc>
        <w:tc>
          <w:tcPr>
            <w:tcW w:w="128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4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3,134,459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2,856,128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expenses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1,228,007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1,139,644</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7"/>
              <w:spacing w:after="0" w:line="196" w:lineRule="exact"/>
              <w:rPr>
                <w:sz w:val="20"/>
                <w:szCs w:val="20"/>
                <w:color w:val="auto"/>
              </w:rPr>
            </w:pPr>
            <w:r>
              <w:rPr>
                <w:rFonts w:ascii="Times New Roman" w:cs="Times New Roman" w:eastAsia="Times New Roman" w:hAnsi="Times New Roman"/>
                <w:sz w:val="18"/>
                <w:szCs w:val="18"/>
                <w:color w:val="auto"/>
              </w:rPr>
              <w:t>1,906,452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1,716,484</w:t>
            </w:r>
          </w:p>
        </w:tc>
        <w:tc>
          <w:tcPr>
            <w:tcW w:w="17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54.7 %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53.5 %</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increase in Adjusted EBITDA reflects growth in operating revenues as compared to Adjusted EBITDA expenses, driven by the factors previously described.</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8380" w:type="dxa"/>
            <w:vAlign w:val="bottom"/>
            <w:gridSpan w:val="8"/>
          </w:tcPr>
          <w:p>
            <w:pPr>
              <w:jc w:val="right"/>
              <w:ind w:right="312"/>
              <w:spacing w:after="0"/>
              <w:rPr>
                <w:sz w:val="20"/>
                <w:szCs w:val="20"/>
                <w:color w:val="auto"/>
              </w:rPr>
            </w:pPr>
            <w:r>
              <w:rPr>
                <w:rFonts w:ascii="Times New Roman" w:cs="Times New Roman" w:eastAsia="Times New Roman" w:hAnsi="Times New Roman"/>
                <w:sz w:val="18"/>
                <w:szCs w:val="18"/>
                <w:b w:val="1"/>
                <w:bCs w:val="1"/>
                <w:i w:val="1"/>
                <w:iCs w:val="1"/>
                <w:color w:val="auto"/>
                <w:w w:val="99"/>
              </w:rPr>
              <w:t>Reconciliation of Net Income to Adjusted EBITDA and Operating Expenses to Adjusted EBITDA Expenses</w:t>
            </w: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8160" w:type="dxa"/>
            <w:vAlign w:val="bottom"/>
            <w:gridSpan w:val="7"/>
          </w:tcPr>
          <w:p>
            <w:pPr>
              <w:jc w:val="right"/>
              <w:ind w:right="312"/>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to Adjusted EBITDA for the years indicated:</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1"/>
                <w:szCs w:val="11"/>
                <w:color w:val="auto"/>
              </w:rPr>
            </w:pPr>
          </w:p>
        </w:tc>
        <w:tc>
          <w:tcPr>
            <w:tcW w:w="1300" w:type="dxa"/>
            <w:vAlign w:val="bottom"/>
          </w:tcPr>
          <w:p>
            <w:pPr>
              <w:jc w:val="right"/>
              <w:ind w:right="33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9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4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1,202,305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1,109,128</w:t>
            </w:r>
          </w:p>
        </w:tc>
        <w:tc>
          <w:tcPr>
            <w:tcW w:w="1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172,350</w:t>
            </w:r>
          </w:p>
        </w:tc>
        <w:tc>
          <w:tcPr>
            <w:tcW w:w="1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1,528,518</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equipment and</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Acquisition-related integration and transaction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1,906,452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1,716,484</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Adjusted EBITDA</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1,222,054</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Analytics Adjusted EBITDA</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328,295</w:t>
            </w:r>
          </w:p>
        </w:tc>
        <w:tc>
          <w:tcPr>
            <w:tcW w:w="1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Sustainability and Climate Adjusted EBITDA</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 Private Assets Adjusted EBITDA</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61,427</w:t>
            </w:r>
          </w:p>
        </w:tc>
        <w:tc>
          <w:tcPr>
            <w:tcW w:w="19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1,906,452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1,716,484</w:t>
            </w:r>
          </w:p>
        </w:tc>
        <w:tc>
          <w:tcPr>
            <w:tcW w:w="1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 w:lineRule="exact"/>
        <w:rPr>
          <w:sz w:val="20"/>
          <w:szCs w:val="20"/>
          <w:color w:val="auto"/>
        </w:rPr>
      </w:pPr>
    </w:p>
    <w:p>
      <w:pPr>
        <w:ind w:left="660" w:hanging="652"/>
        <w:spacing w:after="0" w:line="217" w:lineRule="auto"/>
        <w:tabs>
          <w:tab w:leader="none" w:pos="647"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operating expenses to Adjusted EBITDA expenses for the years indicated:</w:t>
      </w:r>
    </w:p>
    <w:p>
      <w:pPr>
        <w:spacing w:after="0" w:line="259"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15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1"/>
                <w:szCs w:val="11"/>
                <w:color w:val="auto"/>
              </w:rPr>
            </w:pPr>
          </w:p>
        </w:tc>
        <w:tc>
          <w:tcPr>
            <w:tcW w:w="1300" w:type="dxa"/>
            <w:vAlign w:val="bottom"/>
          </w:tcPr>
          <w:p>
            <w:pPr>
              <w:jc w:val="right"/>
              <w:ind w:right="33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4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1,420,892</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1,327,610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property, equipment and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0"/>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Acquisition-related integration and transaction costs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1"/>
        </w:trPr>
        <w:tc>
          <w:tcPr>
            <w:tcW w:w="4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Adjusted EBITDA expenses</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1,228,007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1,139,644</w:t>
            </w:r>
          </w:p>
        </w:tc>
        <w:tc>
          <w:tcPr>
            <w:tcW w:w="19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 Adjusted EBITDA expenses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374,091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Analytics Adjusted EBITDA expenses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346,794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 and Climate Adjusted EBITDA expenses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 Private Assets Adjusted EBITDA expenses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196,866</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1,139,644</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 w:lineRule="exact"/>
        <w:rPr>
          <w:sz w:val="20"/>
          <w:szCs w:val="20"/>
          <w:color w:val="auto"/>
        </w:rPr>
      </w:pPr>
    </w:p>
    <w:p>
      <w:pPr>
        <w:ind w:left="660" w:hanging="652"/>
        <w:spacing w:after="0" w:line="225" w:lineRule="auto"/>
        <w:tabs>
          <w:tab w:leader="none" w:pos="64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results for each of our three reportable segments and All Other – Private Assets for the years ended December 31, 2025, and 2024 are presented below:</w:t>
      </w:r>
    </w:p>
    <w:p>
      <w:pPr>
        <w:sectPr>
          <w:pgSz w:w="11900" w:h="16838" w:orient="portrait"/>
          <w:cols w:equalWidth="0" w:num="1">
            <w:col w:w="11040"/>
          </w:cols>
          <w:pgMar w:left="320" w:top="121" w:right="539" w:bottom="1440" w:gutter="0" w:footer="0" w:header="0"/>
        </w:sectPr>
      </w:pP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Index Segment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for the Index segment for the years indicated:</w:t>
      </w: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60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1"/>
                <w:szCs w:val="11"/>
                <w:color w:val="auto"/>
              </w:rPr>
            </w:pPr>
          </w:p>
        </w:tc>
        <w:tc>
          <w:tcPr>
            <w:tcW w:w="1380" w:type="dxa"/>
            <w:vAlign w:val="bottom"/>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 subscriptions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957,897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882,367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Asset-based fees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770,670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657,501</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Non-recurring</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58,241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56,277</w:t>
            </w:r>
          </w:p>
        </w:tc>
        <w:tc>
          <w:tcPr>
            <w:tcW w:w="1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 total</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1,786,808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1,596,145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 expenses</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420,800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374,091</w:t>
            </w:r>
          </w:p>
        </w:tc>
        <w:tc>
          <w:tcPr>
            <w:tcW w:w="1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1,366,008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1,222,054</w:t>
            </w:r>
          </w:p>
        </w:tc>
        <w:tc>
          <w:tcPr>
            <w:tcW w:w="1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360" w:firstLine="648"/>
        <w:spacing w:after="0" w:line="312" w:lineRule="auto"/>
        <w:rPr>
          <w:sz w:val="20"/>
          <w:szCs w:val="20"/>
          <w:color w:val="auto"/>
        </w:rPr>
      </w:pPr>
      <w:r>
        <w:rPr>
          <w:rFonts w:ascii="Times New Roman" w:cs="Times New Roman" w:eastAsia="Times New Roman" w:hAnsi="Times New Roman"/>
          <w:sz w:val="17"/>
          <w:szCs w:val="17"/>
          <w:color w:val="auto"/>
        </w:rPr>
        <w:t>Index operating revenues increased 11.9% for the year ended December 31, 2025, driven by growth from asset-based fees as well as recurring subscriptions. Adjusting for the impact of foreign currency exchange rate fluctuations, Index segment operating revenues would have increased 11.9%.</w:t>
      </w:r>
    </w:p>
    <w:p>
      <w:pPr>
        <w:spacing w:after="0" w:line="14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Operating revenues from recurring subscriptions increased 8.6% for the year ended December 31, 2025, primarily driven by growth from market cap-weighted Index products.</w:t>
      </w:r>
    </w:p>
    <w:p>
      <w:pPr>
        <w:spacing w:after="0" w:line="16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Operating revenues from asset-based fees increased 17.2% for the year ended December 31, 2025, primarily driven by growth in revenues from ETFs linked to MSCI equity indexes and non-ETF indexed funds linked to MSCI indexes. Operating revenues from ETFs linked to MSCI equity indexes and non-ETF indexed funds linked to MSCI indexes increased by 21.5% and 12.4%, respectively, primarily driven by increases in average AUM, partially offset by a decrease in average basis points.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value of AUM in ETFs linked to MSCI equity indexes and the sequential change of such assets as of the end of each of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18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March</w:t>
            </w:r>
          </w:p>
        </w:tc>
        <w:tc>
          <w:tcPr>
            <w:tcW w:w="2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June</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March</w:t>
            </w:r>
          </w:p>
        </w:tc>
        <w:tc>
          <w:tcPr>
            <w:tcW w:w="24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June</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shd w:val="clear" w:color="auto" w:fill="CCEEFF"/>
          </w:tcPr>
          <w:p>
            <w:pPr>
              <w:spacing w:after="0"/>
              <w:rPr>
                <w:sz w:val="15"/>
                <w:szCs w:val="15"/>
                <w:color w:val="auto"/>
              </w:rPr>
            </w:pPr>
          </w:p>
        </w:tc>
        <w:tc>
          <w:tcPr>
            <w:tcW w:w="226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AUM in ETFs linked to MSCI</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equity indexes</w:t>
            </w:r>
            <w:r>
              <w:rPr>
                <w:rFonts w:ascii="Times New Roman" w:cs="Times New Roman" w:eastAsia="Times New Roman" w:hAnsi="Times New Roman"/>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Sequential Change in Value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Market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Appreciation/(Depreciation)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Cash Inflows/(Outflows)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Change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average value of AUM in ETFs linked to MSCI equity indexes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Year-to-Date Average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2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w:t>
            </w:r>
          </w:p>
        </w:tc>
        <w:tc>
          <w:tcPr>
            <w:tcW w:w="24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7"/>
                <w:szCs w:val="17"/>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w:t>
            </w: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w:t>
            </w:r>
          </w:p>
        </w:tc>
      </w:tr>
      <w:tr>
        <w:trPr>
          <w:trHeight w:val="180"/>
        </w:trPr>
        <w:tc>
          <w:tcPr>
            <w:tcW w:w="2280" w:type="dxa"/>
            <w:vAlign w:val="bottom"/>
            <w:tcBorders>
              <w:top w:val="single" w:sz="8" w:color="auto"/>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AUM in ETFs linked to MSCI</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238"/>
        </w:trPr>
        <w:tc>
          <w:tcPr>
            <w:tcW w:w="236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equity indexes</w:t>
            </w:r>
            <w:r>
              <w:rPr>
                <w:rFonts w:ascii="Times New Roman" w:cs="Times New Roman" w:eastAsia="Times New Roman" w:hAnsi="Times New Roman"/>
                <w:sz w:val="23"/>
                <w:szCs w:val="23"/>
                <w:color w:val="auto"/>
                <w:vertAlign w:val="superscript"/>
              </w:rPr>
              <w:t>(1) (2)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1,549.7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1,632.9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1,831.2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45" w:lineRule="exact"/>
        <w:rPr>
          <w:sz w:val="20"/>
          <w:szCs w:val="20"/>
          <w:color w:val="auto"/>
        </w:rPr>
      </w:pPr>
    </w:p>
    <w:p>
      <w:pPr>
        <w:ind w:left="660" w:right="80" w:hanging="652"/>
        <w:spacing w:after="0" w:line="239" w:lineRule="auto"/>
        <w:tabs>
          <w:tab w:leader="none" w:pos="647"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historical values of the AUM in ETFs linked to our equity indexes as of the last day of the month and the monthly average balance can be found under the link “AUM in ETFs Linked to MSCI Equity Indexes” on our Investor Relations homepage at </w:t>
      </w:r>
      <w:r>
        <w:rPr>
          <w:rFonts w:ascii="Times New Roman" w:cs="Times New Roman" w:eastAsia="Times New Roman" w:hAnsi="Times New Roman"/>
          <w:sz w:val="14"/>
          <w:szCs w:val="14"/>
          <w:i w:val="1"/>
          <w:iCs w:val="1"/>
          <w:color w:val="auto"/>
        </w:rPr>
        <w:t>http://ir.msci.com</w:t>
      </w:r>
      <w:r>
        <w:rPr>
          <w:rFonts w:ascii="Times New Roman" w:cs="Times New Roman" w:eastAsia="Times New Roman" w:hAnsi="Times New Roman"/>
          <w:sz w:val="14"/>
          <w:szCs w:val="14"/>
          <w:color w:val="auto"/>
        </w:rPr>
        <w:t>. This information is updated mid-month each month. Information contained on our website is not deemed part of or incorporated by reference into this Annual Report on Form 10-K or any other report filed with the SEC. The AUM in ETFs also includes AUM in Exchange Traded Notes, the value of which is less than 1.0% of the AUM amounts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AUM in ETFs linked to MSCI equity indexes is calculated by multiplying the equity ETF net asset value by the number of shares outstanding.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the average value of AUM in ETFs linked to MSCI equity indexes was up $378.4 billion, or 23.2%.</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Index segment Adjusted EBITDA expenses increased 12.5% for the year ended December 31, 2025, primarily driven by increases in compensation and benefits costs as a result of increased headcount costs as well as higher severance costs. The increase was also driven by non-compensation expenses reflecting higher information technology costs and professional fees. Adjusting for the impact of foreign currency exchange rate fluctuations, Index segment Adjusted EBITDA expenses would have increased 12.2%.</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Analytics Segment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results for the Analytics segment for the years indicated:</w:t>
      </w: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1"/>
                <w:szCs w:val="11"/>
                <w:color w:val="auto"/>
              </w:rPr>
            </w:pPr>
          </w:p>
        </w:tc>
        <w:tc>
          <w:tcPr>
            <w:tcW w:w="136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8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Recurring subscriptions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697,488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658,610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Non-recurring</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16,909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16,479</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revenues total</w:t>
            </w:r>
          </w:p>
        </w:tc>
        <w:tc>
          <w:tcPr>
            <w:tcW w:w="2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714,397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675,089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371,867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346,794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6"/>
              <w:spacing w:after="0" w:line="196" w:lineRule="exact"/>
              <w:rPr>
                <w:sz w:val="20"/>
                <w:szCs w:val="20"/>
                <w:color w:val="auto"/>
              </w:rPr>
            </w:pPr>
            <w:r>
              <w:rPr>
                <w:rFonts w:ascii="Times New Roman" w:cs="Times New Roman" w:eastAsia="Times New Roman" w:hAnsi="Times New Roman"/>
                <w:sz w:val="18"/>
                <w:szCs w:val="18"/>
                <w:color w:val="auto"/>
              </w:rPr>
              <w:t>342,530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328,295</w:t>
            </w:r>
          </w:p>
        </w:tc>
        <w:tc>
          <w:tcPr>
            <w:tcW w:w="1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Analytics operating revenues increased 5.8% for the year ended December 31, 2025, primarily driven by growth from recurring subscriptions related to both Equity and Multi-Asset Class Analytics products. Adjusting for the impact of foreign currency exchange rate fluctuations, Analytics operating revenues would have increased 5.7%.</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Analytics segment Adjusted EBITDA expenses increased 7.2% for the year ended December 31, 2025, primarily driven by increases in compensation and benefits costs as a result of increased headcount costs as well as higher severance costs. Adjusting for the impact of foreign currency exchange rate fluctuations, Analytics segment Adjusted EBITDA expenses would have increased 7.1%.</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Climate Segment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for the Sustainability and Climate segment for the years indicated:</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5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1"/>
                <w:szCs w:val="11"/>
                <w:color w:val="auto"/>
              </w:rPr>
            </w:pPr>
          </w:p>
        </w:tc>
        <w:tc>
          <w:tcPr>
            <w:tcW w:w="138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8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Recurring subscriptions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346,401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318,835</w:t>
            </w:r>
          </w:p>
        </w:tc>
        <w:tc>
          <w:tcPr>
            <w:tcW w:w="1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7,766</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revenues total</w:t>
            </w:r>
          </w:p>
        </w:tc>
        <w:tc>
          <w:tcPr>
            <w:tcW w:w="2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353,915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326,601</w:t>
            </w:r>
          </w:p>
        </w:tc>
        <w:tc>
          <w:tcPr>
            <w:tcW w:w="1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expenses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225,438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221,893</w:t>
            </w:r>
          </w:p>
        </w:tc>
        <w:tc>
          <w:tcPr>
            <w:tcW w:w="1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6"/>
              <w:spacing w:after="0" w:line="196" w:lineRule="exact"/>
              <w:rPr>
                <w:sz w:val="20"/>
                <w:szCs w:val="20"/>
                <w:color w:val="auto"/>
              </w:rPr>
            </w:pPr>
            <w:r>
              <w:rPr>
                <w:rFonts w:ascii="Times New Roman" w:cs="Times New Roman" w:eastAsia="Times New Roman" w:hAnsi="Times New Roman"/>
                <w:sz w:val="18"/>
                <w:szCs w:val="18"/>
                <w:color w:val="auto"/>
              </w:rPr>
              <w:t>128,477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104,708</w:t>
            </w:r>
          </w:p>
        </w:tc>
        <w:tc>
          <w:tcPr>
            <w:tcW w:w="194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Sustainability and Climate operating revenues increased 8.4% for the year ended December 31, 2025, primarily driven by growth from recurring subscriptions related to Ratings and Climate products, with growth primarily attributable to EMEA. Adjusting for the impact of foreign currency exchange rate fluctuations, Sustainability and Climate operating revenues would have increased 6.0%.</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Sustainability and Climate segment Adjusted EBITDA expenses increased 1.6% for the year ended December 31, 2025, primarily driven by non-compensation expenses reflecting higher information technology costs. Adjusting for the impact of foreign currency exchange rate fluctuations, Sustainability and Climate segment Adjusted EBITDA expenses would have increased 1.2%.</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 Other – Private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for All Other – Private Assets for the years indicated:</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5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1"/>
                <w:szCs w:val="11"/>
                <w:color w:val="auto"/>
              </w:rPr>
            </w:pPr>
          </w:p>
        </w:tc>
        <w:tc>
          <w:tcPr>
            <w:tcW w:w="138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8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38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Recurring subscriptions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276,918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254,633</w:t>
            </w:r>
          </w:p>
        </w:tc>
        <w:tc>
          <w:tcPr>
            <w:tcW w:w="1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3,660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revenues total</w:t>
            </w:r>
          </w:p>
        </w:tc>
        <w:tc>
          <w:tcPr>
            <w:tcW w:w="280" w:type="dxa"/>
            <w:vAlign w:val="bottom"/>
          </w:tcPr>
          <w:p>
            <w:pPr>
              <w:spacing w:after="0"/>
              <w:rPr>
                <w:sz w:val="19"/>
                <w:szCs w:val="19"/>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279,339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258,293</w:t>
            </w:r>
          </w:p>
        </w:tc>
        <w:tc>
          <w:tcPr>
            <w:tcW w:w="1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expenses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209,902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196,866</w:t>
            </w:r>
          </w:p>
        </w:tc>
        <w:tc>
          <w:tcPr>
            <w:tcW w:w="1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38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6"/>
              <w:spacing w:after="0" w:line="196" w:lineRule="exact"/>
              <w:rPr>
                <w:sz w:val="20"/>
                <w:szCs w:val="20"/>
                <w:color w:val="auto"/>
              </w:rPr>
            </w:pPr>
            <w:r>
              <w:rPr>
                <w:rFonts w:ascii="Times New Roman" w:cs="Times New Roman" w:eastAsia="Times New Roman" w:hAnsi="Times New Roman"/>
                <w:sz w:val="18"/>
                <w:szCs w:val="18"/>
                <w:color w:val="auto"/>
              </w:rPr>
              <w:t>69,437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61,427</w:t>
            </w:r>
          </w:p>
        </w:tc>
        <w:tc>
          <w:tcPr>
            <w:tcW w:w="194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Other – Private Assets operating revenues increased 8.1% for the year ended December 31, 2025, primarily driven by growth from recurring subscriptions in Private Capital Solutions related to Private Capital Intel, Total Plan Manager and Private Capital Portfolio Management products, as well as growth from recurring subscription in Real Assets related to Index Intel and Portfolio Performance Insights products. Adjusting for the impact of foreign currency exchange rate fluctuations, All Other – Private Assets operating revenues would have increased 7.1%.</w:t>
      </w:r>
    </w:p>
    <w:p>
      <w:pPr>
        <w:spacing w:after="0" w:line="18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All Other – Private Assets Adjusted EBITDA expenses increased 6.6% for the year ended December 31, 2025, primarily driven by increases in compensation and benefits costs as a result of increased headcount costs as well as higher severance costs. Adjusting for the impact of foreign currency exchange rate fluctuations, All Other – Private Assets Adjusted EBITDA expenses would have increased 5.9%.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 substantial portion of MSCI’s operating revenues is derived from recurring subscriptions or licenses for products and services that are ongoing in nature and provided over contractually agreed periods, which are subject to renewal or cancellation upon the expiration of the then-current term. In addition, we generate non-recurring revenues from one-time sales and other transactions or services that are discrete in nature or that have a defined life. The operating metrics defined below help management assess the stability and growth of this recurring-revenue base and track non-recurring revenues. There have been no changes to the methodologies used to compute these metrics compared with prior years.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Run Rate</w:t>
      </w:r>
    </w:p>
    <w:p>
      <w:pPr>
        <w:spacing w:after="0" w:line="11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Client Contracts where fees are linked to an investment product’s assets or trading volume or fees (referred to as “Asset-based Fees”), the Run Rate calculation is based on:</w:t>
      </w:r>
    </w:p>
    <w:p>
      <w:pPr>
        <w:spacing w:after="0" w:line="54"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exchange-traded funds (“ETFs”): assets under management as of the last trading day of the period;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non-ETF products: the most recent client-reported assets under management;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listed futures and options contracts: the most recent quarterly volumes and/or reported exchange fees.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Run Rate excludes fees associated with one-time or other non-recurring transactions.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including for purposes of calculating MSCI’s Retention Rate (as detailed below). In the cases where the client switches products or services to a replacement service, only the net decrease, if any, is reported as a cancellation.</w:t>
      </w:r>
    </w:p>
    <w:p>
      <w:pPr>
        <w:spacing w:after="0" w:line="72" w:lineRule="exact"/>
        <w:rPr>
          <w:sz w:val="20"/>
          <w:szCs w:val="20"/>
          <w:color w:val="auto"/>
        </w:rPr>
      </w:pPr>
    </w:p>
    <w:p>
      <w:pPr>
        <w:ind w:left="1300" w:right="48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Analytics and Sustainability and Climate operating segments, substantially all such product or service switches are treated as replacements and are netted accordingly.</w:t>
      </w:r>
    </w:p>
    <w:p>
      <w:pPr>
        <w:spacing w:after="0" w:line="53"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contrast, in the Index, Real Assets, and Private Capital Solutions operating segments, such netting treatment is applied only in limited circumstances.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Run Rate may differ from revenues recognized in accordance with Accounting Standards Codification (“ASC”) Topic 606, Revenue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with Customers. Changes in our recurring revenues typically lag changes in Run Rate. Key factors include, but are not limited to:</w:t>
      </w:r>
    </w:p>
    <w:p>
      <w:pPr>
        <w:spacing w:after="0" w:line="9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recognition of the annualized value of newly executed recurring Client Contracts;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removal of the annualized value of Subscription Cancellations on Client Contracts;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updates to reflect modifications to existing Client Contracts, including changes in price or scope of services;</w:t>
      </w:r>
    </w:p>
    <w:p>
      <w:pPr>
        <w:spacing w:after="0" w:line="117"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the effective date of service delivery and contract execution (e.g., Client Contracts with implementation periods, fee waivers or future-dated start terms);</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revenues driven by exogenous factors, such as changes in reference asset values, currency exchange rates or investment flows;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revenues tied to trading volumes of futures and options contracts linked to MSCI indexes;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divestitures.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Multi-period agreements with contractual price escalators where the total revenue is recognized ratably over the contract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Organic recurring subscription Run Rate growth is defined as the period-over-period growth in Run Rate, excluding:</w:t>
      </w:r>
    </w:p>
    <w:p>
      <w:pPr>
        <w:spacing w:after="0" w:line="117"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foreign currency exchange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during the first 12 months following the transaction date;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divestitures, where Run Rate from divested businesses are excluded from prior period Run Rates.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Run Rates as of the dates indicated and the growth percentages over the years indicated:</w:t>
      </w:r>
    </w:p>
    <w:p>
      <w:pPr>
        <w:spacing w:after="0" w:line="259"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620" w:type="dxa"/>
            <w:vAlign w:val="bottom"/>
            <w:tcBorders>
              <w:top w:val="single" w:sz="8" w:color="auto"/>
            </w:tcBorders>
          </w:tcPr>
          <w:p>
            <w:pPr>
              <w:ind w:left="500"/>
              <w:spacing w:after="0" w:line="131" w:lineRule="exact"/>
              <w:rPr>
                <w:sz w:val="20"/>
                <w:szCs w:val="20"/>
                <w:color w:val="auto"/>
              </w:rPr>
            </w:pPr>
            <w:r>
              <w:rPr>
                <w:rFonts w:ascii="Times New Roman" w:cs="Times New Roman" w:eastAsia="Times New Roman" w:hAnsi="Times New Roman"/>
                <w:sz w:val="14"/>
                <w:szCs w:val="14"/>
                <w:b w:val="1"/>
                <w:bCs w:val="1"/>
                <w:color w:val="auto"/>
              </w:rPr>
              <w:t>Run Rate</w:t>
            </w:r>
          </w:p>
        </w:tc>
        <w:tc>
          <w:tcPr>
            <w:tcW w:w="100" w:type="dxa"/>
            <w:vAlign w:val="bottom"/>
          </w:tcPr>
          <w:p>
            <w:pPr>
              <w:spacing w:after="0"/>
              <w:rPr>
                <w:sz w:val="11"/>
                <w:szCs w:val="11"/>
                <w:color w:val="auto"/>
              </w:rPr>
            </w:pPr>
          </w:p>
        </w:tc>
        <w:tc>
          <w:tcPr>
            <w:tcW w:w="1640" w:type="dxa"/>
            <w:vAlign w:val="bottom"/>
            <w:tcBorders>
              <w:top w:val="single" w:sz="8" w:color="auto"/>
            </w:tcBorders>
          </w:tcPr>
          <w:p>
            <w:pPr>
              <w:jc w:val="right"/>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Organic Run Rate</w:t>
            </w:r>
          </w:p>
        </w:tc>
        <w:tc>
          <w:tcPr>
            <w:tcW w:w="0" w:type="dxa"/>
            <w:vAlign w:val="bottom"/>
          </w:tcPr>
          <w:p>
            <w:pPr>
              <w:spacing w:after="0"/>
              <w:rPr>
                <w:sz w:val="1"/>
                <w:szCs w:val="1"/>
                <w:color w:val="auto"/>
              </w:rPr>
            </w:pPr>
          </w:p>
        </w:tc>
      </w:tr>
      <w:tr>
        <w:trPr>
          <w:trHeight w:val="195"/>
        </w:trPr>
        <w:tc>
          <w:tcPr>
            <w:tcW w:w="3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Growth %</w:t>
            </w:r>
          </w:p>
        </w:tc>
        <w:tc>
          <w:tcPr>
            <w:tcW w:w="16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Growth %</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Recurring subscriptions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934,251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Asset-based fees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678,599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Index total</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1,874,115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1,612,850</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698,377</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Sustainability and Climate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343,741</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 – Private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266,719</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Run Rate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3,301,576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2,921,687</w:t>
            </w:r>
          </w:p>
        </w:tc>
        <w:tc>
          <w:tcPr>
            <w:tcW w:w="1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Recurring subscriptions 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2,243,088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fees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678,599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Run Rate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3,301,576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2,921,687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40" w:firstLine="648"/>
        <w:spacing w:after="0" w:line="312" w:lineRule="auto"/>
        <w:rPr>
          <w:sz w:val="20"/>
          <w:szCs w:val="20"/>
          <w:color w:val="auto"/>
        </w:rPr>
      </w:pPr>
      <w:r>
        <w:rPr>
          <w:rFonts w:ascii="Times New Roman" w:cs="Times New Roman" w:eastAsia="Times New Roman" w:hAnsi="Times New Roman"/>
          <w:sz w:val="17"/>
          <w:szCs w:val="17"/>
          <w:color w:val="auto"/>
        </w:rPr>
        <w:t>Total Run Rate increased 13.0% for the year ended December 31, 2025, driven by a 9.2% increase from recurring subscriptions, primarily driven by increases in the asset manager, banks and broker-dealer, asset owner and hedge fund client segments, as well as a 25.6% increase from asset-based fees.</w:t>
      </w:r>
    </w:p>
    <w:p>
      <w:pPr>
        <w:spacing w:after="0" w:line="1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Run Rate from Index recurring subscriptions increased 9.4% for the year ended December 31, 2025, primarily driven by growth from market cap-weighted and custom Index products. The increase reflected growth across all regions and client segments.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Run Rate from Index asset-based fees increased 25.6% for the year ended December 31, 2025, primarily driven by higher AUM in ETFs linked to MSCI equity indexes and non-ETF indexed funds linked to MSCI indexes.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Run Rate from Analytics products increased 8.4% for the year ended December 31, 2025, driven by growth in both Multi-Asset Class and Equity Analytics products, reflecting growth across all regions and client segments.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Run Rate from Sustainability and Climate products increased 10.0% for the year ended December 31, 2025, primarily driven by growth in Ratings and Climate products, with growth primarily attributable to EMEA. The increase was primarily driven by growth in the asset manager, insurance and wealth manager client segments.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Run Rate from All Other – Private Assets increased 9.5% for the year ended December 31, 2025, primarily driven by growth from Private Capital Solutions related to Total Plan Manager, Private Capital Transparency Data and Private Capital Intel products, and reflected growth across all regions. The increase was primarily driven by growth in asset owner and asset manager client segments.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1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Sales represents the annualized value of products and services that clients have committed to purchase from MSCI and that are expected to result in additional operating revenues.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Non-recurring sales represent the aggregate value of client agreements entered into during the period that generate non-recurring fees and are not included in Run Rate (as defined elsewhere herein), even if such agreements span multiple periods or years.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New recurring subscription sales represent the annualized value of additional client commitments entered into during the period, such as new Client Contracts, expansions of existing Client Contracts or price increases, that contribute to Run Rate.</w:t>
      </w:r>
    </w:p>
    <w:p>
      <w:pPr>
        <w:sectPr>
          <w:pgSz w:w="11900" w:h="16838" w:orient="portrait"/>
          <w:cols w:equalWidth="0" w:num="1">
            <w:col w:w="11200"/>
          </w:cols>
          <w:pgMar w:left="320" w:top="121" w:right="37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Net new recurring subscription sales represent new recurring subscription sales minus the impact of Subscription Cancellations, capturing the net impact to Run Rate for the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gross sales is the sum of new recurring subscription sales and non-recurring sales.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net sales is total gross sales minus the impact of Subscription Cancellations.</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Changes in foreign currency are calculated by applying the exchange rates from the prior comparable period to the current period’s foreign currency-denominated Run Rate.</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recurring subscription sales, cancellations and non-recurring sales for the years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660" w:type="dxa"/>
            <w:vAlign w:val="bottom"/>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1"/>
                <w:szCs w:val="11"/>
                <w:color w:val="auto"/>
              </w:rPr>
            </w:pPr>
          </w:p>
        </w:tc>
        <w:tc>
          <w:tcPr>
            <w:tcW w:w="1400" w:type="dxa"/>
            <w:vAlign w:val="bottom"/>
          </w:tcPr>
          <w:p>
            <w:pPr>
              <w:jc w:val="right"/>
              <w:ind w:right="39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2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recurring subscription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118,191</w:t>
            </w:r>
          </w:p>
        </w:tc>
        <w:tc>
          <w:tcPr>
            <w:tcW w:w="2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cancellations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98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Net new recurring subscription sales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88,419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72,461</w:t>
            </w:r>
          </w:p>
        </w:tc>
        <w:tc>
          <w:tcPr>
            <w:tcW w:w="210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62,840</w:t>
            </w:r>
          </w:p>
        </w:tc>
        <w:tc>
          <w:tcPr>
            <w:tcW w:w="2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 gross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192,720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181,031</w:t>
            </w:r>
          </w:p>
        </w:tc>
        <w:tc>
          <w:tcPr>
            <w:tcW w:w="2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Total Index net sales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154,441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135,301</w:t>
            </w:r>
          </w:p>
        </w:tc>
        <w:tc>
          <w:tcPr>
            <w:tcW w:w="2100" w:type="dxa"/>
            <w:vAlign w:val="bottom"/>
            <w:tcBorders>
              <w:bottom w:val="single" w:sz="8" w:color="CCEEFF"/>
            </w:tcBorders>
            <w:gridSpan w:val="2"/>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recurring subscription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82,419</w:t>
            </w:r>
          </w:p>
        </w:tc>
        <w:tc>
          <w:tcPr>
            <w:tcW w:w="2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cancellations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2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98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Net new recurring subscription sales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48,864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43,313</w:t>
            </w:r>
          </w:p>
        </w:tc>
        <w:tc>
          <w:tcPr>
            <w:tcW w:w="210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 gross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105,270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98,787</w:t>
            </w:r>
          </w:p>
        </w:tc>
        <w:tc>
          <w:tcPr>
            <w:tcW w:w="2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Total Analytics net sales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65,483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59,681</w:t>
            </w:r>
          </w:p>
        </w:tc>
        <w:tc>
          <w:tcPr>
            <w:tcW w:w="2100" w:type="dxa"/>
            <w:vAlign w:val="bottom"/>
            <w:tcBorders>
              <w:bottom w:val="single" w:sz="8" w:color="CCEEFF"/>
            </w:tcBorders>
            <w:gridSpan w:val="2"/>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Sustainability and Climate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recurring subscription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cancellations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1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98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Net new recurring subscription sales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16,885</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32,408</w:t>
            </w:r>
          </w:p>
        </w:tc>
        <w:tc>
          <w:tcPr>
            <w:tcW w:w="21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 gross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45,202</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64,412</w:t>
            </w:r>
          </w:p>
        </w:tc>
        <w:tc>
          <w:tcPr>
            <w:tcW w:w="2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Total Sustainability and Climate net sales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21,901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41,423</w:t>
            </w:r>
          </w:p>
        </w:tc>
        <w:tc>
          <w:tcPr>
            <w:tcW w:w="21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 – Private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recurring subscription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40,758</w:t>
            </w:r>
          </w:p>
        </w:tc>
        <w:tc>
          <w:tcPr>
            <w:tcW w:w="2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cancellations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98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Net new recurring subscription sales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17,073</w:t>
            </w:r>
          </w:p>
        </w:tc>
        <w:tc>
          <w:tcPr>
            <w:tcW w:w="210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 gross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47,076</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44,636</w:t>
            </w:r>
          </w:p>
        </w:tc>
        <w:tc>
          <w:tcPr>
            <w:tcW w:w="2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8"/>
                <w:szCs w:val="18"/>
                <w:color w:val="auto"/>
              </w:rPr>
              <w:t>Total All Other – Private Assets net sales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23,935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20,951</w:t>
            </w:r>
          </w:p>
        </w:tc>
        <w:tc>
          <w:tcPr>
            <w:tcW w:w="2100" w:type="dxa"/>
            <w:vAlign w:val="bottom"/>
            <w:tcBorders>
              <w:bottom w:val="single" w:sz="8" w:color="CCEEFF"/>
            </w:tcBorders>
            <w:gridSpan w:val="2"/>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New recurring subscription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298,307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296,765</w:t>
            </w:r>
          </w:p>
        </w:tc>
        <w:tc>
          <w:tcPr>
            <w:tcW w:w="2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 cancellations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98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Net new recurring subscription sales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173,799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165,255</w:t>
            </w:r>
          </w:p>
        </w:tc>
        <w:tc>
          <w:tcPr>
            <w:tcW w:w="210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92,101</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 gross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390,268</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388,866</w:t>
            </w:r>
          </w:p>
        </w:tc>
        <w:tc>
          <w:tcPr>
            <w:tcW w:w="2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265,760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257,356</w:t>
            </w:r>
          </w:p>
        </w:tc>
        <w:tc>
          <w:tcPr>
            <w:tcW w:w="2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Retention Rate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Retention Rate for the periods indicated:</w:t>
      </w:r>
    </w:p>
    <w:p>
      <w:pPr>
        <w:spacing w:after="0" w:line="24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Sustainability and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 Private</w:t>
            </w:r>
          </w:p>
        </w:tc>
        <w:tc>
          <w:tcPr>
            <w:tcW w:w="1320" w:type="dxa"/>
            <w:vAlign w:val="bottom"/>
          </w:tcPr>
          <w:p>
            <w:pPr>
              <w:spacing w:after="0"/>
              <w:rPr>
                <w:sz w:val="13"/>
                <w:szCs w:val="13"/>
                <w:color w:val="auto"/>
              </w:rPr>
            </w:pPr>
          </w:p>
        </w:tc>
      </w:tr>
      <w:tr>
        <w:trPr>
          <w:trHeight w:val="217"/>
        </w:trPr>
        <w:tc>
          <w:tcPr>
            <w:tcW w:w="35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Analytics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Climate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5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95.8%</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94.4%</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93.3%</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94.7%</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95.9%</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94.3%</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90.8%</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93.8%</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93.1%</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94.7%</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94.1%</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92.8%</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90.6%</w:t>
            </w: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w:t>
            </w:r>
          </w:p>
        </w:tc>
      </w:tr>
    </w:tbl>
    <w:p>
      <w:pPr>
        <w:spacing w:after="0" w:line="2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Retention Rate is a key performance metric that provides insight into the stability and durability of MSCI’s recurring revenue base. Subscription cancellations reduce Run Rate and, over time, lower future operating revenues.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full-year periods, Retention Rate is calculated as the retained subscription Run Rate, which is defined as the subscription Run Rate at the beginning of the fiscal year minus actual subscription cancellations during the fiscal year, expressed as a percentage of the subscription Run Rate at the beginning of the fiscal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interim (non-annual) periods, Retention Rate is presented on an annualized basis. The annualized Retention Rate is calculated by:</w:t>
      </w:r>
    </w:p>
    <w:p>
      <w:pPr>
        <w:spacing w:after="0" w:line="117" w:lineRule="exact"/>
        <w:rPr>
          <w:sz w:val="20"/>
          <w:szCs w:val="20"/>
          <w:color w:val="auto"/>
        </w:rPr>
      </w:pPr>
    </w:p>
    <w:p>
      <w:pPr>
        <w:ind w:left="660" w:right="5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annualized subscription cancellations in the period by the subscription Run Rate at the beginning of the fiscal year, to determine a cancellation rate;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that rate from 100%, to derive the annualized Retention Rate.</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Retention Rate is calculated by operating segment and is based on an individual product or service level within each segment. We do not calculate Retention Rate for the portion of Run Rate attributable to Asset-based Fees.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example, in the fourth quarter of 2025, we recorded cancellations of $36.9 million. To derive the Retention Rate for the fourth quarter, we annualized the actual cancellations during the quarter of $36.9 million to derive $147.6 million of annualized cancellations. This $147.6 million was then divided by the $2,243.1 million subscription Run Rate at the beginning of the year to derive a cancellation rate of 6.6%. The 6.6% was then subtracted from 100.0% to derive a Retention Rate of 93.4% for the fourth quarter.</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general, if a client reduces the number of products or services to which it subscribes within a segment, or switches between products or services within a segment, we treat it as a cancellation for purposes of calculating our Retention Rate except in the case of a product or service switch that management considers to be a replacement product or service. In those replacement cases, only the net change to the client subscription, if a decrease, is reported as a cancel. In the Analytics and the Sustainability and Climate operating segments, substantially all product or service switches are treated as replacement products or services and netted in this manner, while in our Index and Real Assets operating segments, product or service switches that are treated as replacement products or services and receive netting treatment occur only in certain limited instances. In addition, we treat any reduction in fees resulting from a down-sell of the same product or service as a cancellation to the extent of the reduction. We do not calculate Retention Rate for that portion of our Run Rate attributable to assets in index-linked investment products or futures and options contracts, in each case, linked to our indexes.</w:t>
      </w:r>
    </w:p>
    <w:p>
      <w:pPr>
        <w:spacing w:after="0" w:line="1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29.6% of our cancellations occurred in the fourth quarter. In our product lines, Retention Rate is generally higher during the first three quarters and lower in the fourth quarter, as the fourth quarter is traditionally the largest renewal period in the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require capital to fund ongoing operations, internal growth initiatives and acquisitions. Our primary sources of liquidity are cash flows generated from our operations, existing cash and cash equivalents and credit capacity under our existing credit facility.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and dividend payments, and make repurchases of our common stock. In connection with our business strategy, we regularly evaluate acquisition and strategic partnership opportunities. We believe our liquidity, along with other financing alternatives, will provide the necessary capital to fund these transactions and achieve our planned growth.</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Notes and Credit Agreement</w:t>
      </w:r>
    </w:p>
    <w:p>
      <w:pPr>
        <w:spacing w:after="0" w:line="1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an aggregate of $6.0 billion in Senior Notes outstanding. In addition, under the Credit Agreement, we had as of December 31, 2025 an aggregate of $0.3 billion in outstanding borrowings under the Revolving Credit Facility. See Note 6, “Debt,” of the Notes to Consolidated Financial Statements included herein for additional information on our outstanding Senior Notes and Revolving Credit Facility.</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Issuances and Amendment</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8, 2025, we issued $1.25 billion aggregate principal amount of 5.25% Senior Unsecured Notes due 2035 (the “2035 Senior Notes”) in a registered public offering. The 2035 Senior Notes mature on September 1, 2035. At any time prior to June 1, 2035, we may redeem all or part of the 2035 Senior Notes at a redemption price equal to the sum of (i) 100% of the principal amount thereof, plus (ii) a make-whole premium as of the date of redemption, plus (iii) accrued and unpaid interest, if any, thereon to, but not including, the redemption date. On or after June 1, 2035, the 2035 Senior Notes are redeemable at 100% of the principal amount, plus accrued and unpaid interest to, but not including, the redemption date.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August 20, 2025, we entered into a Third Amended and Restated Credit Agreement (the “Credit Agreement”) amending and restating in its entirety the Company’s prior Second Amended and Restated Credit Agreement (the “Prior Credit Agreement”). The Credit Agreement increased the aggregate revolving commitments to $1.6 billion (from $1.25 billion under the Prior Credit Agreement) under a revolving credit facility (the “Revolving Credit Facility”), and extends the availability period until August 20, 2030. Obligations under the Credit Agreement are unsecured senior obligations of the Company.</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6, 2025, we issued $500 million aggregate principal amount of 5.15% Senior Unsecured Notes due 2036 (the “2036 Senior Notes”) in a registered public offering. The 2036 Senior Notes mature on March 15, 2036. At any time prior to December 15, 2035, we may redeem all or part of the 2036 Senior Notes at a redemption price equal to the sum of (i) 100% of the principal amount thereof, plus (ii) a make-whole premium as of the date of redemption, plus (iii) accrued and unpaid interest, if any, thereon to, but not including, the redemption date. On or after December 15, 2035, the 2036 Senior Notes are redeemable at 100% of the principal amount, plus accrued and unpaid interest to, but not including, the redemption date.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indentures governing our Senior Notes (the “Indentures”) and the Credit Agreement contain covenants that limit our and our subsidiaries’ ability to, among other things, incur liens, enter into sale/leaseback transactions and consolidate, merge or sell all or substantially all of our assets, and that limit the ability of our subsidiaries to incur certain indebtedness.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and the Indentures also contain customary events of default, including those relating to non-payment, breach of representations, warranties or covenants, cross-default and cross-acceleration, and bankruptcy and insolvency events, and, in the case of the Credit Agreement, invalidity or impairment of loan documentation, change of control and customary ERISA defaults in addition to the foregoing. None of the restrictions above are expected to impact our ability to effectively operate the business.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also requires us and our subsidiaries to achieve financial and operating results sufficient to maintain compliance with the following financial ratios on a consolidated basis through the termination of the Credit Agreement: (1) the maximum Consolidated Leverage Ratio (as defined in the Credit Agreement) measured quarterly on a rolling four-quarter basis not to exceed 4.25:1.00 (or 4.50:1.00 for four fiscal quarters following a material acquisition) and (2) during any Non-Investment Grade Covenant Period (as defined in the Credit Agreement), the minimum Consolidated Interest Coverage Ratio (as defined in the Credit Agreement) measured quarterly on a rolling four-quarter basis of at least 3.00:1.00. As of December 31, 2025, our Consolidated Leverage Ratio was 2.97.</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all of the Company’s subsidiaries were non-guarantor subsidiaries under the Indentures (“non-guarantor subsidiaries”). The non-guarantor subsidiaries accounted for approximately $2,455.7 million, or 78.3%, of our total revenue</w:t>
      </w:r>
    </w:p>
    <w:p>
      <w:pPr>
        <w:sectPr>
          <w:pgSz w:w="11900" w:h="16838" w:orient="portrait"/>
          <w:cols w:equalWidth="0" w:num="1">
            <w:col w:w="11220"/>
          </w:cols>
          <w:pgMar w:left="320" w:top="121"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trailing 12 months ended December 31, 2025, approximately $1,019.5 million, or 59.5%, of our consolidated operating income for the trailing 12 months ended December 31, 2025, and approximately $4,964.6 million, or 87.1%, of our consolidated total assets (excluding intercompany assets) and $1,669.6 million, or 20.0%, of our consolidated total liabilities, in each case as of December 31, 2025.</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2025, our Board of Directors approved a stock repurchase program for the purchase of shares of the Company’s common stock in the open market. See Note 11, “Shareholders’ Equity (Deficit),” of the Notes to Consolidated Financial Statements included herein for additional information on our stock repurchase program.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trade date February 5, 2026, a total of approximately $2.0 billion of authorization remained available under the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authorization may be modified, suspended or terminated by the Board of Directors at any time without prior notice.</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17, 2014, our Board of Directors approved a plan to initiate a regular quarterly cash dividend to our shareholders. On October 30, 2014, we began paying regular quarterly cash dividends and have paid such dividends each quarter thereafter.</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January 27, 2026, the Board of Directors declared a quarterly cash dividend of $2.05 per share of common stock to be paid on February 27, 2026 to shareholders of record as of the close of trading on February 13,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cash and cash equivalents, including restricted cash, as of the dates indicated:</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1"/>
                <w:szCs w:val="11"/>
                <w:color w:val="auto"/>
              </w:rPr>
            </w:pPr>
          </w:p>
        </w:tc>
        <w:tc>
          <w:tcPr>
            <w:tcW w:w="196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1"/>
                <w:szCs w:val="11"/>
                <w:color w:val="auto"/>
              </w:rPr>
            </w:pPr>
          </w:p>
        </w:tc>
        <w:tc>
          <w:tcPr>
            <w:tcW w:w="1860" w:type="dxa"/>
            <w:vAlign w:val="bottom"/>
          </w:tcPr>
          <w:p>
            <w:pPr>
              <w:jc w:val="center"/>
              <w:ind w:right="34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9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right"/>
              <w:ind w:right="9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60" w:type="dxa"/>
            <w:vAlign w:val="bottom"/>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5840" w:type="dxa"/>
            <w:vAlign w:val="bottom"/>
            <w:tcBorders>
              <w:top w:val="single" w:sz="8" w:color="auto"/>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Cash and cash equivalents (includes restricted cash of $3,667 and</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515,332</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409,351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$3,497 at December 31, 2025 and December 31, 2024, respectively)</w:t>
            </w:r>
          </w:p>
        </w:tc>
        <w:tc>
          <w:tcPr>
            <w:tcW w:w="40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the Company’s cash flows for the periods indicated:</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1"/>
                <w:szCs w:val="11"/>
                <w:color w:val="auto"/>
              </w:rPr>
            </w:pPr>
          </w:p>
        </w:tc>
        <w:tc>
          <w:tcPr>
            <w:tcW w:w="196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760" w:type="dxa"/>
            <w:vAlign w:val="bottom"/>
          </w:tcPr>
          <w:p>
            <w:pPr>
              <w:jc w:val="right"/>
              <w:ind w:right="63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9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1,588,446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1,501,627</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(144,255)</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(1,402,308)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typically seek to maintain minimum cash balances globally of approximately $225.0 million to $275.0 million for general operating purposes. As of December 31, 2025 and 2024, $335.7 million and $265.5 million, respectively, of the cash and cash equivalents were held by foreign subsidiaries. Repatriation of some foreign cash may be subject to certain withholding taxes in local jurisdictions and other distribution restrictions. We believe the global cash and cash equivalent balances that are maintained will be available to meet our global needs whether for general corporate purposes or other needs, including acquisitions or expansion of our products.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consist of net income adjusted for certain non-cash items and changes in assets and liabilities. The year-over-year change was primarily driven by higher cash collections from customers, partially offset by higher payments for cash expenses.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primary uses of cash from operating activities are for the payment of cash compensation expenses, income taxes, interest expenses, technology costs, professional fees, market data and office rent. Historically, the payment of cash for compensation and benefits is at its highest level in the first quarter when we pay discretionary employee compensation related to the previous fiscal year.</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year-over-year change was due to prior year acquisitions, partially offset by increased capital expenditures.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year-over-year change was primarily driven by proceeds from borrowings partially offset by the impact of higher share repurchases, repayment of borrowings and dividend payments.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global cash flows from operations, together with existing cash and cash equivalents and funds available under our existing revolving credit facility and our ability to access bank debt, private debt and the capital markets for additional funds, will continue to be sufficient to fund our global operating activities and cash commitments for investing and financing activities, such as material capital expenditures and share repurchases, for at least the 12 months following issuance of this Form 10-K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12 months following issuance of this Form 10-K and for the foreseeable future thereafter.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contractual obligations consist primarily of our debt obligations arising from the issuance of the Senior Notes, Revolving Loan Commitments, leases for office space, leases for equipment and other operating leases and obligations to vendors arising out of market data contracts. The following table summarizes our contractual obligations for the periods indicated as of December 31, 2025:</w:t>
      </w: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0"/>
        </w:trPr>
        <w:tc>
          <w:tcPr>
            <w:tcW w:w="2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7,714,800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4,617,823</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Loan Commitments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Vendor obligations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4,651,475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 w:lineRule="exact"/>
        <w:rPr>
          <w:sz w:val="20"/>
          <w:szCs w:val="20"/>
          <w:color w:val="auto"/>
        </w:rPr>
      </w:pPr>
    </w:p>
    <w:p>
      <w:pPr>
        <w:ind w:left="660" w:hanging="652"/>
        <w:spacing w:after="0" w:line="230" w:lineRule="auto"/>
        <w:tabs>
          <w:tab w:leader="none" w:pos="647"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payments for the principal amount on the Senior Notes due 2029, the Senior Notes due 2030, the 3.875% Senior Notes due 2031, the 3.625% Senior Notes due 2031, the Senior Notes due 2033, the Senior Notes due 2035 and the Senior Notes due 2036 plus interest based on the 4.000%, 3.625%, 3.875%, 3.625%, 3.250%, 5.250% and 5.150% coupon interest rates, respectively.</w:t>
      </w:r>
    </w:p>
    <w:p>
      <w:pPr>
        <w:ind w:left="660" w:right="240" w:hanging="652"/>
        <w:spacing w:after="0" w:line="221" w:lineRule="auto"/>
        <w:tabs>
          <w:tab w:leader="none" w:pos="647"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payments for the principal amount as well as coupon interest payments at the interest rate in effect as of December 31, 2025 on the revolving loans under the Revolving Credit Facility due 2030.</w:t>
      </w:r>
    </w:p>
    <w:p>
      <w:pPr>
        <w:spacing w:after="0" w:line="20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obligations related to our uncertain tax positions, which are not considered material, have been excluded from the table above because of the uncertainty surrounding the timing and final amounts of any settlement.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Updates</w:t>
      </w:r>
    </w:p>
    <w:p>
      <w:pPr>
        <w:spacing w:after="0" w:line="121"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See Note 2, “Recent Accounting Standards Updates,” of the Notes to the Consolidated Financial Statements included herein for further information.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generally invoice our clients in U.S. dollars; however, we invoice a portion of our clients in Euros, British pounds sterling, Japanese yen and a limited number of other non-U.S. dollar currencies. For the years ended December 31, 2025 and 2024, 16% and 17%, respectively, of our revenues were subject to foreign currency exchange rate risk and primarily included clients billed in foreign currency as well as U.S. dollar exposures on non-U.S. dollar foreign operating entities. Of the 16% of non-U.S. dollar exposure for the year ended December 31, 2025, 43% was in Euros, 32% was in British pounds sterling and 18% was in Japanese yen. Of the 17% of non-U.S. dollar exposure for the year ended December 31, 2024, 42% was in Euros, 33% was in British pounds sterling and 18% was in Japanese yen.</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Revenues from asset-based fees represented 25% and 23% of operating revenues for the years ended December 31, 2025 and 2024, respectively. While a substantial portion of our asset-based fees are invoiced in U.S. dollars, the fees are based on the assets in investment products, of which approximately three-fifths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additional foreign currency risk in certain of our operating costs. Approximately 42% and 41% of our operating expenses for the years ended December 31, 2025 and 2024, respectively, were denominated in foreign currencies, the significant majority of which were denominated in British pounds sterling, Indian rupees, Euros, Hungarian forints and Mexican pesos.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$9.1 million and $4.8 million for the year ended December 31, 2025 and 2024,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Financial Condition as of December 31, 2025 and December 31, 2024</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December 31, 2024, and December 31, 2023</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December 31, 2024, and December</w:t>
            </w:r>
          </w:p>
        </w:tc>
        <w:tc>
          <w:tcPr>
            <w:tcW w:w="540" w:type="dxa"/>
            <w:vAlign w:val="bottom"/>
            <w:vMerge w:val="restart"/>
          </w:tcPr>
          <w:p>
            <w:pPr>
              <w:spacing w:after="0"/>
              <w:rPr>
                <w:sz w:val="18"/>
                <w:szCs w:val="18"/>
                <w:color w:val="auto"/>
              </w:rPr>
            </w:pPr>
          </w:p>
        </w:tc>
        <w:tc>
          <w:tcPr>
            <w:tcW w:w="6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60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w w:val="99"/>
              </w:rPr>
              <w:t>31, 2023</w:t>
            </w: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9500" w:type="dxa"/>
            <w:vAlign w:val="bottom"/>
            <w:gridSpan w:val="23"/>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Shareholders’ Equity (Deficit) for the Years Ended December 31, 2025, December 31, 2024, and</w:t>
            </w:r>
          </w:p>
        </w:tc>
        <w:tc>
          <w:tcPr>
            <w:tcW w:w="540" w:type="dxa"/>
            <w:vAlign w:val="bottom"/>
            <w:vMerge w:val="restart"/>
          </w:tcPr>
          <w:p>
            <w:pPr>
              <w:spacing w:after="0"/>
              <w:rPr>
                <w:sz w:val="17"/>
                <w:szCs w:val="17"/>
                <w:color w:val="auto"/>
              </w:rPr>
            </w:pPr>
          </w:p>
        </w:tc>
        <w:tc>
          <w:tcPr>
            <w:tcW w:w="6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40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December 31, 2023</w:t>
            </w: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gridSpan w:val="2"/>
          </w:tcPr>
          <w:p>
            <w:pPr>
              <w:spacing w:after="0"/>
              <w:rPr>
                <w:sz w:val="13"/>
                <w:szCs w:val="13"/>
                <w:color w:val="auto"/>
              </w:rPr>
            </w:pPr>
          </w:p>
        </w:tc>
        <w:tc>
          <w:tcPr>
            <w:tcW w:w="438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20" w:type="dxa"/>
            <w:vAlign w:val="bottom"/>
            <w:tcBorders>
              <w:right w:val="single" w:sz="8" w:color="0000FF"/>
            </w:tcBorders>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480" w:type="dxa"/>
            <w:vAlign w:val="bottom"/>
            <w:gridSpan w:val="4"/>
          </w:tcPr>
          <w:p>
            <w:pPr>
              <w:spacing w:after="0"/>
              <w:rPr>
                <w:sz w:val="2"/>
                <w:szCs w:val="2"/>
                <w:color w:val="auto"/>
              </w:rPr>
            </w:pPr>
          </w:p>
        </w:tc>
        <w:tc>
          <w:tcPr>
            <w:tcW w:w="4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95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December 31, 2024, and December 31, 2023</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480" w:type="dxa"/>
            <w:vAlign w:val="bottom"/>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9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2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0000FF"/>
              </w:rPr>
              <w:t>1.</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Introduction and Basis of Presentation</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2.</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Recent Accounting Pronouncements</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3.</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Revenue Recognition</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4.</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Earnings per Common Share</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76</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5.</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Acquisitions</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6.</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Debt</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77</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7.</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Leases</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79</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8.</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Property, Equipment and Leasehold Improvements, Net</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80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0000FF"/>
              </w:rPr>
              <w:t>9.</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Goodwill and Intangible Assets, Net</w:t>
            </w: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0000FF"/>
              </w:rPr>
              <w:t>81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10. Employee Benefits</w:t>
            </w:r>
          </w:p>
        </w:tc>
        <w:tc>
          <w:tcPr>
            <w:tcW w:w="1160" w:type="dxa"/>
            <w:vAlign w:val="bottom"/>
            <w:gridSpan w:val="6"/>
          </w:tcPr>
          <w:p>
            <w:pPr>
              <w:spacing w:after="0"/>
              <w:rPr>
                <w:sz w:val="18"/>
                <w:szCs w:val="18"/>
                <w:color w:val="auto"/>
              </w:rPr>
            </w:pPr>
          </w:p>
        </w:tc>
        <w:tc>
          <w:tcPr>
            <w:tcW w:w="6280" w:type="dxa"/>
            <w:vAlign w:val="bottom"/>
            <w:gridSpan w:val="9"/>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11. Shareholders' Equity (Deficit)</w:t>
            </w:r>
          </w:p>
        </w:tc>
        <w:tc>
          <w:tcPr>
            <w:tcW w:w="666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12. Income Taxes</w:t>
            </w:r>
          </w:p>
        </w:tc>
        <w:tc>
          <w:tcPr>
            <w:tcW w:w="666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13. Segment Information</w:t>
            </w:r>
          </w:p>
        </w:tc>
        <w:tc>
          <w:tcPr>
            <w:tcW w:w="72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14. Subsequent Events</w:t>
            </w:r>
          </w:p>
        </w:tc>
        <w:tc>
          <w:tcPr>
            <w:tcW w:w="72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763"/>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gridSpan w:val="6"/>
          </w:tcPr>
          <w:p>
            <w:pPr>
              <w:spacing w:after="0"/>
              <w:rPr>
                <w:sz w:val="24"/>
                <w:szCs w:val="24"/>
                <w:color w:val="auto"/>
              </w:rPr>
            </w:pPr>
          </w:p>
        </w:tc>
        <w:tc>
          <w:tcPr>
            <w:tcW w:w="4980" w:type="dxa"/>
            <w:vAlign w:val="bottom"/>
            <w:gridSpan w:val="10"/>
          </w:tcPr>
          <w:p>
            <w:pPr>
              <w:jc w:val="right"/>
              <w:ind w:right="1840"/>
              <w:spacing w:after="0"/>
              <w:rPr>
                <w:sz w:val="20"/>
                <w:szCs w:val="20"/>
                <w:color w:val="auto"/>
              </w:rPr>
            </w:pPr>
            <w:r>
              <w:rPr>
                <w:rFonts w:ascii="Times New Roman" w:cs="Times New Roman" w:eastAsia="Times New Roman" w:hAnsi="Times New Roman"/>
                <w:sz w:val="18"/>
                <w:szCs w:val="18"/>
                <w:color w:val="auto"/>
              </w:rPr>
              <w:t>59</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MSCI Inc.</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condition of MSCI Inc. and its subsidiaries (the "Company") as of December 31, 2025 and 2024, and the related consolidated statements of income, of comprehensive income, of shareholders' equity (deficit)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9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4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 - Recurring Subscriptions, Asset-Based Fees, and Non-Recurring Revenues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As described in Notes 1 and 3 to the consolidated financial statements, the Company recognized operating revenues of $2.9 billion for the year ended December 31, 2025, related to recurring subscriptions, asset-based fees, and non-recurring revenues from the Index, Analytics, and Sustainability and Climate segments. Recurring subscription revenues represent fees earned from clients primarily under renewable contracts or agreements and are generally paid annually in advance and recognized in most cases ratably over the term of the license or service pursuant to the contract terms. Asset-based fees are principally recognized based on the estimated assets under management (AUM) linked to the Company's indexes from independent third-party sources or the most recently reported information provided by the client. Asset-based fees also include revenues related to futures and options contracts linked to the Company’s indexes, which are primarily based on trading volumes and fee levels. Asset-based fees are generally variable based upon AUM or the volume of trades or fee levels and are generally billed quarterly in arrears. Non-recurring revenues primarily represent fees earned on products and services where the Company typically does not have renewal clauses within the contract. Examples of such products and services include one-time license fees, certain derivative financial products, certain implementation services, historical data sets and, occasionally, fees for unlicensed usage of content in historical periods. Based on the nature of the services provided, non-recurring revenues are generally billed either in advance or after delivery and recognized point in time or over the service period.</w:t>
      </w:r>
    </w:p>
    <w:p>
      <w:pPr>
        <w:spacing w:after="0" w:line="18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revenue recognition for recurring subscriptions, asset-based fees, and non-recurring revenues is a critical audit matter are a high degree of auditor effort in performing procedures and evaluating audit evidence related to the Company’s revenue recognition.</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revenue transactions recognized as recurring subscriptions, asset-based fees, and non-recurring revenues. These procedures also included, among others, testing a sample of revenue transactions by obtaining and inspecting source documents which included (i) sales contracts or agreements, invoices, and cash receipts, where applicable, for recurring subscriptions and non-recurring revenues, and (ii) sales contracts or agreements, invoices, and cash receipts, where applicable, and AUM data from independent third-party sources or information provided by the Company’s customers, where applicable, to recalculate revenue recognized for asset-based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Impairment Assessment – Private Capital Solutions Reporting Unit</w:t>
      </w:r>
    </w:p>
    <w:p>
      <w:pPr>
        <w:spacing w:after="0" w:line="22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As described in Notes 1 and 9 to the consolidated financial statements, the Company’s goodwill balance was $2.9 billion as of December 31, 2025. Management tests goodwill for impairment on an annual basis on July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and on an interim basis when certain events and circumstances exist. The test for impairment is performed at the reporting unit level. Goodwill impairment is determined by comparing the fair value of a reporting unit with its carrying value. If the estimated fair value exceeds the carrying value, goodwill at the reporting unit level is not deemed to be impaired. If the estimated fair value is below carrying value, an impairment charge will be recorded up to, but not more than, the total amount of goodwill allocated to the reporting unit. As disclosed by management, as of December 31, 2025, the carrying value of goodwill within the Private Capital Solutions reporting unit was $618 million. Management uses an equal weighting of the income approach and the market approach to estimate the fair value of each reporting unit. The income approach requires significant judgment in estimating future cash flows, including assumptions, amongst others, about revenue growth rates and EBITDA margins, and the selection of an appropriate discount rate. The market approach utilizes valuation multiples of revenue and cash flows derived from guideline public companies that have similar characteristics to each reporting unit being valued. Selecting appropriate guideline companies, valuation multiples and other key assumptions such as revenue growth rates and discount rates requires significant management judgment.</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goodwill impairment assessment of the Private Capital Solutions reporting unit is a critical audit matter are (i) the significant judgment by management when developing the fair value estimate of the Private Capital Solutions reporting unit; (ii) a high degree of auditor judgment, subjectivity, and effort in performing procedures and evaluating management’s significant assumptions related to revenue growth rates, projected EBITDA margins, the discount rate, guideline companies, and valuation multiples; and (iii) the audit effort involved the use of professionals with specialized skill and knowledge.</w:t>
      </w:r>
    </w:p>
    <w:p>
      <w:pPr>
        <w:spacing w:after="0" w:line="183"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Private Capital Solutions reporting unit. These procedures also included,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among others (i) testing management’s process for developing the fair value estimate of the Private Capital Solutions reporting unit; (ii) evaluating the appropriateness of the income approach and market approach used by management; (iii) testing the completeness and accuracy of underlying data used in the income approach and market approach; and (iv) evaluating the reasonableness of the significant assumptions used by management related to revenue growth rates, projected EBITDA margins, the discount rate, guideline companies, and valuation multiples. Evaluating management’s assumptions related to certain revenue growth rates and projected EBITDA margins involved evaluating whether the assumptions used by management were reasonable considering (i) the current and past performance of the Private Capital Solutions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approach and market approach, (ii) the reasonableness of the discount rate assumptions and certain revenue growth rate assumptions used in the income approach, and (iii) the reasonableness of guideline companies and valuation multiples used in the market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6,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2014.</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11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data)</w:t>
            </w: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5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Cash and cash equivalents (includes restricted cash of $3,667 and $3,497 at December 31, 2025 and December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515,332</w:t>
            </w:r>
          </w:p>
        </w:tc>
        <w:tc>
          <w:tcPr>
            <w:tcW w:w="10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409,351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31, 2024, respectively)</w:t>
            </w:r>
          </w:p>
        </w:tc>
        <w:tc>
          <w:tcPr>
            <w:tcW w:w="10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allowances of $6,421 and $5,284 at December 31, 2025 and December 31, 2024,</w:t>
            </w: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986,712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820,709</w:t>
            </w:r>
          </w:p>
        </w:tc>
        <w:tc>
          <w:tcPr>
            <w:tcW w:w="0" w:type="dxa"/>
            <w:vAlign w:val="bottom"/>
          </w:tcPr>
          <w:p>
            <w:pPr>
              <w:spacing w:after="0"/>
              <w:rPr>
                <w:sz w:val="1"/>
                <w:szCs w:val="1"/>
                <w:color w:val="auto"/>
              </w:rPr>
            </w:pPr>
          </w:p>
        </w:tc>
      </w:tr>
      <w:tr>
        <w:trPr>
          <w:trHeight w:val="213"/>
        </w:trPr>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48,162</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Prepaid and other assets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65,799</w:t>
            </w:r>
          </w:p>
        </w:tc>
        <w:tc>
          <w:tcPr>
            <w:tcW w:w="0" w:type="dxa"/>
            <w:vAlign w:val="bottom"/>
          </w:tcPr>
          <w:p>
            <w:pPr>
              <w:spacing w:after="0"/>
              <w:rPr>
                <w:sz w:val="1"/>
                <w:szCs w:val="1"/>
                <w:color w:val="auto"/>
              </w:rPr>
            </w:pPr>
          </w:p>
        </w:tc>
      </w:tr>
      <w:tr>
        <w:trPr>
          <w:trHeight w:val="212"/>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1,344,021</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equipment and leasehold improvements,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70,885</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112,873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119,435</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2,923,362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2,915,167</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907,613</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40,626</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47,692</w:t>
            </w:r>
          </w:p>
        </w:tc>
        <w:tc>
          <w:tcPr>
            <w:tcW w:w="0" w:type="dxa"/>
            <w:vAlign w:val="bottom"/>
          </w:tcPr>
          <w:p>
            <w:pPr>
              <w:spacing w:after="0"/>
              <w:rPr>
                <w:sz w:val="1"/>
                <w:szCs w:val="1"/>
                <w:color w:val="auto"/>
              </w:rPr>
            </w:pPr>
          </w:p>
        </w:tc>
      </w:tr>
      <w:tr>
        <w:trPr>
          <w:trHeight w:val="183"/>
        </w:trPr>
        <w:tc>
          <w:tcPr>
            <w:tcW w:w="75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5,702,459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5,445,439</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 (DEFICIT)</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14,517</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74,401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37,989</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compensation and related benefits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217,492</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265,250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192,233</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1,231,776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1,123,423</w:t>
            </w:r>
          </w:p>
        </w:tc>
        <w:tc>
          <w:tcPr>
            <w:tcW w:w="0" w:type="dxa"/>
            <w:vAlign w:val="bottom"/>
          </w:tcPr>
          <w:p>
            <w:pPr>
              <w:spacing w:after="0"/>
              <w:rPr>
                <w:sz w:val="1"/>
                <w:szCs w:val="1"/>
                <w:color w:val="auto"/>
              </w:rPr>
            </w:pPr>
          </w:p>
        </w:tc>
      </w:tr>
      <w:tr>
        <w:trPr>
          <w:trHeight w:val="212"/>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1,829,713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1,585,654</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6,202,286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4,510,816</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121,153</w:t>
            </w: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47,623</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115,827</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120,190</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8,356,999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6,385,436</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6 and Note 10)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 (deficit):</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(par value $0.01, 100,000,000 shares authorized, 0 shares issued)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Common stock (par value $0.01; 750,000,000 common shares authorized; 134,319,833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0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color w:val="auto"/>
              </w:rPr>
              <w:t>and 134,079,855 common shares issued and 73,563,183 and 77,744,588 common</w:t>
            </w: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13"/>
        </w:trPr>
        <w:tc>
          <w:tcPr>
            <w:tcW w:w="7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shares outstanding at December 31, 2025 and December 31, 2024, respectively)</w:t>
            </w: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Treasury shares, at cost (60,756,650 and 56,335,267 common shares held at December 31, 2025</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(9,834,442)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(7,334,291)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1,683,693</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5,427,600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4,780,300</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(71,040)</w:t>
            </w:r>
          </w:p>
        </w:tc>
        <w:tc>
          <w:tcPr>
            <w:tcW w:w="0" w:type="dxa"/>
            <w:vAlign w:val="bottom"/>
          </w:tcPr>
          <w:p>
            <w:pPr>
              <w:spacing w:after="0"/>
              <w:rPr>
                <w:sz w:val="1"/>
                <w:szCs w:val="1"/>
                <w:color w:val="auto"/>
              </w:rPr>
            </w:pPr>
          </w:p>
        </w:tc>
      </w:tr>
      <w:tr>
        <w:trPr>
          <w:trHeight w:val="212"/>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 (deficit)</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(2,654,540)</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(939,997)</w:t>
            </w:r>
          </w:p>
        </w:tc>
        <w:tc>
          <w:tcPr>
            <w:tcW w:w="0" w:type="dxa"/>
            <w:vAlign w:val="bottom"/>
          </w:tcPr>
          <w:p>
            <w:pPr>
              <w:spacing w:after="0"/>
              <w:rPr>
                <w:sz w:val="1"/>
                <w:szCs w:val="1"/>
                <w:color w:val="auto"/>
              </w:rPr>
            </w:pPr>
          </w:p>
        </w:tc>
      </w:tr>
      <w:tr>
        <w:trPr>
          <w:trHeight w:val="210"/>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5,702,459</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5,445,439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3,134,459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446,581</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276,204</w:t>
            </w: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132,121</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153,967</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0" w:type="dxa"/>
            <w:vAlign w:val="bottom"/>
          </w:tcPr>
          <w:p>
            <w:pPr>
              <w:spacing w:after="0"/>
              <w:rPr>
                <w:sz w:val="1"/>
                <w:szCs w:val="1"/>
                <w:color w:val="auto"/>
              </w:rPr>
            </w:pPr>
          </w:p>
        </w:tc>
      </w:tr>
      <w:tr>
        <w:trPr>
          <w:trHeight w:val="175"/>
        </w:trPr>
        <w:tc>
          <w:tcPr>
            <w:tcW w:w="6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 property, equipment and</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1,144,311</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1,713,567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1,384,609</w:t>
            </w: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186,679</w:t>
            </w: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remeasurement of equity method investment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(143,029)</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1,369,061</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220,469</w:t>
            </w:r>
          </w:p>
        </w:tc>
        <w:tc>
          <w:tcPr>
            <w:tcW w:w="0" w:type="dxa"/>
            <w:vAlign w:val="bottom"/>
          </w:tcPr>
          <w:p>
            <w:pPr>
              <w:spacing w:after="0"/>
              <w:rPr>
                <w:sz w:val="1"/>
                <w:szCs w:val="1"/>
                <w:color w:val="auto"/>
              </w:rPr>
            </w:pPr>
          </w:p>
        </w:tc>
      </w:tr>
      <w:tr>
        <w:trPr>
          <w:trHeight w:val="221"/>
        </w:trPr>
        <w:tc>
          <w:tcPr>
            <w:tcW w:w="604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5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1,202,305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1,109,128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1,148,592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1,148,592</w:t>
            </w: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effect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other post-retirement adjustments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effect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other post-retirement adjustments, net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1,147,451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8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3"/>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7"/>
                <w:szCs w:val="17"/>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(5,938,116)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1,515,874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3,473,192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(60,211)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(1,007,925)</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1,148,592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1,148,592</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declared ($5.52 per common share)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(442,103)</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 paid in shares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Shares withheld for tax withholding</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(45,469)</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issued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Compensation payable in common stock</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71,644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71,644</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repurchased and held in treasury</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(462,693)</w:t>
            </w:r>
          </w:p>
        </w:tc>
      </w:tr>
      <w:tr>
        <w:trPr>
          <w:trHeight w:val="122"/>
        </w:trPr>
        <w:tc>
          <w:tcPr>
            <w:tcW w:w="370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Common stock issued to Directors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83"/>
        </w:trPr>
        <w:tc>
          <w:tcPr>
            <w:tcW w:w="3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(held in)/released from treasury</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257"/>
        </w:trPr>
        <w:tc>
          <w:tcPr>
            <w:tcW w:w="3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4"/>
                <w:szCs w:val="14"/>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(6,447,101)</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1,587,670</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4,179,681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(61,352)</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(739,764)</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1,109,128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1,109,128</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 declared ($6.40 per common share)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(508,509)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(508,509)</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paid in shares</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(9,688)</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withheld for tax withholding</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(71,116)</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issued</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payable in common stock</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95,867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95,867</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repurchased and held in treasury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(817,366)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(817,366)</w:t>
            </w:r>
          </w:p>
        </w:tc>
      </w:tr>
      <w:tr>
        <w:trPr>
          <w:trHeight w:val="127"/>
        </w:trPr>
        <w:tc>
          <w:tcPr>
            <w:tcW w:w="37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Common stock issued to Directors and</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82"/>
        </w:trPr>
        <w:tc>
          <w:tcPr>
            <w:tcW w:w="3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(held in)/released from treasury</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257"/>
        </w:trPr>
        <w:tc>
          <w:tcPr>
            <w:tcW w:w="3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75"/>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(7,334,291)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1,683,693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4,780,300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(939,997)</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1,202,305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1,202,305</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Dividends declared ($7.20 per common share)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(555,005)</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Dividends paid in shares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19,471</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Shares withheld for tax withholding</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(58,603)</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issued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6,975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6,975</w:t>
            </w:r>
          </w:p>
        </w:tc>
      </w:tr>
      <w:tr>
        <w:trPr>
          <w:trHeight w:val="18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payable in common stock</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111,778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111,778</w:t>
            </w:r>
          </w:p>
        </w:tc>
      </w:tr>
      <w:tr>
        <w:trPr>
          <w:trHeight w:val="170"/>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repurchased and held in treasury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(2,441,877)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(2,441,877)</w:t>
            </w:r>
          </w:p>
        </w:tc>
      </w:tr>
      <w:tr>
        <w:trPr>
          <w:trHeight w:val="127"/>
        </w:trPr>
        <w:tc>
          <w:tcPr>
            <w:tcW w:w="37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Common stock issued to Directors and</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89"/>
        </w:trPr>
        <w:tc>
          <w:tcPr>
            <w:tcW w:w="3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(held in)/released from treasury</w:t>
            </w: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9"/>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(9,834,442)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1,802,528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5,427,600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(51,569)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(2,654,540)</w:t>
            </w: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8"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Years Ended</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22"/>
        </w:trPr>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26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80" w:type="dxa"/>
            <w:vAlign w:val="bottom"/>
          </w:tcPr>
          <w:p>
            <w:pPr>
              <w:spacing w:after="0"/>
              <w:rPr>
                <w:sz w:val="10"/>
                <w:szCs w:val="10"/>
                <w:color w:val="auto"/>
              </w:rPr>
            </w:pPr>
          </w:p>
        </w:tc>
        <w:tc>
          <w:tcPr>
            <w:tcW w:w="1160" w:type="dxa"/>
            <w:vAlign w:val="bottom"/>
          </w:tcPr>
          <w:p>
            <w:pPr>
              <w:jc w:val="right"/>
              <w:ind w:right="237"/>
              <w:spacing w:after="0" w:line="122"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3"/>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5"/>
                <w:szCs w:val="15"/>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5"/>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170"/>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1,202,305</w:t>
            </w:r>
          </w:p>
        </w:tc>
        <w:tc>
          <w:tcPr>
            <w:tcW w:w="10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1,109,128</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1,148,592</w:t>
            </w:r>
          </w:p>
        </w:tc>
      </w:tr>
      <w:tr>
        <w:trPr>
          <w:trHeight w:val="181"/>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Gain on remeasurement of equity method investment</w:t>
            </w:r>
          </w:p>
        </w:tc>
        <w:tc>
          <w:tcPr>
            <w:tcW w:w="20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(143,029)</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114,429</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71,653</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 of property, equipment and leasehold improvements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21,009</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Amortization of right of use assets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23,781</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impairment of right of use assets, net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Amortization of debt origination fees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Loss on investment in investee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taxes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(15,258)</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adjustments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6,863</w:t>
            </w:r>
          </w:p>
        </w:tc>
      </w:tr>
      <w:tr>
        <w:trPr>
          <w:trHeight w:val="181"/>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(149,529)</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income taxes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(21,931)</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Prepaid and other assets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(8,102)</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 payable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14,721</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Accrued compensation and related benefits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23,218</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171,968</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(24,062)</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(6,538)</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w:t>
            </w:r>
          </w:p>
        </w:tc>
      </w:tr>
      <w:tr>
        <w:trPr>
          <w:trHeight w:val="163"/>
        </w:trPr>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1,588,446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1,501,627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1,236,029</w:t>
            </w:r>
          </w:p>
        </w:tc>
      </w:tr>
      <w:tr>
        <w:trPr>
          <w:trHeight w:val="148"/>
        </w:trPr>
        <w:tc>
          <w:tcPr>
            <w:tcW w:w="6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1"/>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 of a business, net of cash acquired</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(727,342)</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Capital expenditures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(22,757)</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(68,094)</w:t>
            </w:r>
          </w:p>
        </w:tc>
      </w:tr>
      <w:tr>
        <w:trPr>
          <w:trHeight w:val="170"/>
        </w:trPr>
        <w:tc>
          <w:tcPr>
            <w:tcW w:w="6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(1,185)</w:t>
            </w:r>
          </w:p>
        </w:tc>
      </w:tr>
      <w:tr>
        <w:trPr>
          <w:trHeight w:val="169"/>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(130,064)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(144,255)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(819,378)</w:t>
            </w:r>
          </w:p>
        </w:tc>
      </w:tr>
      <w:tr>
        <w:trPr>
          <w:trHeight w:val="148"/>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Repurchase of common stock held in treasury</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(2,484,305)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(885,266)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(504,188)</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 of dividends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(556,521)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(440,993)</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Repayment of borrowings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(1,101,875)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Proceeds from borrowings, net of discount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2,805,963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556,875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Payment of contingent consideration and deferred purchase price from acquisitions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6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(1,361,990)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(1,402,308)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(953,931)</w:t>
            </w:r>
          </w:p>
        </w:tc>
      </w:tr>
      <w:tr>
        <w:trPr>
          <w:trHeight w:val="148"/>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changes</w:t>
            </w: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5,409</w:t>
            </w:r>
          </w:p>
        </w:tc>
      </w:tr>
      <w:tr>
        <w:trPr>
          <w:trHeight w:val="147"/>
        </w:trPr>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(531,871)</w:t>
            </w:r>
          </w:p>
        </w:tc>
      </w:tr>
      <w:tr>
        <w:trPr>
          <w:trHeight w:val="171"/>
        </w:trPr>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409,351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461,693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993,564</w:t>
            </w:r>
          </w:p>
        </w:tc>
      </w:tr>
      <w:tr>
        <w:trPr>
          <w:trHeight w:val="172"/>
        </w:trPr>
        <w:tc>
          <w:tcPr>
            <w:tcW w:w="6100" w:type="dxa"/>
            <w:vAlign w:val="bottom"/>
            <w:tcBorders>
              <w:bottom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 and restricted cash, end of period</w:t>
            </w:r>
          </w:p>
        </w:tc>
        <w:tc>
          <w:tcPr>
            <w:tcW w:w="200" w:type="dxa"/>
            <w:vAlign w:val="bottom"/>
            <w:tcBorders>
              <w:bottom w:val="single" w:sz="8" w:color="auto"/>
            </w:tcBorders>
            <w:shd w:val="clear" w:color="auto" w:fill="CCEEFF"/>
          </w:tcPr>
          <w:p>
            <w:pPr>
              <w:jc w:val="right"/>
              <w:ind w:right="5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515,332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409,351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461,693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7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5"/>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179,952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182,313</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5"/>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income taxes, net of refunds received</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201,028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240,479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75"/>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 of non-cash investing activities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Property, equipment and leasehold improvements in other accrued liabilities</w:t>
            </w: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2,738</w:t>
            </w:r>
          </w:p>
        </w:tc>
      </w:tr>
      <w:tr>
        <w:trPr>
          <w:trHeight w:val="20"/>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0800"/>
          </w:cols>
          <w:pgMar w:left="320" w:top="121" w:right="7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ind w:right="6840" w:firstLine="8"/>
        <w:spacing w:after="0" w:line="378" w:lineRule="auto"/>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AND BASIS OF PRESENTATION Organization</w:t>
      </w:r>
    </w:p>
    <w:p>
      <w:pPr>
        <w:jc w:val="both"/>
        <w:ind w:right="680" w:firstLine="648"/>
        <w:spacing w:after="0" w:line="266" w:lineRule="auto"/>
        <w:rPr>
          <w:sz w:val="20"/>
          <w:szCs w:val="20"/>
          <w:color w:val="auto"/>
        </w:rPr>
      </w:pPr>
      <w:r>
        <w:rPr>
          <w:rFonts w:ascii="Times New Roman" w:cs="Times New Roman" w:eastAsia="Times New Roman" w:hAnsi="Times New Roman"/>
          <w:sz w:val="18"/>
          <w:szCs w:val="18"/>
          <w:color w:val="auto"/>
        </w:rPr>
        <w:t>Our research-based data, analytics and indexes, supported by advanced technology, set standards for global investors and help our clients understand risks and opportunities, make better investment decisions and unlock innovation. Our products and services include indexes; portfolio construction and risk management tools; sustainability and climate solutions; and private asset data and analytics.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2025, we renamed our “ESG and Climate” operating and reportable segment to “Sustainability and Climate” to reflect the breadth of our product offerings. There were no changes to the composition of our operating or reportable segments, the financial information reviewed by our chief operating decision maker (“CODM”), or our historical segment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to financial statements, which include the accounts of MSCI Inc. and its wholly owned subsidiaries, are prepared in accordance with accounting principles generally accepted in the United States of America (“GAAP”). Certain prior period amounts have been reclassified to conform to the current period presentation.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October 2, 2023, the Company acquired the remaining 66.4% interest in The Burgiss Group, LLC (“Burgiss”) for $696.8 million in cash. Prior to the acquisition, Burgiss was a related party and its results were included in the Company’s Burgiss operating segment as an equity method investment based on the Company’s 33.6% ownership. The Company’s existing 33.6% interest had a fair value of $353.2 million at the date of acquisition. This resulted in a non-taxable, one-time gain on the remeasurement of our equity method investment in Burgiss of $143.0 million in the fourth quarter of 2023. During the year ended December 31, 2023, the Company renamed the Burgiss operating segment to Private Capital Solutions. Burgiss’ consolidated results were included in the Company’s All Other – Private Assets category following the acquisition.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Statements and Use of Estimates</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makes certain estimates and judgments that can affect the reported amounts of assets and liabilities as of the date of the consolidated financial statements, as well as the reported amounts of operating revenues and expenses during the periods presented. Significant estimates and judgments made by management include such examples as assessment of impairment of goodwill and intangible assets and income taxes. The Company believes that estimates used in the preparation of these consolidated financial statements are reasonable; however, actual results could differ materially from these estimates. Inter-company balances and transactions are eliminated in consolidation.</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 and Transaction Price</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revenues for products and services when performance obligations are satisfied. For revenue arrangements containing multiple products or services, the Company accounts for the individual products or services as a separate performance obligation if they are distinct. A product or service is distinct if a client can benefit from it either on its own or together with other resources that are readily available to the client, and the Company’s promise to transfer the product or service to the client is separately identifiable from other promises in the contract. If both criteria are not met, the promised products or services are accounted for as a combined performance obligation.</w:t>
      </w:r>
    </w:p>
    <w:p>
      <w:pPr>
        <w:spacing w:after="0" w:line="183"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an entity expects to be entitled in exchange for transferring products or services to the client. The Company allocates the transaction price to each performance obligation identified in the contract based on the best estimate of a relative standalone selling price of each distinct product or service in the contract. To allocate the transaction price to each performance obligation on a relative standalone selling price basis, at contract inception the Company determines the standalone selling prices of the distinct products or services underlying each performance obligation in proportion to the total transaction price. This standalone selling price may be the contract price but is more often than not the best estimate of the price the Company would receive for selling the product or service separately in similar circumstances and to other similar customers.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 client can receive a discount for purchasing a bundle of products or services if the sum of the standalone selling price of those promised products or services in the contract exceeds the promised consideration in the contract.</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services where the transaction price is variable such as based upon assets under management (“AUM”), volume of trades or fee levels, the transaction price is based upon pricing models and is not allocated at the inception of the contract but rather falls within the sales and usage-based royalty exception under which the price and associated revenue are based upon actual known performance or best estimates of actual performance during the performance period.</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a client obtains control of promised products or services in an amount that reflects the consideration the entity expects to receive in exchange for those products or services. Determining when control has transferred can sometimes require management’s judgment, which could affect the timing of revenue recognition. Revenue is recognized exclusive of any applicable sales or other indirect taxes.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Revenues are characterized by type, which broadly reflects the nature of how they are recognized or earned. Our revenue types are recurring subscriptions, asset-based fees and non-recurring revenues. We also group our revenues by segment.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Revenues By Type</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Recurring subscription revenues represent fees earned from clients primarily under renewable contracts or agreements and are generally paid annually in advance and recognized in most cases ratably over the term of the license or service pursuant to the contract terms.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Asset-based fees are principally recognized based on the estimated AUM linked to our indexes from independent third-party sources or the most recently reported information provided by the client. Asset-based fees also include revenues related to futures and options contracts linked to our indexes, which are primarily based on trading volumes and fee levels. Asset-based fees are generally variable based upon AUM or the volume of trades or fee levels and are generally billed quarterly in arrears.</w:t>
      </w:r>
    </w:p>
    <w:p>
      <w:pPr>
        <w:spacing w:after="0" w:line="180"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Non-recurring revenues primarily represent fees earned on products and services where we typically do not have renewal clauses within the contract. Examples of such products and services include one-time license fees, certain derivative financial products, certain implementation services, historical data sets and, occasionally, fees for unlicensed usage of our content in historical periods. Based on the nature of the services provided, non-recurring revenues are generally billed either in advance or after delivery and recognized point in time or over the service period.</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Revenues By Segment and All Other – Private Assets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Index segment operating revenues consist of fees earned primarily for licenses of index data subscriptions, performance obligations to deliver the data are satisfied over time and, accordingly, revenue is recognized ratably over the term of the agreement pursuant to the contract terms. With respect to licenses to create indexed investment products, such as exchange-traded funds (“ETFs”), passively managed funds, or licenses which allow certain exchanges to use MSCI’s indexes as the basis for futures and options contracts, MSCI’s performance obligation allows customers to use the Company’s intellectual property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indexes) as the basis of the funds or other investment products the customers create over the term of the agreement. The fees earned for these rights are typically variable, in which case they are accrued under the sales and usage-based royalty exception pursuant to the level of performance achieved, which is primarily measured based on AUM, volume of trades or fee levels. The level of performance achieved is based on information obtained from independent third-party sources or best estimates taking into account the most recently reported information from the client.</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Analytics segment operating revenues are recognized as MSCI satisfies performance obligations, through providing access to its proprietary models or hosted applications and, in some cases, managed services including implementation and other related services. These performance obligations are typically satisfied over time, and operating revenues are recognized ratably over the term of the service period.</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Sustainability and Climate segment operating revenues are recognized as MSCI’s performance obligations to provide data to or update data for clients are satisfied. The majority of these performance obligations are satisfied over the term of the license period, with operating revenues recognized ratably. For custom Sustainability research data, the performance obligation is typically satisfied, and revenue is recognized, at the point in time when the data is updated and available to the client.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All Other – Private Assets operating revenues are recognized as MSCI's performance obligations to provide analysis, insights and data to clients are satisfied. The majority of these performance obligations are satisfied over the term of the license period, with operating revenues recognized ratably.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employees have received share-based compensation under various compensation programs. The Company’s compensation expense reflects the fair value method of accounting for share-based payments under ASC Subtopic 718-10,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80" w:firstLine="648"/>
        <w:spacing w:after="0" w:line="312" w:lineRule="auto"/>
        <w:rPr>
          <w:sz w:val="20"/>
          <w:szCs w:val="20"/>
          <w:color w:val="auto"/>
        </w:rPr>
      </w:pPr>
      <w:r>
        <w:rPr>
          <w:rFonts w:ascii="Times New Roman" w:cs="Times New Roman" w:eastAsia="Times New Roman" w:hAnsi="Times New Roman"/>
          <w:sz w:val="17"/>
          <w:szCs w:val="17"/>
          <w:color w:val="auto"/>
        </w:rPr>
        <w:t>Stock-based compensation awards include restricted stock units (“RSUs”), performance stock units (“PSUs”), performance stock options (“PSOs”) and premium priced options (“PPOs”). PPOs are stock options with an exercise price set above MSCI’s market price on the grant date.</w:t>
      </w:r>
    </w:p>
    <w:p>
      <w:pPr>
        <w:spacing w:after="0" w:line="1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RSUs at grant date is measured using the price of MSCI’s common stock. PSUs are subject to market conditions based on the achievement of multi-year total shareholder return targets and PSOs are subject to performance conditions based on the cumulative results of financial targets. The fair value of PSUs at grant date is determined using a Monte Carlo simulation model that creates a normal distribution of future stock prices, which is then used to value the awards based on their individual terms. The fair value of PSOs at grant date is determined using the Black-Scholes option pricing model. For PSOs, the grant-date fair value is adjusted for any changes in the probability of achievement of (i) a cumulative revenue performance goal and (ii) a cumulative adjusted EPS performance goal (each weighted at 50%). The fair value of PPOs at grant date is determined using a lattice model. A lattice model derives the expected term based on an assumption that the likelihood of exercise will increase when the share price reaches a defined multiple of the strike price.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Company accounts for research and development costs in accordance with several accounting pronouncements, including ASC Subtopic 730-10, “</w:t>
      </w: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ASC Subtopic 730-10 requires that research and development costs generally be expensed as incurred. The majority of the Company’s research and development costs are incurred in developing, reviewing and enhancing the methodologies and data models offered within its product portfolio by monitoring investment trends and drivers globally, as well as analyzing product-specific needs in areas such as capitalization-weighted, factor and specialized indexes, and instrument valuation, risk modeling, portfolio construction, asset allocation and value-at-risk simulation.</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w:t>
      </w:r>
    </w:p>
    <w:p>
      <w:pPr>
        <w:spacing w:after="0" w:line="1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The Company applies the provisions of ASC Subtopic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and accounts for the cost of computer software developed for internal use by capitalizing qualifying costs, which are substantially incurred during the application development stage. The amounts capitalized primarily relate to internally developed software used to provide services to customers and are included in Intangible Assets on the Consolidated Statement of Financial Condition and include external direct costs of services used in developing internal-use software and payroll and payroll-related costs of employees directly associated with the development activities. Additionally, costs incurred relating to upgrades and enhancements to the software are capitalized if it is determined that these upgrades or enhancements provide additional functionality to the software.</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are typically amortized on a straight-line basis over the estimated useful life of the related product, which is typically three to five years, beginning with the date the software is placed into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incurred in the preliminary and post-implementation stages of MSCI’s products are expensed as incurred.</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The Company elects to account for Global Intangible Low-Taxed Income (“GILTI”) in the year the tax is incurred. The Company recognizes interest and penalties related to income tax matters within “Provision for income taxes” in the Consolidated Statement of Income.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evaluates the likelihood of additional assessments in each of the taxing jurisdictions in which it is required to file income tax returns. The Company has recorded additional tax expense related to open tax years, which the Company’s management believes is adequate in relation to the potential for assessments. These amounts have been recorded in “Other non-current liabilities” on the Consolidated Statement of Financial Condition. The Company’s management believes the resolution of tax matters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will not have a material effect on the Company’s consolidated financial condition. However, to the extent the Company is required to pay amounts in excess of its reserves, a resolution could have a material impact on its Consolidated Statement of Income for a particular future period. In addition, an unfavorable tax settlement could require use of cash and result in an increase in the effective tax rate in the period in which such resolution occurs.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Deferred revenues represent both cash received and the amounts billed to clients for products and services in advance of satisfying performance obligations. Deferred revenue generally results in ratable recognition of operating revenues over the license or subscription period, as the performance obligations are satisfied.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clients generally pay subscription fees annually in advance. MSCI’s policy is to record to a receivable when a client is billed. For products and services that are provided in advance of billing, such as for our asset-based fee products, unbilled revenue is included in Accounts Receivable on the Company’s Consolidated Statement of Financial Condition.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an allowance for credit losses at the time invoices are sent to clients by applying an estimate of the uncollectable amount based on client profiles, credit considerations and historical write-offs. The Company does not require collateral from clients to mitigate credit risk.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allowance for credit losses from December 31, 2022 to December 31, 2025 were as follows:</w:t>
      </w:r>
    </w:p>
    <w:p>
      <w:pPr>
        <w:sectPr>
          <w:pgSz w:w="11900" w:h="16838" w:orient="portrait"/>
          <w:cols w:equalWidth="0" w:num="1">
            <w:col w:w="11220"/>
          </w:cols>
          <w:pgMar w:left="320" w:top="121" w:right="359" w:bottom="1440" w:gutter="0" w:footer="0" w:header="0"/>
        </w:sectPr>
      </w:pPr>
    </w:p>
    <w:p>
      <w:pPr>
        <w:spacing w:after="0" w:line="25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33655</wp:posOffset>
            </wp:positionV>
            <wp:extent cx="531495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14950" cy="154305"/>
                    </a:xfrm>
                    <a:prstGeom prst="rect">
                      <a:avLst/>
                    </a:prstGeom>
                    <a:noFill/>
                  </pic:spPr>
                </pic:pic>
              </a:graphicData>
            </a:graphic>
          </wp:anchor>
        </w:drawing>
      </w:r>
    </w:p>
    <w:p>
      <w:pPr>
        <w:spacing w:after="0" w:line="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Balance as of December 31, 2022</w:t>
      </w:r>
    </w:p>
    <w:p>
      <w:pPr>
        <w:spacing w:after="0" w:line="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Addition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24765</wp:posOffset>
            </wp:positionV>
            <wp:extent cx="531495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Addition to credit loss expense</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14950" cy="154305"/>
                    </a:xfrm>
                    <a:prstGeom prst="rect">
                      <a:avLst/>
                    </a:prstGeom>
                    <a:noFill/>
                  </pic:spPr>
                </pic:pic>
              </a:graphicData>
            </a:graphic>
          </wp:anchor>
        </w:drawing>
      </w:r>
    </w:p>
    <w:p>
      <w:pPr>
        <w:spacing w:after="0" w:line="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Balance as of December 31, 2024</w:t>
      </w:r>
    </w:p>
    <w:p>
      <w:pPr>
        <w:spacing w:after="0" w:line="3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Addition to credit loss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58"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172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9"/>
        </w:trPr>
        <w:tc>
          <w:tcPr>
            <w:tcW w:w="4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4"/>
        </w:trPr>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8"/>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30"/>
        </w:trPr>
        <w:tc>
          <w:tcPr>
            <w:tcW w:w="4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34"/>
        </w:trPr>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r>
      <w:tr>
        <w:trPr>
          <w:trHeight w:val="218"/>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r>
      <w:tr>
        <w:trPr>
          <w:trHeight w:val="230"/>
        </w:trPr>
        <w:tc>
          <w:tcPr>
            <w:tcW w:w="4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r>
      <w:tr>
        <w:trPr>
          <w:trHeight w:val="234"/>
        </w:trPr>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97" w:lineRule="exact"/>
        <w:rPr>
          <w:sz w:val="20"/>
          <w:szCs w:val="20"/>
          <w:color w:val="auto"/>
        </w:rPr>
      </w:pPr>
    </w:p>
    <w:p>
      <w:pPr>
        <w:sectPr>
          <w:pgSz w:w="11900" w:h="16838" w:orient="portrait"/>
          <w:cols w:equalWidth="0" w:num="2">
            <w:col w:w="6880" w:space="720"/>
            <w:col w:w="3620"/>
          </w:cols>
          <w:pgMar w:left="320" w:top="121" w:right="359" w:bottom="1440" w:gutter="0" w:footer="0" w:header="0"/>
          <w:type w:val="continuous"/>
        </w:sect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Goodwill is recorded as part of the Company’s acquisitions of businesses when the purchase price exceeds the fair value of the acquired net tangible and separately identifiable intangible assets. The Company’s goodwill is not amortized, but rather is subject to an impairment test each year, or more often if conditions indicate impairment may have occurred, pursuant to ASC Subtopic 350-10,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17"/>
          <w:szCs w:val="17"/>
          <w:color w:val="auto"/>
        </w:rPr>
        <w:t>The Company tests goodwill for impairment on an annual basis on July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7"/>
          <w:szCs w:val="17"/>
          <w:color w:val="auto"/>
        </w:rPr>
        <w:t xml:space="preserve"> and on an interim basis when certain events and circumstances exist. The test for impairment is performed at the reporting unit level. Goodwill impairment is determined by comparing the fair value of a reporting unit with its carrying value. If the estimated fair value exceeds the carrying value, goodwill at the reporting unit level is not deemed to be impaired. If the estimated fair value is below carrying value, an impairment charge will be recorded up to, but not more than, the total amount of goodwill allocated to the reporting unit.</w:t>
      </w:r>
    </w:p>
    <w:p>
      <w:pPr>
        <w:spacing w:after="0" w:line="21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as of July 1, 2025 on its Index, Analytics, Sustainability and Climate, Real Assets and Private Capital Solutions (“PCS”) reporting units, which were also the Company’s operating segments. See Note 13, “Segment Information,” for further descriptions of the operating segments.</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July 1, 2025, the Company had selected to bypass the optional qualitative assessment for the Real Assets and PCS reporting units. This decision was based on the relatively low excess of fair value over carrying value observed in the prior year’s analysis. Therefore, a quantitative goodwill impairment test was performed for both Real Assets and PCS. For the Index, Analytics, and Sustainability and Climate reporting units, the Company performed a qualitative assessment. The quantitative test for impairment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an equal weighting of the income approach and the market approach to estimate the fair value of the Real Assets and PCS reporting units.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results of the annual goodwill impairment testing performed and given there were no impairment triggers identified as part of interim assessments, no impairment of goodwill was recorded during the years ended December 31, 2025, 2024 and 2023.</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amortizes definite-lived intangible assets over their estimated useful lives. Definite-lived intangible assets are reviewed for impairment whenever events or changes in circumstances indicate that the carrying value of the asset may not be recoverable. The Company also reviews the useful lives on a periodic basis to determine if the period of economic benefit has changed. If the carrying value of an intangible asset exceeds its fair value, an impairment charge would be recognized in an amount equal to the amount by which the carrying value of the intangible asset exceeds its fair value. There were no events or changes in circumstances that would indicate that the carrying value of the definite-lived intangible assets may not be recoverable during the years ended December 31, 2025 and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indefinite-lived intangible assets other than goodwill during the years ended December 31, 2025 and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of operations having non-U.S. dollar functional currencies are translated at year-end exchange rates, and income statement accounts are translated at weighted average exchange rates for the year. Gains or losses resulting from translating foreign currency financial statements, net of any related tax effects, are reflected in accumulated other comprehensive loss, a separate component of shareholders’ equity (deficit). Gains or losses resulting from foreign currency transactions incurred in currencies other than the local functional currency are included in non-operating “Other expense (income)” on the Consolidated Statement of Income.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MSCI leases office space, data centers and certain equipment under non-cancellable operating lease agreements and determines if an arrangement is a lease at inception. The Company does not currently have any financing lease arrangements.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Right of use assets represent the Company’s right to use an underlying asset for the lease term and lease liabilities represent the Company’s obligation to make lease payments arising from the lease. Right of use assets are recognized on the commencement date based on the present value of lease payments over the lease term adjusted for initial direct costs and lease incentives received or deemed probable of being received. MSCI uses its incremental borrowing rate based on the information available on the commencement date of the lease in determining the present value of lease payments. The lease terms include options to extend or terminate the lease when it is reasonably certain that the Company will exercise that option.</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Right of use assets and associated leasehold improvements are tested for impairment when there is a trigger for impairment testing at the appropriate asset group level. When a trigger exists, the asset group is tested for recoverability by comparing the estimated undiscounted cash flows to the asset group’s carrying value. If the asset group fails the recoverability test, the Company will measure impairment loss as the difference between the fair value and carrying value of the asset group.</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Lease expense is recognized on a straight-line basis over the lease term and is included in “Operating expenses” in the Consolidated Statement of Income. In situations where a right of use asset has been impaired, the subsequent amortization of the right of use asset is then recorded on a straight-line basis over the remaining lease term and is combined with accretion expense on the lease liability to result in single operating lease cost.</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Some of the Company’s lease agreements include rental payments adjusted periodically for inflation which are accounted for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 The Company also subleases a small portion of its leased office space to third parties and thereby applies sublessor accounting. Sublease income is presented in “Operating expenses” as an offset.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Property, equipment and leasehold improvements are stated at cost less accumulated depreciation and amortization. Depreciation and amortization of furniture and fixtures, and computer and communications equipment are accounted for using the straight-line method over the estimated useful life, and for leasehold improvements, over the shorter of the estimated useful life or the lease term.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holds repurchased shares of common stock as treasury stock. The Company accounts for treasury stock under the cost method and includes treasury stock as a component of shareholders’ equity (deficit).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employee incentive compensation programs are discretionary. The Company makes estimates in determining its accrued compensation and benefits expenses. Accrued cash incentive estimates reflect an assessment of performance versus targets and other key performance indicators at the Company, operating segment and employee level. The Company also reviews compensation and benefits expenses throughout the year to determine how overall performance compares to management’s expectations. These and other factors, including historical performance, are taken into account in accruing discretionary cash compensation estimates quarterly.</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BlackRock, Inc. accounted for 10.8%, 10.2%, and 9.8% of the Company’s consolidated operating revenues, respectively. For the years ended December 31, 2025, 2024 and 2023, BlackRock, Inc. accounted for 18.7%, 17.9% and 16.8% of the Index segment’s operating revenues, respectively. No single customer accounted for 10.0% or more of operating revenues within Analytics, Sustainability and Climate or All Other – Private Assets for the years ended December 31, 2025, 2024 and 2023.</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ordinary bank deposits and highly liquid investments with original maturities of three months or less that consist primarily of money market funds with unrestricted daily liquidity and fixed term time deposits.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Restricted cash primarily relates to security deposits for certain operating leases that are legally restricted and unavailable for our general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Improvements to Reportable Segment Disclosures,” or ASU 2023-07. The amendments in ASU 2023-07 aim to improve reportable segment disclosure requirements, primarily through enhanced disclosures about significant segment expenses. ASU 2023-07 was adopted by the Company and is effective for the Company’s Annual Report on Form 10-K for the year ended December 31, 2024, and subsequent interim periods. The adoption of ASU 2023-07 expanded certain disclosures but did not have a material impact on our consolidated financial statements.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“Income Taxes (Topic 740): Improvements to Income Tax Disclosures,” or ASU 2023-09. The amendments in ASU 2023-09 aim to enhance the transparency and decision usefulness of income tax disclosures. ASU 2023-09 was adopted by the Company and is effective for the Company’s Annual Report on Form 10-K for the year ended December 31, 2025. The retrospective adoption of ASU 2023-09 expanded our disclosures but did not have a material impact on our consolidated financial statements.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Statement—Reporting Comprehensive Income— Expense Disaggregation Disclosures (Subtopic 220-40)” or ASU 2024-03. The amendments in ASU 2024-03 require additional disclosure of the nature of expenses included in the income statement as well as disclosures about specific types of expenses included in the expense captions presented in the income statement. ASU 2024-03 is effective for the Company’s Annual Report on Form 10-K for the year ended December 31, 2027 and interim period reporting beginning in fiscal 2028 on a</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prospective basis. The Company is currently evaluating the impact that the adoption of this standard will have on its consolidated financial statements.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Accounting Standards Update No. 2025-05 “Financial Instruments—Credit Losses (Topic 326)” or ASU 2025-05. The amendments in ASU 2025-05 permit entities to elect a practical expedient when estimating expected credit losses on accounts receivable and contract assets. Under this election, entities may assume that current conditions as of the balance sheet date do not change for the remaining life of accounts receivable and contract assets when developing forecasts as part of estimating expected credit losses. ASU 2025-05 is effective for the Company’s Annual Report on Form 10-K for the year ended December 31, 2026 and interim period reporting beginning in 2026 on a prospective basis. The Company is currently evaluating the impact that adoption of this standard will have on its consolidated financial statements.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“Intangibles—Goodwill and Other—Internal-Use Software (Subtopic 350-40)” or ASU 2025-06. The amendments in ASU 2025-06 remove references to prescriptive and sequential software development stages. The amendments also require entities to begin capitalizing software costs when management has authorized and committed to funding the software project and it is probable that the project will be completed and the software will be used as intended. ASU 2025-06 is effective for the Company’s Annual Report on Form 10-K for the year ended December 31, 2028 and interim period reporting beginning in 2028, with early adoption permitted as of the beginning of a fiscal year. The amendments can be applied prospectively, retrospectively, or on a modified prospective transition method. The Company is currently evaluating the impact that the adoption of this standard will have on its consolidated financial statements.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Accounting Standards Update No. 2025-09 “Derivatives and Hedging (Topic 815)” or ASU 2025-09. The amendments in ASU 2025-09 clarify aspects of the guidance on hedge accounting and address incremental hedge accounting issues arising from the global reference rate reform initiative. ASU 2025-09 is effective for the Company’s Annual Report on Form 10-K and interim periods for the year ended December 31, 2027, with early adoption permitted. The amendments must be applied prospectively. The Company is currently evaluating the impact that the adoption of this standard will have on its consolidated financial statements.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Accounting Standards Update No. 2025-11 “Interim Reporting (Topic 270)” or ASU 2025-11. The amendments in ASU 2025-11 improve guidance in Topic 270 and clarify disclosure requirements for interim reporting periods without changing the fundamental nature of interim reporting. ASU 2025-11 is effective for the Company’s interim reporting periods for the year ended December 31, 2028, with early adoption permitted. The amendments can be applied prospectively or retrospectively to any or all prior periods presented in the financial statements. The Company is currently evaluating the impact that the adoption of this standard will have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MSCI’s operating revenues are reported by product type and each product type may have different timing for recognizing revenue. The Company’s operating revenue types are recurring subscriptions, asset-based fees and non-recurring revenues. The Company also disaggregates operating revenues by segment.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that follow present the disaggregated operating revenues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6"/>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4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Analytics</w:t>
            </w:r>
          </w:p>
        </w:tc>
        <w:tc>
          <w:tcPr>
            <w:tcW w:w="100" w:type="dxa"/>
            <w:vAlign w:val="bottom"/>
          </w:tcPr>
          <w:p>
            <w:pPr>
              <w:spacing w:after="0"/>
              <w:rPr>
                <w:sz w:val="11"/>
                <w:szCs w:val="11"/>
                <w:color w:val="auto"/>
              </w:rPr>
            </w:pPr>
          </w:p>
        </w:tc>
        <w:tc>
          <w:tcPr>
            <w:tcW w:w="124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Sustainability and</w:t>
            </w:r>
          </w:p>
        </w:tc>
        <w:tc>
          <w:tcPr>
            <w:tcW w:w="100" w:type="dxa"/>
            <w:vAlign w:val="bottom"/>
          </w:tcPr>
          <w:p>
            <w:pPr>
              <w:spacing w:after="0"/>
              <w:rPr>
                <w:sz w:val="11"/>
                <w:szCs w:val="11"/>
                <w:color w:val="auto"/>
              </w:rPr>
            </w:pPr>
          </w:p>
        </w:tc>
        <w:tc>
          <w:tcPr>
            <w:tcW w:w="13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All Other – Private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Climate</w:t>
            </w:r>
          </w:p>
        </w:tc>
        <w:tc>
          <w:tcPr>
            <w:tcW w:w="460" w:type="dxa"/>
            <w:vAlign w:val="bottom"/>
          </w:tcPr>
          <w:p>
            <w:pPr>
              <w:spacing w:after="0"/>
              <w:rPr>
                <w:sz w:val="16"/>
                <w:szCs w:val="16"/>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 Types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 subscriptions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697,488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346,401</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2,278,704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Asset-based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770,670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Non-recurring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3,134,459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6"/>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4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Analytics</w:t>
            </w:r>
          </w:p>
        </w:tc>
        <w:tc>
          <w:tcPr>
            <w:tcW w:w="100" w:type="dxa"/>
            <w:vAlign w:val="bottom"/>
          </w:tcPr>
          <w:p>
            <w:pPr>
              <w:spacing w:after="0"/>
              <w:rPr>
                <w:sz w:val="11"/>
                <w:szCs w:val="11"/>
                <w:color w:val="auto"/>
              </w:rPr>
            </w:pPr>
          </w:p>
        </w:tc>
        <w:tc>
          <w:tcPr>
            <w:tcW w:w="124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Sustainability and</w:t>
            </w:r>
          </w:p>
        </w:tc>
        <w:tc>
          <w:tcPr>
            <w:tcW w:w="100" w:type="dxa"/>
            <w:vAlign w:val="bottom"/>
          </w:tcPr>
          <w:p>
            <w:pPr>
              <w:spacing w:after="0"/>
              <w:rPr>
                <w:sz w:val="11"/>
                <w:szCs w:val="11"/>
                <w:color w:val="auto"/>
              </w:rPr>
            </w:pPr>
          </w:p>
        </w:tc>
        <w:tc>
          <w:tcPr>
            <w:tcW w:w="13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All Other – Private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Climate</w:t>
            </w:r>
          </w:p>
        </w:tc>
        <w:tc>
          <w:tcPr>
            <w:tcW w:w="460" w:type="dxa"/>
            <w:vAlign w:val="bottom"/>
          </w:tcPr>
          <w:p>
            <w:pPr>
              <w:spacing w:after="0"/>
              <w:rPr>
                <w:sz w:val="16"/>
                <w:szCs w:val="16"/>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 Types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 subscriptions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658,610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318,835</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2,114,445</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Asset-based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657,501</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Non-recurring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84,182</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2,856,128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6"/>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4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Analytics</w:t>
            </w:r>
          </w:p>
        </w:tc>
        <w:tc>
          <w:tcPr>
            <w:tcW w:w="100" w:type="dxa"/>
            <w:vAlign w:val="bottom"/>
          </w:tcPr>
          <w:p>
            <w:pPr>
              <w:spacing w:after="0"/>
              <w:rPr>
                <w:sz w:val="11"/>
                <w:szCs w:val="11"/>
                <w:color w:val="auto"/>
              </w:rPr>
            </w:pPr>
          </w:p>
        </w:tc>
        <w:tc>
          <w:tcPr>
            <w:tcW w:w="124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Sustainability and</w:t>
            </w:r>
          </w:p>
        </w:tc>
        <w:tc>
          <w:tcPr>
            <w:tcW w:w="10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All Other – Private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Climate</w:t>
            </w:r>
          </w:p>
        </w:tc>
        <w:tc>
          <w:tcPr>
            <w:tcW w:w="460" w:type="dxa"/>
            <w:vAlign w:val="bottom"/>
          </w:tcPr>
          <w:p>
            <w:pPr>
              <w:spacing w:after="0"/>
              <w:rPr>
                <w:sz w:val="17"/>
                <w:szCs w:val="17"/>
                <w:color w:val="auto"/>
              </w:rPr>
            </w:pPr>
          </w:p>
        </w:tc>
        <w:tc>
          <w:tcPr>
            <w:tcW w:w="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 Types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 subscriptions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603,291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282,351</w:t>
            </w:r>
          </w:p>
        </w:tc>
        <w:tc>
          <w:tcPr>
            <w:tcW w:w="10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1,871,290</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Asset-based fees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557,502</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Non-recurring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100,128</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2,528,920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that follow present the change in accounts receivable, net of allowances and current deferred revenue between the dates indicated:</w:t>
      </w:r>
    </w:p>
    <w:p>
      <w:pPr>
        <w:spacing w:after="0" w:line="24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80" w:type="dxa"/>
            <w:vAlign w:val="bottom"/>
          </w:tcPr>
          <w:p>
            <w:pPr>
              <w:jc w:val="center"/>
              <w:ind w:left="2208"/>
              <w:spacing w:after="0"/>
              <w:rPr>
                <w:sz w:val="20"/>
                <w:szCs w:val="20"/>
                <w:color w:val="auto"/>
              </w:rPr>
            </w:pPr>
            <w:r>
              <w:rPr>
                <w:rFonts w:ascii="Times New Roman" w:cs="Times New Roman" w:eastAsia="Times New Roman" w:hAnsi="Times New Roman"/>
                <w:sz w:val="14"/>
                <w:szCs w:val="14"/>
                <w:b w:val="1"/>
                <w:bCs w:val="1"/>
                <w:color w:val="auto"/>
              </w:rPr>
              <w:t>Accounts receivable, net of</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4880" w:type="dxa"/>
            <w:vAlign w:val="bottom"/>
          </w:tcPr>
          <w:p>
            <w:pPr>
              <w:jc w:val="center"/>
              <w:ind w:left="2228"/>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(December 31, 2024)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820,709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1,123,423</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Closing (December 31, 2025)</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986,712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1,231,776</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166,003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Accounts receivable, net of</w:t>
            </w:r>
          </w:p>
        </w:tc>
        <w:tc>
          <w:tcPr>
            <w:tcW w:w="340" w:type="dxa"/>
            <w:vAlign w:val="bottom"/>
          </w:tcPr>
          <w:p>
            <w:pPr>
              <w:spacing w:after="0"/>
              <w:rPr>
                <w:sz w:val="24"/>
                <w:szCs w:val="24"/>
                <w:color w:val="auto"/>
              </w:rPr>
            </w:pPr>
          </w:p>
        </w:tc>
        <w:tc>
          <w:tcPr>
            <w:tcW w:w="18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95"/>
        </w:trPr>
        <w:tc>
          <w:tcPr>
            <w:tcW w:w="6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3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839,555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1,083,864</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Closing (December 31, 2024)</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820,709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1,123,423</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(18,846)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amounts of revenues recognized in the periods that were included in the opening current deferred revenue, which reflects contract liability amounts, were $1,123.4 million, $1,022.9 million and $836.7 million for the years ended December 31, 2025, 2024 and 2023 respectively. The difference between the opening and closing balances of the Company’s deferred revenue was primarily driven by an increase in billings, partially offset by an increase in amortization of deferred revenue to operating revenues. As of December 31, 2025, 2024 and 2023, the Company carried a long-term deferred revenue balance of $34.0 million, $32.2 million and $28.8 million, respectively, in “Other non-current liabilities” on the Consolidated Statement of Financial Condition.</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contracts that have a duration of one year or less, the Company has not disclosed either the remaining performance obligation as of the end of the reporting period or when the Company expects to recognize the revenue. The remaining performance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for contracts that have a duration of greater than one year and the periods in which they are expected to be recognized are as follows: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First 12-month period</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auto"/>
        </w:rPr>
        <w:t>Second 12-month period</w:t>
      </w:r>
    </w:p>
    <w:p>
      <w:pPr>
        <w:spacing w:after="0" w:line="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Third 12-month period</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Periods thereafter</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182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3"/>
        </w:trPr>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31"/>
        </w:trPr>
        <w:tc>
          <w:tcPr>
            <w:tcW w:w="400" w:type="dxa"/>
            <w:vAlign w:val="bottom"/>
          </w:tcPr>
          <w:p>
            <w:pPr>
              <w:spacing w:after="0"/>
              <w:rPr>
                <w:sz w:val="11"/>
                <w:szCs w:val="11"/>
                <w:color w:val="auto"/>
              </w:rPr>
            </w:pPr>
          </w:p>
        </w:tc>
        <w:tc>
          <w:tcPr>
            <w:tcW w:w="1820" w:type="dxa"/>
            <w:vAlign w:val="bottom"/>
          </w:tcPr>
          <w:p>
            <w:pPr>
              <w:jc w:val="center"/>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3"/>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1,134,928</w:t>
            </w:r>
          </w:p>
        </w:tc>
      </w:tr>
      <w:tr>
        <w:trPr>
          <w:trHeight w:val="229"/>
        </w:trPr>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736,751</w:t>
            </w:r>
          </w:p>
        </w:tc>
      </w:tr>
      <w:tr>
        <w:trPr>
          <w:trHeight w:val="230"/>
        </w:trPr>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367,405</w:t>
            </w:r>
          </w:p>
        </w:tc>
      </w:tr>
      <w:tr>
        <w:trPr>
          <w:trHeight w:val="234"/>
        </w:trPr>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239,134</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2,478,218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-479425</wp:posOffset>
            </wp:positionV>
            <wp:extent cx="531495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-187960</wp:posOffset>
            </wp:positionV>
            <wp:extent cx="53149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71450"/>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-779145</wp:posOffset>
            </wp:positionV>
            <wp:extent cx="531495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5430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6860" w:space="720"/>
            <w:col w:w="3600"/>
          </w:cols>
          <w:pgMar w:left="320" w:top="121" w:right="39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during the period. Diluted EPS reflects the assumed conversion of all dilutive securities, including, when applicable, stock options, restricted stock units, performance stock units, and performance stock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EPS:</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30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D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D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D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60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1,202,305</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1,109,128</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1,148,592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76,504</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79,462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CCEDFF"/>
            </w:tcBorders>
            <w:gridSpan w:val="2"/>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20" w:type="dxa"/>
            <w:vAlign w:val="bottom"/>
            <w:tcBorders>
              <w:bottom w:val="single" w:sz="8" w:color="auto"/>
            </w:tcBorders>
            <w:shd w:val="clear" w:color="auto" w:fill="CCEDFF"/>
          </w:tcPr>
          <w:p>
            <w:pPr>
              <w:spacing w:after="0"/>
              <w:rPr>
                <w:sz w:val="18"/>
                <w:szCs w:val="18"/>
                <w:color w:val="auto"/>
              </w:rPr>
            </w:pPr>
          </w:p>
        </w:tc>
        <w:tc>
          <w:tcPr>
            <w:tcW w:w="128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76,636</w:t>
            </w:r>
          </w:p>
        </w:tc>
        <w:tc>
          <w:tcPr>
            <w:tcW w:w="100" w:type="dxa"/>
            <w:vAlign w:val="bottom"/>
            <w:tcBorders>
              <w:bottom w:val="single" w:sz="8" w:color="CCEDFF"/>
            </w:tcBorders>
            <w:shd w:val="clear" w:color="auto" w:fill="CCEDFF"/>
          </w:tcPr>
          <w:p>
            <w:pPr>
              <w:spacing w:after="0"/>
              <w:rPr>
                <w:sz w:val="18"/>
                <w:szCs w:val="18"/>
                <w:color w:val="auto"/>
              </w:rPr>
            </w:pPr>
          </w:p>
        </w:tc>
        <w:tc>
          <w:tcPr>
            <w:tcW w:w="220" w:type="dxa"/>
            <w:vAlign w:val="bottom"/>
            <w:tcBorders>
              <w:bottom w:val="single" w:sz="8" w:color="auto"/>
            </w:tcBorders>
            <w:shd w:val="clear" w:color="auto" w:fill="CCEDFF"/>
          </w:tcPr>
          <w:p>
            <w:pPr>
              <w:spacing w:after="0"/>
              <w:rPr>
                <w:sz w:val="18"/>
                <w:szCs w:val="18"/>
                <w:color w:val="auto"/>
              </w:rPr>
            </w:pPr>
          </w:p>
        </w:tc>
        <w:tc>
          <w:tcPr>
            <w:tcW w:w="128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78,960</w:t>
            </w:r>
          </w:p>
        </w:tc>
        <w:tc>
          <w:tcPr>
            <w:tcW w:w="100" w:type="dxa"/>
            <w:vAlign w:val="bottom"/>
            <w:tcBorders>
              <w:bottom w:val="single" w:sz="8" w:color="auto"/>
            </w:tcBorders>
            <w:shd w:val="clear" w:color="auto" w:fill="CCEDFF"/>
          </w:tcPr>
          <w:p>
            <w:pPr>
              <w:spacing w:after="0"/>
              <w:rPr>
                <w:sz w:val="18"/>
                <w:szCs w:val="18"/>
                <w:color w:val="auto"/>
              </w:rPr>
            </w:pPr>
          </w:p>
        </w:tc>
        <w:tc>
          <w:tcPr>
            <w:tcW w:w="220" w:type="dxa"/>
            <w:vAlign w:val="bottom"/>
            <w:tcBorders>
              <w:bottom w:val="single" w:sz="8" w:color="auto"/>
            </w:tcBorders>
            <w:shd w:val="clear" w:color="auto" w:fill="CCEDFF"/>
          </w:tcPr>
          <w:p>
            <w:pPr>
              <w:spacing w:after="0"/>
              <w:rPr>
                <w:sz w:val="18"/>
                <w:szCs w:val="18"/>
                <w:color w:val="auto"/>
              </w:rPr>
            </w:pPr>
          </w:p>
        </w:tc>
        <w:tc>
          <w:tcPr>
            <w:tcW w:w="130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79,843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bottom w:val="single" w:sz="8" w:color="auto"/>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0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DFF"/>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January 2, 2024, MSCI completed the acquisition of Fabric RQ, Inc. (“Fabric”), a wealth technology platform specializing in portfolio design, customization and analytics for wealth managers and advisors. Fabric is a part of the Analytics operating segment. The aggregate purchase price for Fabric was $16.1 million and resulted in the recognition of $5.9 million of goodwill.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16, 2024, MSCI completed the acquisition of Foxberry Ltd. (“Foxberry”), a front-office index technology platform. Foxberry is a part of the Index operating segment. The aggregate purchase price for Foxberry was $42.6 million and resulted in the recognition of $23.9 million of goodwill.</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Fabric and Foxberry acquisitions each included contingent consideration as a component of the aggregate purchase price. The fair values of the contingent consideration were determined based on management estimates and assumptions which primarily included forecasted product sales, probability of achievement of certain integration targets and discount rates. The Company classifies these liabilities as Level 3 within the fair value hierarchy, as the measurement is based on inputs that are not observable in the market. As of December 31, 2025, the fair value of the contingent consideration was $14.6 million, of which $9.6 million is included in “Other accrued liabilities” and $5.0 million is included in “Other non-current liabilities” on the Consolidated Statement of Financial Condition.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Company’s Level 3 financial liabilities for the periods indicated were as follows:</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14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700" w:type="dxa"/>
            <w:vAlign w:val="bottom"/>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Additions of contingent consideration</w:t>
            </w:r>
            <w:r>
              <w:rPr>
                <w:rFonts w:ascii="Times New Roman" w:cs="Times New Roman" w:eastAsia="Times New Roman" w:hAnsi="Times New Roman"/>
                <w:sz w:val="23"/>
                <w:szCs w:val="23"/>
                <w:color w:val="auto"/>
                <w:vertAlign w:val="superscript"/>
              </w:rPr>
              <w:t>(1)</w:t>
            </w:r>
          </w:p>
        </w:tc>
        <w:tc>
          <w:tcPr>
            <w:tcW w:w="146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4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60" w:type="dxa"/>
            <w:vAlign w:val="bottom"/>
            <w:tcBorders>
              <w:top w:val="single" w:sz="8" w:color="auto"/>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1"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balance of contingent consideration at acquisition date fair value.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 had outstanding an aggregate of $6.0 billion in senior unsecured notes (collectively, the “Senior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$0.3 billion under the Revolving Credit Facility (as defined below) as presented in the table below:</w:t>
      </w: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Carrying</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Carrying</w:t>
            </w:r>
          </w:p>
        </w:tc>
        <w:tc>
          <w:tcPr>
            <w:tcW w:w="22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2"/>
                <w:szCs w:val="12"/>
                <w:color w:val="auto"/>
              </w:rPr>
            </w:pPr>
          </w:p>
        </w:tc>
        <w:tc>
          <w:tcPr>
            <w:tcW w:w="9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3"/>
              </w:rPr>
              <w:t>amount</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outstanding at</w:t>
            </w:r>
          </w:p>
        </w:tc>
        <w:tc>
          <w:tcPr>
            <w:tcW w:w="20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value at</w:t>
            </w:r>
          </w:p>
        </w:tc>
        <w:tc>
          <w:tcPr>
            <w:tcW w:w="22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Value at</w:t>
            </w:r>
          </w:p>
        </w:tc>
        <w:tc>
          <w:tcPr>
            <w:tcW w:w="220" w:type="dxa"/>
            <w:vAlign w:val="bottom"/>
          </w:tcPr>
          <w:p>
            <w:pPr>
              <w:spacing w:after="0"/>
              <w:rPr>
                <w:sz w:val="10"/>
                <w:szCs w:val="10"/>
                <w:color w:val="auto"/>
              </w:rPr>
            </w:pPr>
          </w:p>
        </w:tc>
        <w:tc>
          <w:tcPr>
            <w:tcW w:w="900" w:type="dxa"/>
            <w:vAlign w:val="bottom"/>
          </w:tcPr>
          <w:p>
            <w:pPr>
              <w:jc w:val="center"/>
              <w:ind w:right="130"/>
              <w:spacing w:after="0" w:line="122" w:lineRule="exact"/>
              <w:rPr>
                <w:sz w:val="20"/>
                <w:szCs w:val="20"/>
                <w:color w:val="auto"/>
              </w:rPr>
            </w:pPr>
            <w:r>
              <w:rPr>
                <w:rFonts w:ascii="Times New Roman" w:cs="Times New Roman" w:eastAsia="Times New Roman" w:hAnsi="Times New Roman"/>
                <w:sz w:val="13"/>
                <w:szCs w:val="13"/>
                <w:b w:val="1"/>
                <w:bCs w:val="1"/>
                <w:color w:val="auto"/>
                <w:w w:val="90"/>
              </w:rPr>
              <w:t>Value at</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0" w:type="dxa"/>
            <w:vAlign w:val="bottom"/>
          </w:tcPr>
          <w:p>
            <w:pPr>
              <w:spacing w:after="0"/>
              <w:rPr>
                <w:sz w:val="1"/>
                <w:szCs w:val="1"/>
                <w:color w:val="auto"/>
              </w:rPr>
            </w:pPr>
          </w:p>
        </w:tc>
      </w:tr>
      <w:tr>
        <w:trPr>
          <w:trHeight w:val="201"/>
        </w:trPr>
        <w:tc>
          <w:tcPr>
            <w:tcW w:w="31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00" w:type="dxa"/>
            <w:vAlign w:val="bottom"/>
            <w:tcBorders>
              <w:top w:val="single" w:sz="8" w:color="CCEDFF"/>
            </w:tcBorders>
            <w:shd w:val="clear" w:color="auto" w:fill="CCEDFF"/>
          </w:tcPr>
          <w:p>
            <w:pPr>
              <w:spacing w:after="0"/>
              <w:rPr>
                <w:sz w:val="17"/>
                <w:szCs w:val="17"/>
                <w:color w:val="auto"/>
              </w:rPr>
            </w:pPr>
          </w:p>
        </w:tc>
        <w:tc>
          <w:tcPr>
            <w:tcW w:w="1420" w:type="dxa"/>
            <w:vAlign w:val="bottom"/>
            <w:tcBorders>
              <w:top w:val="single" w:sz="8" w:color="auto"/>
            </w:tcBorders>
            <w:shd w:val="clear" w:color="auto" w:fill="CCEDFF"/>
          </w:tcPr>
          <w:p>
            <w:pPr>
              <w:spacing w:after="0"/>
              <w:rPr>
                <w:sz w:val="17"/>
                <w:szCs w:val="17"/>
                <w:color w:val="auto"/>
              </w:rPr>
            </w:pPr>
          </w:p>
        </w:tc>
        <w:tc>
          <w:tcPr>
            <w:tcW w:w="100" w:type="dxa"/>
            <w:vAlign w:val="bottom"/>
            <w:tcBorders>
              <w:top w:val="single" w:sz="8" w:color="CCEDFF"/>
            </w:tcBorders>
            <w:shd w:val="clear" w:color="auto" w:fill="CCEDFF"/>
          </w:tcPr>
          <w:p>
            <w:pPr>
              <w:spacing w:after="0"/>
              <w:rPr>
                <w:sz w:val="17"/>
                <w:szCs w:val="17"/>
                <w:color w:val="auto"/>
              </w:rPr>
            </w:pPr>
          </w:p>
        </w:tc>
        <w:tc>
          <w:tcPr>
            <w:tcW w:w="140" w:type="dxa"/>
            <w:vAlign w:val="bottom"/>
            <w:tcBorders>
              <w:top w:val="single" w:sz="8" w:color="auto"/>
            </w:tcBorders>
            <w:shd w:val="clear" w:color="auto" w:fill="CCEDFF"/>
          </w:tcPr>
          <w:p>
            <w:pPr>
              <w:spacing w:after="0"/>
              <w:rPr>
                <w:sz w:val="17"/>
                <w:szCs w:val="17"/>
                <w:color w:val="auto"/>
              </w:rPr>
            </w:pPr>
          </w:p>
        </w:tc>
        <w:tc>
          <w:tcPr>
            <w:tcW w:w="980" w:type="dxa"/>
            <w:vAlign w:val="bottom"/>
            <w:tcBorders>
              <w:top w:val="single" w:sz="8" w:color="auto"/>
            </w:tcBorders>
            <w:shd w:val="clear" w:color="auto" w:fill="CCEDFF"/>
          </w:tcPr>
          <w:p>
            <w:pPr>
              <w:spacing w:after="0"/>
              <w:rPr>
                <w:sz w:val="17"/>
                <w:szCs w:val="17"/>
                <w:color w:val="auto"/>
              </w:rPr>
            </w:pPr>
          </w:p>
        </w:tc>
        <w:tc>
          <w:tcPr>
            <w:tcW w:w="80" w:type="dxa"/>
            <w:vAlign w:val="bottom"/>
            <w:tcBorders>
              <w:top w:val="single" w:sz="8" w:color="CCEDFF"/>
            </w:tcBorders>
            <w:shd w:val="clear" w:color="auto" w:fill="CCEDFF"/>
          </w:tcPr>
          <w:p>
            <w:pPr>
              <w:spacing w:after="0"/>
              <w:rPr>
                <w:sz w:val="17"/>
                <w:szCs w:val="17"/>
                <w:color w:val="auto"/>
              </w:rPr>
            </w:pPr>
          </w:p>
        </w:tc>
        <w:tc>
          <w:tcPr>
            <w:tcW w:w="200" w:type="dxa"/>
            <w:vAlign w:val="bottom"/>
            <w:tcBorders>
              <w:top w:val="single" w:sz="8" w:color="auto"/>
            </w:tcBorders>
            <w:shd w:val="clear" w:color="auto" w:fill="CCEDFF"/>
          </w:tcPr>
          <w:p>
            <w:pPr>
              <w:spacing w:after="0"/>
              <w:rPr>
                <w:sz w:val="17"/>
                <w:szCs w:val="17"/>
                <w:color w:val="auto"/>
              </w:rPr>
            </w:pPr>
          </w:p>
        </w:tc>
        <w:tc>
          <w:tcPr>
            <w:tcW w:w="920" w:type="dxa"/>
            <w:vAlign w:val="bottom"/>
            <w:tcBorders>
              <w:top w:val="single" w:sz="8" w:color="auto"/>
            </w:tcBorders>
            <w:shd w:val="clear" w:color="auto" w:fill="CCEDFF"/>
          </w:tcPr>
          <w:p>
            <w:pPr>
              <w:spacing w:after="0"/>
              <w:rPr>
                <w:sz w:val="17"/>
                <w:szCs w:val="17"/>
                <w:color w:val="auto"/>
              </w:rPr>
            </w:pPr>
          </w:p>
        </w:tc>
        <w:tc>
          <w:tcPr>
            <w:tcW w:w="80" w:type="dxa"/>
            <w:vAlign w:val="bottom"/>
            <w:tcBorders>
              <w:top w:val="single" w:sz="8" w:color="CCEDFF"/>
            </w:tcBorders>
            <w:shd w:val="clear" w:color="auto" w:fill="CCEDFF"/>
          </w:tcPr>
          <w:p>
            <w:pPr>
              <w:spacing w:after="0"/>
              <w:rPr>
                <w:sz w:val="17"/>
                <w:szCs w:val="17"/>
                <w:color w:val="auto"/>
              </w:rPr>
            </w:pPr>
          </w:p>
        </w:tc>
        <w:tc>
          <w:tcPr>
            <w:tcW w:w="200" w:type="dxa"/>
            <w:vAlign w:val="bottom"/>
            <w:tcBorders>
              <w:top w:val="single" w:sz="8" w:color="auto"/>
            </w:tcBorders>
            <w:shd w:val="clear" w:color="auto" w:fill="CCEDFF"/>
          </w:tcPr>
          <w:p>
            <w:pPr>
              <w:spacing w:after="0"/>
              <w:rPr>
                <w:sz w:val="17"/>
                <w:szCs w:val="17"/>
                <w:color w:val="auto"/>
              </w:rPr>
            </w:pPr>
          </w:p>
        </w:tc>
        <w:tc>
          <w:tcPr>
            <w:tcW w:w="920" w:type="dxa"/>
            <w:vAlign w:val="bottom"/>
            <w:tcBorders>
              <w:top w:val="single" w:sz="8" w:color="auto"/>
            </w:tcBorders>
            <w:shd w:val="clear" w:color="auto" w:fill="CCEDFF"/>
          </w:tcPr>
          <w:p>
            <w:pPr>
              <w:spacing w:after="0"/>
              <w:rPr>
                <w:sz w:val="17"/>
                <w:szCs w:val="17"/>
                <w:color w:val="auto"/>
              </w:rPr>
            </w:pPr>
          </w:p>
        </w:tc>
        <w:tc>
          <w:tcPr>
            <w:tcW w:w="80" w:type="dxa"/>
            <w:vAlign w:val="bottom"/>
            <w:tcBorders>
              <w:top w:val="single" w:sz="8" w:color="CCEDFF"/>
            </w:tcBorders>
            <w:shd w:val="clear" w:color="auto" w:fill="CCEDFF"/>
          </w:tcPr>
          <w:p>
            <w:pPr>
              <w:spacing w:after="0"/>
              <w:rPr>
                <w:sz w:val="17"/>
                <w:szCs w:val="17"/>
                <w:color w:val="auto"/>
              </w:rPr>
            </w:pPr>
          </w:p>
        </w:tc>
        <w:tc>
          <w:tcPr>
            <w:tcW w:w="220" w:type="dxa"/>
            <w:vAlign w:val="bottom"/>
            <w:tcBorders>
              <w:top w:val="single" w:sz="8" w:color="auto"/>
            </w:tcBorders>
            <w:shd w:val="clear" w:color="auto" w:fill="CCEDFF"/>
          </w:tcPr>
          <w:p>
            <w:pPr>
              <w:spacing w:after="0"/>
              <w:rPr>
                <w:sz w:val="17"/>
                <w:szCs w:val="17"/>
                <w:color w:val="auto"/>
              </w:rPr>
            </w:pPr>
          </w:p>
        </w:tc>
        <w:tc>
          <w:tcPr>
            <w:tcW w:w="900" w:type="dxa"/>
            <w:vAlign w:val="bottom"/>
            <w:tcBorders>
              <w:top w:val="single" w:sz="8" w:color="auto"/>
            </w:tcBorders>
            <w:shd w:val="clear" w:color="auto" w:fill="CCEDFF"/>
          </w:tcPr>
          <w:p>
            <w:pPr>
              <w:spacing w:after="0"/>
              <w:rPr>
                <w:sz w:val="17"/>
                <w:szCs w:val="17"/>
                <w:color w:val="auto"/>
              </w:rPr>
            </w:pPr>
          </w:p>
        </w:tc>
        <w:tc>
          <w:tcPr>
            <w:tcW w:w="80" w:type="dxa"/>
            <w:vAlign w:val="bottom"/>
            <w:tcBorders>
              <w:top w:val="single" w:sz="8" w:color="CCEDFF"/>
            </w:tcBorders>
            <w:shd w:val="clear" w:color="auto" w:fill="CCEDFF"/>
          </w:tcPr>
          <w:p>
            <w:pPr>
              <w:spacing w:after="0"/>
              <w:rPr>
                <w:sz w:val="17"/>
                <w:szCs w:val="17"/>
                <w:color w:val="auto"/>
              </w:rPr>
            </w:pPr>
          </w:p>
        </w:tc>
        <w:tc>
          <w:tcPr>
            <w:tcW w:w="220" w:type="dxa"/>
            <w:vAlign w:val="bottom"/>
            <w:tcBorders>
              <w:top w:val="single" w:sz="8" w:color="auto"/>
            </w:tcBorders>
            <w:shd w:val="clear" w:color="auto" w:fill="CCEDFF"/>
          </w:tcPr>
          <w:p>
            <w:pPr>
              <w:spacing w:after="0"/>
              <w:rPr>
                <w:sz w:val="17"/>
                <w:szCs w:val="17"/>
                <w:color w:val="auto"/>
              </w:rPr>
            </w:pPr>
          </w:p>
        </w:tc>
        <w:tc>
          <w:tcPr>
            <w:tcW w:w="900" w:type="dxa"/>
            <w:vAlign w:val="bottom"/>
            <w:tcBorders>
              <w:top w:val="single" w:sz="8" w:color="auto"/>
            </w:tcBorders>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4.000% senior unsecured notes due 2029</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15, 2029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995,818</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994,727</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980,000</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944,070</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4"/>
                <w:szCs w:val="14"/>
                <w:color w:val="auto"/>
              </w:rPr>
              <w:t>3.625% senior unsecured notes due 2030</w:t>
            </w:r>
          </w:p>
        </w:tc>
        <w:tc>
          <w:tcPr>
            <w:tcW w:w="152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4"/>
                <w:szCs w:val="14"/>
                <w:color w:val="auto"/>
              </w:rPr>
              <w:t>September 1, 2030</w:t>
            </w:r>
          </w:p>
        </w:tc>
        <w:tc>
          <w:tcPr>
            <w:tcW w:w="140" w:type="dxa"/>
            <w:vAlign w:val="bottom"/>
            <w:shd w:val="clear" w:color="auto" w:fill="CCEDFF"/>
          </w:tcPr>
          <w:p>
            <w:pPr>
              <w:spacing w:after="0"/>
              <w:rPr>
                <w:sz w:val="18"/>
                <w:szCs w:val="18"/>
                <w:color w:val="auto"/>
              </w:rPr>
            </w:pPr>
          </w:p>
        </w:tc>
        <w:tc>
          <w:tcPr>
            <w:tcW w:w="98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900,000</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92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896,911</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896,249</w:t>
            </w:r>
          </w:p>
        </w:tc>
        <w:tc>
          <w:tcPr>
            <w:tcW w:w="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861,300</w:t>
            </w:r>
          </w:p>
        </w:tc>
        <w:tc>
          <w:tcPr>
            <w:tcW w:w="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820,845</w:t>
            </w:r>
          </w:p>
        </w:tc>
        <w:tc>
          <w:tcPr>
            <w:tcW w:w="0" w:type="dxa"/>
            <w:vAlign w:val="bottom"/>
          </w:tcPr>
          <w:p>
            <w:pPr>
              <w:spacing w:after="0"/>
              <w:rPr>
                <w:sz w:val="1"/>
                <w:szCs w:val="1"/>
                <w:color w:val="auto"/>
              </w:rPr>
            </w:pPr>
          </w:p>
        </w:tc>
      </w:tr>
      <w:tr>
        <w:trPr>
          <w:trHeight w:val="19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3.875% senior unsecured notes due 2031</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February 15, 2031</w:t>
            </w:r>
          </w:p>
        </w:tc>
        <w:tc>
          <w:tcPr>
            <w:tcW w:w="1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994,348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993,255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918,400</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4"/>
                <w:szCs w:val="14"/>
                <w:color w:val="auto"/>
              </w:rPr>
              <w:t>3.625% senior unsecured notes due 2031</w:t>
            </w:r>
          </w:p>
        </w:tc>
        <w:tc>
          <w:tcPr>
            <w:tcW w:w="152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4"/>
                <w:szCs w:val="14"/>
                <w:color w:val="auto"/>
              </w:rPr>
              <w:t>November 1, 2031</w:t>
            </w:r>
          </w:p>
        </w:tc>
        <w:tc>
          <w:tcPr>
            <w:tcW w:w="140" w:type="dxa"/>
            <w:vAlign w:val="bottom"/>
            <w:shd w:val="clear" w:color="auto" w:fill="CCEDFF"/>
          </w:tcPr>
          <w:p>
            <w:pPr>
              <w:spacing w:after="0"/>
              <w:rPr>
                <w:sz w:val="18"/>
                <w:szCs w:val="18"/>
                <w:color w:val="auto"/>
              </w:rPr>
            </w:pPr>
          </w:p>
        </w:tc>
        <w:tc>
          <w:tcPr>
            <w:tcW w:w="98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600,000</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92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596,167</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595,509</w:t>
            </w:r>
          </w:p>
        </w:tc>
        <w:tc>
          <w:tcPr>
            <w:tcW w:w="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564,600</w:t>
            </w:r>
          </w:p>
        </w:tc>
        <w:tc>
          <w:tcPr>
            <w:tcW w:w="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538,350</w:t>
            </w:r>
          </w:p>
        </w:tc>
        <w:tc>
          <w:tcPr>
            <w:tcW w:w="0" w:type="dxa"/>
            <w:vAlign w:val="bottom"/>
          </w:tcPr>
          <w:p>
            <w:pPr>
              <w:spacing w:after="0"/>
              <w:rPr>
                <w:sz w:val="1"/>
                <w:szCs w:val="1"/>
                <w:color w:val="auto"/>
              </w:rPr>
            </w:pPr>
          </w:p>
        </w:tc>
      </w:tr>
      <w:tr>
        <w:trPr>
          <w:trHeight w:val="19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3.250% senior unsecured notes due 2033</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August 15, 2033</w:t>
            </w:r>
          </w:p>
        </w:tc>
        <w:tc>
          <w:tcPr>
            <w:tcW w:w="1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694,870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694,201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592,046</w:t>
            </w: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4"/>
                <w:szCs w:val="14"/>
                <w:color w:val="auto"/>
              </w:rPr>
              <w:t>5.250% senior unsecured notes due 2035</w:t>
            </w:r>
          </w:p>
        </w:tc>
        <w:tc>
          <w:tcPr>
            <w:tcW w:w="152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4"/>
                <w:szCs w:val="14"/>
                <w:color w:val="auto"/>
              </w:rPr>
              <w:t>September 1, 2035</w:t>
            </w:r>
          </w:p>
        </w:tc>
        <w:tc>
          <w:tcPr>
            <w:tcW w:w="140" w:type="dxa"/>
            <w:vAlign w:val="bottom"/>
            <w:shd w:val="clear" w:color="auto" w:fill="CCEDFF"/>
          </w:tcPr>
          <w:p>
            <w:pPr>
              <w:spacing w:after="0"/>
              <w:rPr>
                <w:sz w:val="18"/>
                <w:szCs w:val="18"/>
                <w:color w:val="auto"/>
              </w:rPr>
            </w:pPr>
          </w:p>
        </w:tc>
        <w:tc>
          <w:tcPr>
            <w:tcW w:w="98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1,250,000</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92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1,230,856</w:t>
            </w:r>
          </w:p>
        </w:tc>
        <w:tc>
          <w:tcPr>
            <w:tcW w:w="8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100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1,262,500</w:t>
            </w:r>
          </w:p>
        </w:tc>
        <w:tc>
          <w:tcPr>
            <w:tcW w:w="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9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5.150% senior unsecured notes due 2036</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15, 2036</w:t>
            </w:r>
          </w:p>
        </w:tc>
        <w:tc>
          <w:tcPr>
            <w:tcW w:w="14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493,149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4"/>
                <w:szCs w:val="14"/>
                <w:color w:val="auto"/>
              </w:rPr>
              <w:t>Variable rate revolving loans</w:t>
            </w:r>
            <w:r>
              <w:rPr>
                <w:rFonts w:ascii="Times New Roman" w:cs="Times New Roman" w:eastAsia="Times New Roman" w:hAnsi="Times New Roman"/>
                <w:sz w:val="9"/>
                <w:szCs w:val="9"/>
                <w:color w:val="auto"/>
              </w:rPr>
              <w:t>(1)</w:t>
            </w:r>
          </w:p>
        </w:tc>
        <w:tc>
          <w:tcPr>
            <w:tcW w:w="152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4"/>
                <w:szCs w:val="14"/>
                <w:color w:val="auto"/>
              </w:rPr>
              <w:t>August 20, 2030</w:t>
            </w:r>
          </w:p>
        </w:tc>
        <w:tc>
          <w:tcPr>
            <w:tcW w:w="140" w:type="dxa"/>
            <w:vAlign w:val="bottom"/>
            <w:tcBorders>
              <w:bottom w:val="single" w:sz="8" w:color="auto"/>
            </w:tcBorders>
            <w:shd w:val="clear" w:color="auto" w:fill="CCEDFF"/>
          </w:tcPr>
          <w:p>
            <w:pPr>
              <w:spacing w:after="0"/>
              <w:rPr>
                <w:sz w:val="17"/>
                <w:szCs w:val="17"/>
                <w:color w:val="auto"/>
              </w:rPr>
            </w:pPr>
          </w:p>
        </w:tc>
        <w:tc>
          <w:tcPr>
            <w:tcW w:w="98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DFF"/>
          </w:tcPr>
          <w:p>
            <w:pPr>
              <w:spacing w:after="0"/>
              <w:rPr>
                <w:sz w:val="17"/>
                <w:szCs w:val="17"/>
                <w:color w:val="auto"/>
              </w:rPr>
            </w:pPr>
          </w:p>
        </w:tc>
        <w:tc>
          <w:tcPr>
            <w:tcW w:w="200" w:type="dxa"/>
            <w:vAlign w:val="bottom"/>
            <w:tcBorders>
              <w:bottom w:val="single" w:sz="8" w:color="auto"/>
            </w:tcBorders>
            <w:shd w:val="clear" w:color="auto" w:fill="CCEDFF"/>
          </w:tcPr>
          <w:p>
            <w:pPr>
              <w:spacing w:after="0"/>
              <w:rPr>
                <w:sz w:val="17"/>
                <w:szCs w:val="17"/>
                <w:color w:val="auto"/>
              </w:rPr>
            </w:pPr>
          </w:p>
        </w:tc>
        <w:tc>
          <w:tcPr>
            <w:tcW w:w="92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DFF"/>
          </w:tcPr>
          <w:p>
            <w:pPr>
              <w:spacing w:after="0"/>
              <w:rPr>
                <w:sz w:val="17"/>
                <w:szCs w:val="17"/>
                <w:color w:val="auto"/>
              </w:rPr>
            </w:pPr>
          </w:p>
        </w:tc>
        <w:tc>
          <w:tcPr>
            <w:tcW w:w="200" w:type="dxa"/>
            <w:vAlign w:val="bottom"/>
            <w:tcBorders>
              <w:bottom w:val="single" w:sz="8" w:color="auto"/>
            </w:tcBorders>
            <w:shd w:val="clear" w:color="auto" w:fill="CCEDFF"/>
          </w:tcPr>
          <w:p>
            <w:pPr>
              <w:spacing w:after="0"/>
              <w:rPr>
                <w:sz w:val="17"/>
                <w:szCs w:val="17"/>
                <w:color w:val="auto"/>
              </w:rPr>
            </w:pPr>
          </w:p>
        </w:tc>
        <w:tc>
          <w:tcPr>
            <w:tcW w:w="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336,875</w:t>
            </w:r>
          </w:p>
        </w:tc>
        <w:tc>
          <w:tcPr>
            <w:tcW w:w="80" w:type="dxa"/>
            <w:vAlign w:val="bottom"/>
            <w:shd w:val="clear" w:color="auto" w:fill="CCEDFF"/>
          </w:tcPr>
          <w:p>
            <w:pPr>
              <w:spacing w:after="0"/>
              <w:rPr>
                <w:sz w:val="17"/>
                <w:szCs w:val="17"/>
                <w:color w:val="auto"/>
              </w:rPr>
            </w:pPr>
          </w:p>
        </w:tc>
        <w:tc>
          <w:tcPr>
            <w:tcW w:w="220" w:type="dxa"/>
            <w:vAlign w:val="bottom"/>
            <w:tcBorders>
              <w:bottom w:val="single" w:sz="8" w:color="auto"/>
            </w:tcBorders>
            <w:shd w:val="clear" w:color="auto" w:fill="CCEDFF"/>
          </w:tcPr>
          <w:p>
            <w:pPr>
              <w:spacing w:after="0"/>
              <w:rPr>
                <w:sz w:val="17"/>
                <w:szCs w:val="17"/>
                <w:color w:val="auto"/>
              </w:rPr>
            </w:pPr>
          </w:p>
        </w:tc>
        <w:tc>
          <w:tcPr>
            <w:tcW w:w="9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80" w:type="dxa"/>
            <w:vAlign w:val="bottom"/>
            <w:shd w:val="clear" w:color="auto" w:fill="CCEDFF"/>
          </w:tcPr>
          <w:p>
            <w:pPr>
              <w:spacing w:after="0"/>
              <w:rPr>
                <w:sz w:val="17"/>
                <w:szCs w:val="17"/>
                <w:color w:val="auto"/>
              </w:rPr>
            </w:pPr>
          </w:p>
        </w:tc>
        <w:tc>
          <w:tcPr>
            <w:tcW w:w="220" w:type="dxa"/>
            <w:vAlign w:val="bottom"/>
            <w:tcBorders>
              <w:bottom w:val="single" w:sz="8" w:color="auto"/>
            </w:tcBorders>
            <w:shd w:val="clear" w:color="auto" w:fill="CCEDFF"/>
          </w:tcPr>
          <w:p>
            <w:pPr>
              <w:spacing w:after="0"/>
              <w:rPr>
                <w:sz w:val="17"/>
                <w:szCs w:val="17"/>
                <w:color w:val="auto"/>
              </w:rPr>
            </w:pPr>
          </w:p>
        </w:tc>
        <w:tc>
          <w:tcPr>
            <w:tcW w:w="9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333,506</w:t>
            </w:r>
          </w:p>
        </w:tc>
        <w:tc>
          <w:tcPr>
            <w:tcW w:w="0" w:type="dxa"/>
            <w:vAlign w:val="bottom"/>
          </w:tcPr>
          <w:p>
            <w:pPr>
              <w:spacing w:after="0"/>
              <w:rPr>
                <w:sz w:val="1"/>
                <w:szCs w:val="1"/>
                <w:color w:val="auto"/>
              </w:rPr>
            </w:pPr>
          </w:p>
        </w:tc>
      </w:tr>
      <w:tr>
        <w:trPr>
          <w:trHeight w:val="20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6,250,000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6,202,119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4,510,816</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6,057,900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4,147,217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1" w:lineRule="exact"/>
        <w:rPr>
          <w:sz w:val="20"/>
          <w:szCs w:val="20"/>
          <w:color w:val="auto"/>
        </w:rPr>
      </w:pPr>
    </w:p>
    <w:p>
      <w:pPr>
        <w:ind w:left="660" w:right="160" w:hanging="652"/>
        <w:spacing w:after="0" w:line="236" w:lineRule="auto"/>
        <w:tabs>
          <w:tab w:leader="none" w:pos="647"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there were $5.6 million in unamortized deferred financing fees associated with the variable rate revolving loan commitments under the Revolving Credit Facility (“Revolving Loan Commitments”) of which $1.2 million is included in “Prepaid and other assets,” and $4.4 million is included in “Other non-current assets” on the Consolidated Statement of Financial Condition.</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the Company’s principal debt payments as of December 31, 2025 are as follows:</w:t>
      </w:r>
    </w:p>
    <w:p>
      <w:pPr>
        <w:spacing w:after="0" w:line="24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Principal Debt Payments</w:t>
            </w:r>
          </w:p>
        </w:tc>
        <w:tc>
          <w:tcPr>
            <w:tcW w:w="460" w:type="dxa"/>
            <w:vAlign w:val="bottom"/>
          </w:tcPr>
          <w:p>
            <w:pPr>
              <w:spacing w:after="0"/>
              <w:rPr>
                <w:sz w:val="13"/>
                <w:szCs w:val="13"/>
                <w:color w:val="auto"/>
              </w:rPr>
            </w:pPr>
          </w:p>
        </w:tc>
        <w:tc>
          <w:tcPr>
            <w:tcW w:w="1760" w:type="dxa"/>
            <w:vAlign w:val="bottom"/>
            <w:vMerge w:val="restart"/>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shd w:val="clear" w:color="auto" w:fill="CCEDFF"/>
          </w:tcPr>
          <w:p>
            <w:pPr>
              <w:jc w:val="right"/>
              <w:ind w:right="5708"/>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D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Pr>
          <w:p>
            <w:pPr>
              <w:jc w:val="right"/>
              <w:ind w:right="5708"/>
              <w:spacing w:after="0"/>
              <w:rPr>
                <w:sz w:val="20"/>
                <w:szCs w:val="20"/>
                <w:color w:val="auto"/>
              </w:rPr>
            </w:pPr>
            <w:r>
              <w:rPr>
                <w:rFonts w:ascii="Times New Roman" w:cs="Times New Roman" w:eastAsia="Times New Roman" w:hAnsi="Times New Roman"/>
                <w:sz w:val="14"/>
                <w:szCs w:val="14"/>
                <w:color w:val="auto"/>
              </w:rPr>
              <w:t>2027</w:t>
            </w:r>
          </w:p>
        </w:tc>
        <w:tc>
          <w:tcPr>
            <w:tcW w:w="460" w:type="dxa"/>
            <w:vAlign w:val="bottom"/>
          </w:tcPr>
          <w:p>
            <w:pPr>
              <w:spacing w:after="0"/>
              <w:rPr>
                <w:sz w:val="19"/>
                <w:szCs w:val="19"/>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DFF"/>
          </w:tcPr>
          <w:p>
            <w:pPr>
              <w:jc w:val="right"/>
              <w:ind w:right="5708"/>
              <w:spacing w:after="0"/>
              <w:rPr>
                <w:sz w:val="20"/>
                <w:szCs w:val="20"/>
                <w:color w:val="auto"/>
              </w:rPr>
            </w:pPr>
            <w:r>
              <w:rPr>
                <w:rFonts w:ascii="Times New Roman" w:cs="Times New Roman" w:eastAsia="Times New Roman" w:hAnsi="Times New Roman"/>
                <w:sz w:val="14"/>
                <w:szCs w:val="14"/>
                <w:color w:val="auto"/>
              </w:rPr>
              <w:t>2028</w:t>
            </w:r>
          </w:p>
        </w:tc>
        <w:tc>
          <w:tcPr>
            <w:tcW w:w="460" w:type="dxa"/>
            <w:vAlign w:val="bottom"/>
            <w:shd w:val="clear" w:color="auto" w:fill="CCEDFF"/>
          </w:tcPr>
          <w:p>
            <w:pPr>
              <w:spacing w:after="0"/>
              <w:rPr>
                <w:sz w:val="19"/>
                <w:szCs w:val="19"/>
                <w:color w:val="auto"/>
              </w:rPr>
            </w:pPr>
          </w:p>
        </w:tc>
        <w:tc>
          <w:tcPr>
            <w:tcW w:w="1760" w:type="dxa"/>
            <w:vAlign w:val="bottom"/>
            <w:shd w:val="clear" w:color="auto" w:fill="CCED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6160" w:type="dxa"/>
            <w:vAlign w:val="bottom"/>
          </w:tcPr>
          <w:p>
            <w:pPr>
              <w:jc w:val="right"/>
              <w:ind w:right="5708"/>
              <w:spacing w:after="0"/>
              <w:rPr>
                <w:sz w:val="20"/>
                <w:szCs w:val="20"/>
                <w:color w:val="auto"/>
              </w:rPr>
            </w:pPr>
            <w:r>
              <w:rPr>
                <w:rFonts w:ascii="Times New Roman" w:cs="Times New Roman" w:eastAsia="Times New Roman" w:hAnsi="Times New Roman"/>
                <w:sz w:val="14"/>
                <w:szCs w:val="14"/>
                <w:color w:val="auto"/>
              </w:rPr>
              <w:t>2029</w:t>
            </w:r>
          </w:p>
        </w:tc>
        <w:tc>
          <w:tcPr>
            <w:tcW w:w="4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6160" w:type="dxa"/>
            <w:vAlign w:val="bottom"/>
            <w:shd w:val="clear" w:color="auto" w:fill="CCEDFF"/>
          </w:tcPr>
          <w:p>
            <w:pPr>
              <w:ind w:left="120"/>
              <w:spacing w:after="0"/>
              <w:rPr>
                <w:sz w:val="20"/>
                <w:szCs w:val="20"/>
                <w:color w:val="auto"/>
              </w:rPr>
            </w:pPr>
            <w:r>
              <w:rPr>
                <w:rFonts w:ascii="Times New Roman" w:cs="Times New Roman" w:eastAsia="Times New Roman" w:hAnsi="Times New Roman"/>
                <w:sz w:val="14"/>
                <w:szCs w:val="14"/>
                <w:color w:val="auto"/>
              </w:rPr>
              <w:t>2030</w:t>
            </w:r>
          </w:p>
        </w:tc>
        <w:tc>
          <w:tcPr>
            <w:tcW w:w="460" w:type="dxa"/>
            <w:vAlign w:val="bottom"/>
            <w:shd w:val="clear" w:color="auto" w:fill="CCEDFF"/>
          </w:tcPr>
          <w:p>
            <w:pPr>
              <w:spacing w:after="0"/>
              <w:rPr>
                <w:sz w:val="18"/>
                <w:szCs w:val="18"/>
                <w:color w:val="auto"/>
              </w:rPr>
            </w:pP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DFF"/>
            </w:tcBorders>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4,050,000</w:t>
            </w:r>
          </w:p>
        </w:tc>
        <w:tc>
          <w:tcPr>
            <w:tcW w:w="0" w:type="dxa"/>
            <w:vAlign w:val="bottom"/>
          </w:tcPr>
          <w:p>
            <w:pPr>
              <w:spacing w:after="0"/>
              <w:rPr>
                <w:sz w:val="1"/>
                <w:szCs w:val="1"/>
                <w:color w:val="auto"/>
              </w:rPr>
            </w:pPr>
          </w:p>
        </w:tc>
      </w:tr>
      <w:tr>
        <w:trPr>
          <w:trHeight w:val="228"/>
        </w:trPr>
        <w:tc>
          <w:tcPr>
            <w:tcW w:w="616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460" w:type="dxa"/>
            <w:vAlign w:val="bottom"/>
            <w:tcBorders>
              <w:bottom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4"/>
                <w:szCs w:val="14"/>
                <w:b w:val="1"/>
                <w:bCs w:val="1"/>
                <w:color w:val="auto"/>
              </w:rPr>
              <w:t>6,250,000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DFF"/>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payments attributable to the Company’s outstanding indebtedness are due as presented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payment frequency</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First interest</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616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Revolving Loan Commitments</w:t>
            </w:r>
          </w:p>
        </w:tc>
        <w:tc>
          <w:tcPr>
            <w:tcW w:w="1900" w:type="dxa"/>
            <w:vAlign w:val="bottom"/>
            <w:tcBorders>
              <w:top w:val="single" w:sz="8" w:color="auto"/>
            </w:tcBorders>
            <w:shd w:val="clear" w:color="auto" w:fill="CCEDFF"/>
          </w:tcPr>
          <w:p>
            <w:pPr>
              <w:spacing w:after="0"/>
              <w:rPr>
                <w:sz w:val="17"/>
                <w:szCs w:val="17"/>
                <w:color w:val="auto"/>
              </w:rPr>
            </w:pPr>
          </w:p>
        </w:tc>
        <w:tc>
          <w:tcPr>
            <w:tcW w:w="100" w:type="dxa"/>
            <w:vAlign w:val="bottom"/>
            <w:tcBorders>
              <w:top w:val="single" w:sz="8" w:color="CCEDFF"/>
            </w:tcBorders>
            <w:shd w:val="clear" w:color="auto" w:fill="CCEDFF"/>
          </w:tcPr>
          <w:p>
            <w:pPr>
              <w:spacing w:after="0"/>
              <w:rPr>
                <w:sz w:val="17"/>
                <w:szCs w:val="17"/>
                <w:color w:val="auto"/>
              </w:rPr>
            </w:pPr>
          </w:p>
        </w:tc>
        <w:tc>
          <w:tcPr>
            <w:tcW w:w="1920" w:type="dxa"/>
            <w:vAlign w:val="bottom"/>
            <w:tcBorders>
              <w:top w:val="single" w:sz="8" w:color="auto"/>
            </w:tcBorders>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4.000% senior unsecured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15</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61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6"/>
                <w:szCs w:val="16"/>
                <w:color w:val="auto"/>
              </w:rPr>
              <w:t>3.625% senior unsecured notes due 2030</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March 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3.875% senior unsecured notes due 2031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61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6"/>
                <w:szCs w:val="16"/>
                <w:color w:val="auto"/>
              </w:rPr>
              <w:t>3.625% senior unsecured notes due 2031</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May 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3.250% senior unsecured notes due 2033</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15</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6160" w:type="dxa"/>
            <w:vAlign w:val="bottom"/>
            <w:shd w:val="clear" w:color="auto" w:fill="CCEDFF"/>
          </w:tcPr>
          <w:p>
            <w:pPr>
              <w:ind w:left="180"/>
              <w:spacing w:after="0" w:line="219" w:lineRule="exact"/>
              <w:rPr>
                <w:sz w:val="20"/>
                <w:szCs w:val="20"/>
                <w:color w:val="auto"/>
              </w:rPr>
            </w:pPr>
            <w:r>
              <w:rPr>
                <w:rFonts w:ascii="Times New Roman" w:cs="Times New Roman" w:eastAsia="Times New Roman" w:hAnsi="Times New Roman"/>
                <w:sz w:val="16"/>
                <w:szCs w:val="16"/>
                <w:color w:val="auto"/>
              </w:rPr>
              <w:t>5.250% senior unsecured notes due 2035</w:t>
            </w:r>
            <w:r>
              <w:rPr>
                <w:rFonts w:ascii="Times New Roman" w:cs="Times New Roman" w:eastAsia="Times New Roman" w:hAnsi="Times New Roman"/>
                <w:sz w:val="21"/>
                <w:szCs w:val="21"/>
                <w:color w:val="auto"/>
                <w:vertAlign w:val="superscript"/>
              </w:rPr>
              <w:t>(1)</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March 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5.150% senior unsecured notes due 2036</w:t>
            </w:r>
            <w:r>
              <w:rPr>
                <w:rFonts w:ascii="Times New Roman" w:cs="Times New Roman" w:eastAsia="Times New Roman" w:hAnsi="Times New Roman"/>
                <w:sz w:val="21"/>
                <w:szCs w:val="21"/>
                <w:color w:val="auto"/>
                <w:vertAlign w:val="superscript"/>
              </w:rPr>
              <w:t>(2)</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D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Variable rate revolving loans </w:t>
            </w:r>
            <w:r>
              <w:rPr>
                <w:rFonts w:ascii="Times New Roman" w:cs="Times New Roman" w:eastAsia="Times New Roman" w:hAnsi="Times New Roman"/>
                <w:sz w:val="21"/>
                <w:szCs w:val="21"/>
                <w:color w:val="auto"/>
                <w:vertAlign w:val="superscript"/>
              </w:rPr>
              <w:t>(3)</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Variable</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6"/>
                <w:szCs w:val="16"/>
                <w:color w:val="auto"/>
              </w:rPr>
              <w:t>October 22</w:t>
            </w:r>
          </w:p>
        </w:tc>
        <w:tc>
          <w:tcPr>
            <w:tcW w:w="0" w:type="dxa"/>
            <w:vAlign w:val="bottom"/>
          </w:tcPr>
          <w:p>
            <w:pPr>
              <w:spacing w:after="0"/>
              <w:rPr>
                <w:sz w:val="1"/>
                <w:szCs w:val="1"/>
                <w:color w:val="auto"/>
              </w:rPr>
            </w:pPr>
          </w:p>
        </w:tc>
      </w:tr>
      <w:tr>
        <w:trPr>
          <w:trHeight w:val="290"/>
        </w:trPr>
        <w:tc>
          <w:tcPr>
            <w:tcW w:w="6740" w:type="dxa"/>
            <w:vAlign w:val="bottom"/>
            <w:gridSpan w:val="2"/>
          </w:tcPr>
          <w:p>
            <w:pPr>
              <w:jc w:val="right"/>
              <w:ind w:right="3959"/>
              <w:spacing w:after="0"/>
              <w:rPr>
                <w:sz w:val="20"/>
                <w:szCs w:val="20"/>
                <w:color w:val="auto"/>
              </w:rPr>
            </w:pPr>
            <w:r>
              <w:rPr>
                <w:rFonts w:ascii="Times New Roman" w:cs="Times New Roman" w:eastAsia="Times New Roman" w:hAnsi="Times New Roman"/>
                <w:sz w:val="18"/>
                <w:szCs w:val="18"/>
                <w:color w:val="auto"/>
                <w:w w:val="99"/>
              </w:rPr>
              <w:t>______________________________</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3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first payment will occur on March 1, 2026.</w:t>
      </w:r>
    </w:p>
    <w:p>
      <w:pPr>
        <w:spacing w:after="0" w:line="11" w:lineRule="exact"/>
        <w:rPr>
          <w:rFonts w:ascii="Times New Roman" w:cs="Times New Roman" w:eastAsia="Times New Roman" w:hAnsi="Times New Roman"/>
          <w:sz w:val="9"/>
          <w:szCs w:val="9"/>
          <w:color w:val="auto"/>
        </w:rPr>
      </w:pPr>
    </w:p>
    <w:p>
      <w:pPr>
        <w:ind w:left="640" w:hanging="632"/>
        <w:spacing w:after="0" w:line="192" w:lineRule="auto"/>
        <w:tabs>
          <w:tab w:leader="none" w:pos="64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first payment will occur on March 15, 2026.</w:t>
      </w:r>
    </w:p>
    <w:p>
      <w:pPr>
        <w:spacing w:after="0" w:line="3" w:lineRule="exact"/>
        <w:rPr>
          <w:rFonts w:ascii="Times New Roman" w:cs="Times New Roman" w:eastAsia="Times New Roman" w:hAnsi="Times New Roman"/>
          <w:sz w:val="19"/>
          <w:szCs w:val="19"/>
          <w:color w:val="auto"/>
          <w:vertAlign w:val="superscript"/>
        </w:rPr>
      </w:pPr>
    </w:p>
    <w:p>
      <w:pPr>
        <w:ind w:left="640" w:hanging="632"/>
        <w:spacing w:after="0" w:line="189" w:lineRule="auto"/>
        <w:tabs>
          <w:tab w:leader="none" w:pos="64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first payment occurred on October 22, 2025.</w:t>
      </w:r>
    </w:p>
    <w:p>
      <w:pPr>
        <w:spacing w:after="0" w:line="20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fair market value of the Company’s debt obligations represent Level 2 valuations. The Company utilized the market approach and obtained security pricing from a vendor who used broker quotes and third-party pricing services to determine fair values.</w:t>
      </w:r>
    </w:p>
    <w:p>
      <w:pPr>
        <w:spacing w:after="0" w:line="198"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Notes. </w:t>
      </w:r>
      <w:r>
        <w:rPr>
          <w:rFonts w:ascii="Times New Roman" w:cs="Times New Roman" w:eastAsia="Times New Roman" w:hAnsi="Times New Roman"/>
          <w:sz w:val="18"/>
          <w:szCs w:val="18"/>
          <w:color w:val="auto"/>
        </w:rPr>
        <w:t>The $1,000.0 million aggregate principal amount of 4.000% senior unsecured notes due 2029 (the “2029 Senior Notes”)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scheduled to mature on November 15, 2029. The Company may redeem all or part of the 2029 Senior Notes, together with accrued and unpaid interest at redemption prices set forth in the indenture governing the 2029 Senior Notes.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$900.0 million aggregate principal amount of 3.625% senior unsecured notes due 2030 (the “2030 Senior Notes”) are scheduled to mature on September 1, 2030. The Company may redeem all or part of the 2030 Senior Notes, together with accrued and unpaid interest at redemption prices set forth in the indenture governing the 2030 Senior Notes.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$1,000.0 million aggregate principal amount of 3.875% senior unsecured notes due 2031 (the “2031A Senior Notes”) are scheduled to mature on February 15, 2031. The Company may redeem all or part of the 2031A Senior Notes, together with accrued and unpaid interest at redemption prices set forth in the indenture governing the 2031A Senior Notes.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$600.0 million aggregate principal amount of 3.625% Senior Unsecured Notes due 2031 (the “2031B Senior Notes”) are scheduled to mature on November 1, 2031. At any time prior to November 1, 2026, the Company may redeem all or part of the 2031B Senior Notes at a redemption price equal to the sum of (i) 100% of the principal amount thereof, plus (ii) a make-whole premium as of the date of redemption, plus (iii) accrued and unpaid interest, if any, thereon, to the date of redemption. In addition, the Company may redeem all or part of the 2031B Senior Notes, together with accrued and unpaid interest, on or after November 1, 2026, at redemption prices set forth in the indenture governing the 2031B Senior Notes.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$700.0 million aggregate principal amount of 3.250% Senior Unsecured Notes due 2033 (the “2033 Senior Notes”) are scheduled to mature on August 15, 2033. At any time prior to August 15, 2027, the Company may redeem all or part of the 2033 Senior Notes at a redemption price equal to the sum of (i) 100% of the principal amount thereof, plus (ii) a make-whole premium as of the date of redemption, plus (iii) accrued and unpaid interest and additional interest, if any, thereon, to the date of redemption. In</w:t>
      </w:r>
    </w:p>
    <w:p>
      <w:pPr>
        <w:sectPr>
          <w:pgSz w:w="11900" w:h="16838" w:orient="portrait"/>
          <w:cols w:equalWidth="0" w:num="1">
            <w:col w:w="11220"/>
          </w:cols>
          <w:pgMar w:left="320" w:top="121" w:right="35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addition, the Company may redeem all or part of the 2033 Senior Notes, together with accrued and unpaid interest, on or after August 15, 2027, at redemption prices set forth in the indenture governing the 2033 Senior Notes.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8, 2025, the Company issued $1,250.0 million aggregate principal amount of 5.250% Senior Unsecured Notes due 2035 (the “2035 Senior Notes”) in a registered public offering. The 2035 Senior Notes are scheduled to mature on September 1, 2035. At any time prior to June 1, 2035, the Company may redeem all or part of the 2035 Senior Notes at a redemption price equal to the sum of (i) 100% of the principal amount thereof, plus (ii) a make-whole premium as of the date of redemption, plus (iii) accrued and unpaid interest, if any, thereon to, but not including, the redemption date. On or after June 1, 2035, the 2035 Senior Notes are redeemable at 100% of the principal amount, plus accrued and unpaid interest to, but not including, the redemption date.</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November 6, 2025, the Company issued $500.0 million aggregate principal amount of 5.150% Senior Unsecured Notes due 2036 (the “2036 Senior Notes”) in a registered public offering. The 2036 Senior Notes are scheduled to mature on March 15, 2036. At any time prior to December 15, 2035, the Company may redeem all or part of the 2036 Senior Notes at a redemption price equal to the sum of (i) 100% of the principal amount thereof, plus (ii) a make-whole premium as of the date of redemption, plus (iii) accrued and unpaid interest, if any, thereon to, but not including, the redemption date. On or after December 15, 2035, the 2036 Senior Notes are redeemable at 100% of the principal amount, plus accrued and unpaid interest to, but not including, the redemption date.</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Agreement. </w:t>
      </w:r>
      <w:r>
        <w:rPr>
          <w:rFonts w:ascii="Times New Roman" w:cs="Times New Roman" w:eastAsia="Times New Roman" w:hAnsi="Times New Roman"/>
          <w:sz w:val="18"/>
          <w:szCs w:val="18"/>
          <w:color w:val="auto"/>
        </w:rPr>
        <w:t>Since November 20, 2014, the Company has maintained a revolving credit agreement with a syndicate of banks.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 2025, the Company entered into a Third Amended and Restated Credit Agreement (the “Credit Agreement”) amending and restating in its entirety the Company’s prior Second Amended and Restated Credit Agreement (the “Prior Credit Agreement”). The Credit Agreement makes available to the Company an aggregate of $1.6 billion (from $1.25 billion under the Prior Credit Agreement) under a revolving credit facility (the “ Revolving Credit Facility”) and extends the availability period until August 20, 2030. Prior to entering into the Credit Agreement, the Company applied part of the proceeds of its offering of the 2035 Senior Notes to repay in full all outstanding borrowings under the Prior Credit Agreement. The obligations under the Credit Agreement are unsecured senior obligations of the Company.</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$300.0 million of revolving loans outstanding under the Revolving Credit Facility. The Company may use the Revolving Credit Facility for general corporate purposes (including, working capital and acquisitions and other transactions permitted under the Credit Agreement).</w:t>
      </w:r>
    </w:p>
    <w:p>
      <w:pPr>
        <w:spacing w:after="0" w:line="176" w:lineRule="exact"/>
        <w:rPr>
          <w:sz w:val="20"/>
          <w:szCs w:val="20"/>
          <w:color w:val="auto"/>
        </w:rPr>
      </w:pPr>
    </w:p>
    <w:p>
      <w:pPr>
        <w:jc w:val="both"/>
        <w:ind w:right="240" w:firstLine="648"/>
        <w:spacing w:after="0" w:line="272" w:lineRule="auto"/>
        <w:rPr>
          <w:sz w:val="20"/>
          <w:szCs w:val="20"/>
          <w:color w:val="auto"/>
        </w:rPr>
      </w:pPr>
      <w:r>
        <w:rPr>
          <w:rFonts w:ascii="Times New Roman" w:cs="Times New Roman" w:eastAsia="Times New Roman" w:hAnsi="Times New Roman"/>
          <w:sz w:val="17"/>
          <w:szCs w:val="17"/>
          <w:color w:val="auto"/>
        </w:rPr>
        <w:t>Interest on the revolving loans under the Credit Agreement accrues, at a variable rate, based on the secured overnight funding rate (“SOFR”) or the alternate base rate (“Base Rate”), plus, in each case, an applicable margin determined based on the credit ratings of the Company’s senior, unsecured long-term debt. As of December 31, 2025, the applicable margin is 0.50% for Base Rate loans, and 1.50% for SOFR loans. At December 31, 2025,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on the revolving loans under the Revolving Credit Facility was 5.3%</w:t>
      </w:r>
      <w:r>
        <w:rPr>
          <w:rFonts w:ascii="Arial" w:cs="Arial" w:eastAsia="Arial" w:hAnsi="Arial"/>
          <w:sz w:val="21"/>
          <w:szCs w:val="21"/>
          <w:color w:val="auto"/>
        </w:rPr>
        <w:t>.</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closings of the Senior Notes offerings, entry into the Prior Credit Agreement and entry into the Credit Agreement, the Company paid certain financing fees which, together with the existing fees related to prior credit facilities, are being amortized over their related lives. At December 31, 2025, $53.3 million of the deferred financing fees and premium remain unamortized, $1.2 million of which is included in “Prepaid and other assets,” $4.4 million of which is included in “Other non-current assets” and $47.7 million of which is included in “Long-term debt” on the Consolidated Statement of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(income) of the Company’s operating leases are as follows:</w:t>
      </w:r>
    </w:p>
    <w:p>
      <w:pPr>
        <w:spacing w:after="0" w:line="259" w:lineRule="exact"/>
        <w:rPr>
          <w:sz w:val="20"/>
          <w:szCs w:val="20"/>
          <w:color w:val="auto"/>
        </w:rPr>
      </w:pPr>
    </w:p>
    <w:tbl>
      <w:tblPr>
        <w:tblLayout w:type="fixed"/>
        <w:tblInd w:w="240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1"/>
                <w:szCs w:val="11"/>
                <w:color w:val="auto"/>
              </w:rPr>
            </w:pPr>
          </w:p>
        </w:tc>
        <w:tc>
          <w:tcPr>
            <w:tcW w:w="110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0" w:type="dxa"/>
            <w:vAlign w:val="bottom"/>
          </w:tcPr>
          <w:p>
            <w:pPr>
              <w:spacing w:after="0"/>
              <w:rPr>
                <w:sz w:val="1"/>
                <w:szCs w:val="1"/>
                <w:color w:val="auto"/>
              </w:rPr>
            </w:pPr>
          </w:p>
        </w:tc>
      </w:tr>
      <w:tr>
        <w:trPr>
          <w:trHeight w:val="25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6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8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up to approximately 10 years. Some of these leases have options to extend which, if exercised, would extend the maximum remaining term to approximately 21 years. Some of the leases also provide for early termination, the exercise of which would shorten the term of those leases by up to 5 years.</w:t>
      </w:r>
    </w:p>
    <w:p>
      <w:pPr>
        <w:sectPr>
          <w:pgSz w:w="11900" w:h="16838" w:orient="portrait"/>
          <w:cols w:equalWidth="0" w:num="1">
            <w:col w:w="11220"/>
          </w:cols>
          <w:pgMar w:left="320" w:top="121"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interest and other relevant line items in the Consolidated Statement of Financial Condition as of December 31, 2025 are as follows: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440" w:type="dxa"/>
            <w:vAlign w:val="bottom"/>
          </w:tcPr>
          <w:p>
            <w:pPr>
              <w:spacing w:after="0"/>
              <w:rPr>
                <w:sz w:val="13"/>
                <w:szCs w:val="13"/>
                <w:color w:val="auto"/>
              </w:rPr>
            </w:pPr>
          </w:p>
        </w:tc>
        <w:tc>
          <w:tcPr>
            <w:tcW w:w="17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760" w:type="dxa"/>
            <w:vAlign w:val="bottom"/>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8"/>
        </w:trPr>
        <w:tc>
          <w:tcPr>
            <w:tcW w:w="6060" w:type="dxa"/>
            <w:vAlign w:val="bottom"/>
            <w:tcBorders>
              <w:top w:val="single" w:sz="8" w:color="auto"/>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DFF"/>
            </w:tcBorders>
            <w:shd w:val="clear" w:color="auto" w:fill="CCEDFF"/>
          </w:tcPr>
          <w:p>
            <w:pPr>
              <w:spacing w:after="0"/>
              <w:rPr>
                <w:sz w:val="19"/>
                <w:szCs w:val="19"/>
                <w:color w:val="auto"/>
              </w:rPr>
            </w:pPr>
          </w:p>
        </w:tc>
        <w:tc>
          <w:tcPr>
            <w:tcW w:w="440" w:type="dxa"/>
            <w:vAlign w:val="bottom"/>
            <w:tcBorders>
              <w:top w:val="single" w:sz="8" w:color="auto"/>
            </w:tcBorders>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33,616</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w:t>
            </w:r>
          </w:p>
        </w:tc>
      </w:tr>
      <w:tr>
        <w:trPr>
          <w:trHeight w:val="230"/>
        </w:trPr>
        <w:tc>
          <w:tcPr>
            <w:tcW w:w="6060" w:type="dxa"/>
            <w:vAlign w:val="bottom"/>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28,276</w:t>
            </w: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29"/>
        </w:trPr>
        <w:tc>
          <w:tcPr>
            <w:tcW w:w="6060" w:type="dxa"/>
            <w:vAlign w:val="bottom"/>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DFF"/>
          </w:tcPr>
          <w:p>
            <w:pPr>
              <w:spacing w:after="0"/>
              <w:rPr>
                <w:sz w:val="19"/>
                <w:szCs w:val="19"/>
                <w:color w:val="auto"/>
              </w:rPr>
            </w:pPr>
          </w:p>
        </w:tc>
        <w:tc>
          <w:tcPr>
            <w:tcW w:w="440" w:type="dxa"/>
            <w:vAlign w:val="bottom"/>
            <w:shd w:val="clear" w:color="auto" w:fill="CCEDFF"/>
          </w:tcPr>
          <w:p>
            <w:pPr>
              <w:spacing w:after="0"/>
              <w:rPr>
                <w:sz w:val="19"/>
                <w:szCs w:val="19"/>
                <w:color w:val="auto"/>
              </w:rPr>
            </w:pP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14,345</w:t>
            </w:r>
          </w:p>
        </w:tc>
      </w:tr>
      <w:tr>
        <w:trPr>
          <w:trHeight w:val="230"/>
        </w:trPr>
        <w:tc>
          <w:tcPr>
            <w:tcW w:w="616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29,070</w:t>
            </w:r>
          </w:p>
        </w:tc>
      </w:tr>
      <w:tr>
        <w:trPr>
          <w:trHeight w:val="223"/>
        </w:trPr>
        <w:tc>
          <w:tcPr>
            <w:tcW w:w="616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152,282</w:t>
            </w:r>
          </w:p>
        </w:tc>
      </w:tr>
      <w:tr>
        <w:trPr>
          <w:trHeight w:val="230"/>
        </w:trPr>
        <w:tc>
          <w:tcPr>
            <w:tcW w:w="616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r>
      <w:tr>
        <w:trPr>
          <w:trHeight w:val="221"/>
        </w:trPr>
        <w:tc>
          <w:tcPr>
            <w:tcW w:w="6160" w:type="dxa"/>
            <w:vAlign w:val="bottom"/>
            <w:tcBorders>
              <w:bottom w:val="single" w:sz="8" w:color="CCEDFF"/>
            </w:tcBorders>
            <w:gridSpan w:val="2"/>
            <w:shd w:val="clear" w:color="auto" w:fill="CCEDFF"/>
          </w:tcPr>
          <w:p>
            <w:pPr>
              <w:ind w:left="120"/>
              <w:spacing w:after="0" w:line="196"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D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136,120</w:t>
            </w:r>
          </w:p>
        </w:tc>
      </w:tr>
      <w:tr>
        <w:trPr>
          <w:trHeight w:val="20"/>
        </w:trPr>
        <w:tc>
          <w:tcPr>
            <w:tcW w:w="606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440" w:type="dxa"/>
            <w:vAlign w:val="bottom"/>
            <w:tcBorders>
              <w:top w:val="single" w:sz="8" w:color="CCEDFF"/>
              <w:bottom w:val="single" w:sz="8" w:color="auto"/>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16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40" w:type="dxa"/>
            <w:vAlign w:val="bottom"/>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28,589</w:t>
            </w:r>
          </w:p>
        </w:tc>
      </w:tr>
      <w:tr>
        <w:trPr>
          <w:trHeight w:val="234"/>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107,531</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the Company’s operating leases are as follows:</w:t>
      </w:r>
    </w:p>
    <w:p>
      <w:pPr>
        <w:spacing w:after="0" w:line="259"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1660" w:type="dxa"/>
            <w:vAlign w:val="bottom"/>
          </w:tcPr>
          <w:p>
            <w:pPr>
              <w:jc w:val="center"/>
              <w:ind w:left="26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60" w:type="dxa"/>
            <w:vAlign w:val="bottom"/>
          </w:tcPr>
          <w:p>
            <w:pPr>
              <w:jc w:val="center"/>
              <w:ind w:left="38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16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6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340" w:type="dxa"/>
            <w:vAlign w:val="bottom"/>
          </w:tcPr>
          <w:p>
            <w:pPr>
              <w:spacing w:after="0"/>
              <w:rPr>
                <w:sz w:val="20"/>
                <w:szCs w:val="20"/>
                <w:color w:val="auto"/>
              </w:rPr>
            </w:pPr>
          </w:p>
        </w:tc>
        <w:tc>
          <w:tcPr>
            <w:tcW w:w="5740" w:type="dxa"/>
            <w:vAlign w:val="bottom"/>
            <w:tcBorders>
              <w:top w:val="single" w:sz="8" w:color="auto"/>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tcBorders>
              <w:top w:val="single" w:sz="8" w:color="auto"/>
            </w:tcBorders>
            <w:shd w:val="clear" w:color="auto" w:fill="CCEDFF"/>
          </w:tcPr>
          <w:p>
            <w:pPr>
              <w:spacing w:after="0"/>
              <w:rPr>
                <w:sz w:val="20"/>
                <w:szCs w:val="20"/>
                <w:color w:val="auto"/>
              </w:rPr>
            </w:pPr>
          </w:p>
        </w:tc>
        <w:tc>
          <w:tcPr>
            <w:tcW w:w="100" w:type="dxa"/>
            <w:vAlign w:val="bottom"/>
            <w:tcBorders>
              <w:top w:val="single" w:sz="8" w:color="CCEDFF"/>
            </w:tcBorders>
            <w:shd w:val="clear" w:color="auto" w:fill="CCEDFF"/>
          </w:tcPr>
          <w:p>
            <w:pPr>
              <w:spacing w:after="0"/>
              <w:rPr>
                <w:sz w:val="20"/>
                <w:szCs w:val="20"/>
                <w:color w:val="auto"/>
              </w:rPr>
            </w:pPr>
          </w:p>
        </w:tc>
        <w:tc>
          <w:tcPr>
            <w:tcW w:w="1280" w:type="dxa"/>
            <w:vAlign w:val="bottom"/>
            <w:tcBorders>
              <w:top w:val="single" w:sz="8" w:color="auto"/>
            </w:tcBorders>
            <w:shd w:val="clear" w:color="auto" w:fill="CCEDFF"/>
          </w:tcPr>
          <w:p>
            <w:pPr>
              <w:spacing w:after="0"/>
              <w:rPr>
                <w:sz w:val="20"/>
                <w:szCs w:val="20"/>
                <w:color w:val="auto"/>
              </w:rPr>
            </w:pPr>
          </w:p>
        </w:tc>
        <w:tc>
          <w:tcPr>
            <w:tcW w:w="100" w:type="dxa"/>
            <w:vAlign w:val="bottom"/>
            <w:tcBorders>
              <w:top w:val="single" w:sz="8" w:color="auto"/>
            </w:tcBorders>
            <w:shd w:val="clear" w:color="auto" w:fill="CCEDFF"/>
          </w:tcPr>
          <w:p>
            <w:pPr>
              <w:spacing w:after="0"/>
              <w:rPr>
                <w:sz w:val="20"/>
                <w:szCs w:val="20"/>
                <w:color w:val="auto"/>
              </w:rPr>
            </w:pPr>
          </w:p>
        </w:tc>
        <w:tc>
          <w:tcPr>
            <w:tcW w:w="200" w:type="dxa"/>
            <w:vAlign w:val="bottom"/>
            <w:tcBorders>
              <w:top w:val="single" w:sz="8" w:color="auto"/>
            </w:tcBorders>
            <w:shd w:val="clear" w:color="auto" w:fill="CCEDFF"/>
          </w:tcPr>
          <w:p>
            <w:pPr>
              <w:spacing w:after="0"/>
              <w:rPr>
                <w:sz w:val="20"/>
                <w:szCs w:val="20"/>
                <w:color w:val="auto"/>
              </w:rPr>
            </w:pPr>
          </w:p>
        </w:tc>
        <w:tc>
          <w:tcPr>
            <w:tcW w:w="4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Borders>
              <w:top w:val="single" w:sz="8" w:color="CCEDFF"/>
            </w:tcBorders>
            <w:shd w:val="clear" w:color="auto" w:fill="CCEDFF"/>
          </w:tcPr>
          <w:p>
            <w:pPr>
              <w:spacing w:after="0"/>
              <w:rPr>
                <w:sz w:val="20"/>
                <w:szCs w:val="20"/>
                <w:color w:val="auto"/>
              </w:rPr>
            </w:pPr>
          </w:p>
        </w:tc>
        <w:tc>
          <w:tcPr>
            <w:tcW w:w="780" w:type="dxa"/>
            <w:vAlign w:val="bottom"/>
            <w:tcBorders>
              <w:top w:val="single" w:sz="8" w:color="auto"/>
            </w:tcBorders>
            <w:shd w:val="clear" w:color="auto" w:fill="CCEDFF"/>
          </w:tcPr>
          <w:p>
            <w:pPr>
              <w:spacing w:after="0"/>
              <w:rPr>
                <w:sz w:val="20"/>
                <w:szCs w:val="20"/>
                <w:color w:val="auto"/>
              </w:rPr>
            </w:pPr>
          </w:p>
        </w:tc>
        <w:tc>
          <w:tcPr>
            <w:tcW w:w="100" w:type="dxa"/>
            <w:vAlign w:val="bottom"/>
            <w:tcBorders>
              <w:top w:val="single" w:sz="8" w:color="auto"/>
            </w:tcBorders>
            <w:shd w:val="clear" w:color="auto" w:fill="CCEDFF"/>
          </w:tcPr>
          <w:p>
            <w:pPr>
              <w:spacing w:after="0"/>
              <w:rPr>
                <w:sz w:val="20"/>
                <w:szCs w:val="20"/>
                <w:color w:val="auto"/>
              </w:rPr>
            </w:pPr>
          </w:p>
        </w:tc>
        <w:tc>
          <w:tcPr>
            <w:tcW w:w="220" w:type="dxa"/>
            <w:vAlign w:val="bottom"/>
            <w:tcBorders>
              <w:top w:val="single" w:sz="8" w:color="auto"/>
            </w:tcBorders>
            <w:shd w:val="clear" w:color="auto" w:fill="CCEDFF"/>
          </w:tcPr>
          <w:p>
            <w:pPr>
              <w:spacing w:after="0"/>
              <w:rPr>
                <w:sz w:val="20"/>
                <w:szCs w:val="20"/>
                <w:color w:val="auto"/>
              </w:rPr>
            </w:pPr>
          </w:p>
        </w:tc>
        <w:tc>
          <w:tcPr>
            <w:tcW w:w="9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340" w:type="dxa"/>
            <w:vAlign w:val="bottom"/>
          </w:tcPr>
          <w:p>
            <w:pPr>
              <w:spacing w:after="0"/>
              <w:rPr>
                <w:sz w:val="24"/>
                <w:szCs w:val="24"/>
                <w:color w:val="auto"/>
              </w:rPr>
            </w:pPr>
          </w:p>
        </w:tc>
        <w:tc>
          <w:tcPr>
            <w:tcW w:w="5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400" w:type="dxa"/>
            <w:vAlign w:val="bottom"/>
            <w:gridSpan w:val="4"/>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28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00" w:type="dxa"/>
            <w:vAlign w:val="bottom"/>
            <w:tcBorders>
              <w:top w:val="single" w:sz="8" w:color="auto"/>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8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DFF"/>
          </w:tcPr>
          <w:p>
            <w:pPr>
              <w:spacing w:after="0"/>
              <w:rPr>
                <w:sz w:val="19"/>
                <w:szCs w:val="19"/>
                <w:color w:val="auto"/>
              </w:rPr>
            </w:pPr>
          </w:p>
        </w:tc>
        <w:tc>
          <w:tcPr>
            <w:tcW w:w="12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3"/>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rPr>
              <w:t>31,689</w:t>
            </w:r>
          </w:p>
        </w:tc>
        <w:tc>
          <w:tcPr>
            <w:tcW w:w="10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8"/>
                <w:szCs w:val="18"/>
                <w:color w:val="auto"/>
              </w:rPr>
              <w:t>31,249</w:t>
            </w:r>
          </w:p>
        </w:tc>
        <w:tc>
          <w:tcPr>
            <w:tcW w:w="0" w:type="dxa"/>
            <w:vAlign w:val="bottom"/>
          </w:tcPr>
          <w:p>
            <w:pPr>
              <w:spacing w:after="0"/>
              <w:rPr>
                <w:sz w:val="1"/>
                <w:szCs w:val="1"/>
                <w:color w:val="auto"/>
              </w:rPr>
            </w:pPr>
          </w:p>
        </w:tc>
      </w:tr>
      <w:tr>
        <w:trPr>
          <w:trHeight w:val="184"/>
        </w:trPr>
        <w:tc>
          <w:tcPr>
            <w:tcW w:w="60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 of use assets obtained in exchange for new</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32,386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12,568</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EQUIPMENT AND LEASEHOLD IMPROVEMENTS,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leasehold improvements, net at December 31, 2025 and 2024 consisted of the following:</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30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080" w:type="dxa"/>
            <w:vAlign w:val="bottom"/>
            <w:gridSpan w:val="2"/>
            <w:vMerge w:val="continue"/>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2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0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Computer &amp; related equipment</w:t>
            </w:r>
          </w:p>
        </w:tc>
        <w:tc>
          <w:tcPr>
            <w:tcW w:w="80" w:type="dxa"/>
            <w:vAlign w:val="bottom"/>
            <w:tcBorders>
              <w:top w:val="single" w:sz="8" w:color="CCEDFF"/>
            </w:tcBorders>
            <w:shd w:val="clear" w:color="auto" w:fill="CCEDFF"/>
          </w:tcPr>
          <w:p>
            <w:pPr>
              <w:spacing w:after="0"/>
              <w:rPr>
                <w:sz w:val="19"/>
                <w:szCs w:val="19"/>
                <w:color w:val="auto"/>
              </w:rPr>
            </w:pPr>
          </w:p>
        </w:tc>
        <w:tc>
          <w:tcPr>
            <w:tcW w:w="15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2 to 7 years</w:t>
            </w:r>
          </w:p>
        </w:tc>
        <w:tc>
          <w:tcPr>
            <w:tcW w:w="8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192,650</w:t>
            </w:r>
          </w:p>
        </w:tc>
        <w:tc>
          <w:tcPr>
            <w:tcW w:w="10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177,346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7 years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8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8"/>
                <w:szCs w:val="18"/>
                <w:color w:val="auto"/>
              </w:rPr>
              <w:t>1 to 21 years</w:t>
            </w: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56,413</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580" w:type="dxa"/>
            <w:vAlign w:val="bottom"/>
            <w:tcBorders>
              <w:bottom w:val="single" w:sz="8" w:color="CCED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5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2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268,296</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250,790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00" w:type="dxa"/>
            <w:vAlign w:val="bottom"/>
            <w:tcBorders>
              <w:bottom w:val="single" w:sz="8" w:color="CCEDFF"/>
            </w:tcBorders>
          </w:tcPr>
          <w:p>
            <w:pPr>
              <w:spacing w:after="0"/>
              <w:rPr>
                <w:sz w:val="19"/>
                <w:szCs w:val="19"/>
                <w:color w:val="auto"/>
              </w:rPr>
            </w:pP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(180,997)</w:t>
            </w:r>
          </w:p>
        </w:tc>
        <w:tc>
          <w:tcPr>
            <w:tcW w:w="10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(179,905)</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50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87,299</w:t>
            </w:r>
          </w:p>
        </w:tc>
        <w:tc>
          <w:tcPr>
            <w:tcW w:w="10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70,885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5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equipment and leasehold improvements was $23.4 million, $17.0 million and $21.0 million for the years ended December 31, 2025, 2024 and 2023,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right="6940" w:hanging="332"/>
        <w:spacing w:after="0" w:line="377" w:lineRule="auto"/>
        <w:tabs>
          <w:tab w:leader="none" w:pos="19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changes in our goodwill balances from December 31, 2023 to December 31, 2025:</w:t>
      </w:r>
    </w:p>
    <w:p>
      <w:pPr>
        <w:spacing w:after="0" w:line="273"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 Private</w:t>
            </w: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Sustainability and</w:t>
            </w:r>
          </w:p>
        </w:tc>
        <w:tc>
          <w:tcPr>
            <w:tcW w:w="1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Analytics</w:t>
            </w: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Climate</w:t>
            </w:r>
          </w:p>
        </w:tc>
        <w:tc>
          <w:tcPr>
            <w:tcW w:w="30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2,887,692</w:t>
            </w:r>
          </w:p>
        </w:tc>
        <w:tc>
          <w:tcPr>
            <w:tcW w:w="0" w:type="dxa"/>
            <w:vAlign w:val="bottom"/>
          </w:tcPr>
          <w:p>
            <w:pPr>
              <w:spacing w:after="0"/>
              <w:rPr>
                <w:sz w:val="1"/>
                <w:szCs w:val="1"/>
                <w:color w:val="auto"/>
              </w:rPr>
            </w:pPr>
          </w:p>
        </w:tc>
      </w:tr>
      <w:tr>
        <w:trPr>
          <w:trHeight w:val="257"/>
        </w:trPr>
        <w:tc>
          <w:tcPr>
            <w:tcW w:w="36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Acquisitions</w:t>
            </w:r>
            <w:r>
              <w:rPr>
                <w:rFonts w:ascii="MS PGothic" w:cs="MS PGothic" w:eastAsia="MS PGothic" w:hAnsi="MS PGothic"/>
                <w:sz w:val="18"/>
                <w:szCs w:val="18"/>
                <w:color w:val="auto"/>
              </w:rPr>
              <w:t>⁽</w:t>
            </w:r>
            <w:r>
              <w:rPr>
                <w:rFonts w:ascii="Times New Roman" w:cs="Times New Roman" w:eastAsia="Times New Roman" w:hAnsi="Times New Roman"/>
                <w:sz w:val="23"/>
                <w:szCs w:val="23"/>
                <w:color w:val="auto"/>
                <w:vertAlign w:val="superscript"/>
              </w:rPr>
              <w:t>1</w:t>
            </w:r>
            <w:r>
              <w:rPr>
                <w:rFonts w:ascii="MS PGothic" w:cs="MS PGothic" w:eastAsia="MS PGothic" w:hAnsi="MS PGothic"/>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28,902</w:t>
            </w:r>
          </w:p>
        </w:tc>
        <w:tc>
          <w:tcPr>
            <w:tcW w:w="0" w:type="dxa"/>
            <w:vAlign w:val="bottom"/>
          </w:tcPr>
          <w:p>
            <w:pPr>
              <w:spacing w:after="0"/>
              <w:rPr>
                <w:sz w:val="1"/>
                <w:szCs w:val="1"/>
                <w:color w:val="auto"/>
              </w:rPr>
            </w:pPr>
          </w:p>
        </w:tc>
      </w:tr>
      <w:tr>
        <w:trPr>
          <w:trHeight w:val="25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1,226,956</w:t>
            </w: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296,880</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83,703</w:t>
            </w:r>
          </w:p>
        </w:tc>
        <w:tc>
          <w:tcPr>
            <w:tcW w:w="80" w:type="dxa"/>
            <w:vAlign w:val="bottom"/>
          </w:tcPr>
          <w:p>
            <w:pPr>
              <w:spacing w:after="0"/>
              <w:rPr>
                <w:sz w:val="21"/>
                <w:szCs w:val="21"/>
                <w:color w:val="auto"/>
              </w:rPr>
            </w:pPr>
          </w:p>
        </w:tc>
        <w:tc>
          <w:tcPr>
            <w:tcW w:w="3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1,307,628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2,915,167</w:t>
            </w:r>
          </w:p>
        </w:tc>
        <w:tc>
          <w:tcPr>
            <w:tcW w:w="0" w:type="dxa"/>
            <w:vAlign w:val="bottom"/>
          </w:tcPr>
          <w:p>
            <w:pPr>
              <w:spacing w:after="0"/>
              <w:rPr>
                <w:sz w:val="1"/>
                <w:szCs w:val="1"/>
                <w:color w:val="auto"/>
              </w:rPr>
            </w:pPr>
          </w:p>
        </w:tc>
      </w:tr>
      <w:tr>
        <w:trPr>
          <w:trHeight w:val="26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82"/>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2025</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1,231,074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2,923,362</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640" w:hanging="632"/>
        <w:spacing w:after="0" w:line="211" w:lineRule="auto"/>
        <w:tabs>
          <w:tab w:leader="none" w:pos="64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the opening balance sheet and measurement period adjustment impacts of the acquisitions of Foxberry, Fabric, Trove and Burgiss.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 of amortization expense related to intangible assets by category for the periods indicated:</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4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28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0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8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90,606</w:t>
            </w:r>
          </w:p>
        </w:tc>
        <w:tc>
          <w:tcPr>
            <w:tcW w:w="12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8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72,303</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DFF"/>
            </w:tcBorders>
            <w:gridSpan w:val="2"/>
          </w:tcPr>
          <w:p>
            <w:pPr>
              <w:spacing w:after="0"/>
              <w:rPr>
                <w:sz w:val="20"/>
                <w:szCs w:val="20"/>
                <w:color w:val="auto"/>
              </w:rPr>
            </w:pPr>
            <w:r>
              <w:rPr>
                <w:rFonts w:ascii="Times New Roman" w:cs="Times New Roman" w:eastAsia="Times New Roman" w:hAnsi="Times New Roman"/>
                <w:sz w:val="18"/>
                <w:szCs w:val="18"/>
                <w:color w:val="auto"/>
              </w:rPr>
              <w:t>Amortization expense of internally developed capitalized software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78,874</w:t>
            </w:r>
          </w:p>
        </w:tc>
        <w:tc>
          <w:tcPr>
            <w:tcW w:w="120" w:type="dxa"/>
            <w:vAlign w:val="bottom"/>
            <w:tcBorders>
              <w:bottom w:val="single" w:sz="8" w:color="CCED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 amortization of intangible assets expense</w:t>
            </w: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12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12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gross carrying and accumulated amortization amounts related to the Company’s intangible assets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Gross intangible</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Net intangible</w:t>
            </w:r>
          </w:p>
        </w:tc>
        <w:tc>
          <w:tcPr>
            <w:tcW w:w="80" w:type="dxa"/>
            <w:vAlign w:val="bottom"/>
          </w:tcPr>
          <w:p>
            <w:pPr>
              <w:spacing w:after="0"/>
              <w:rPr>
                <w:sz w:val="11"/>
                <w:szCs w:val="11"/>
                <w:color w:val="auto"/>
              </w:rPr>
            </w:pPr>
          </w:p>
        </w:tc>
        <w:tc>
          <w:tcPr>
            <w:tcW w:w="126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Gross intangible</w:t>
            </w: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96"/>
        </w:trPr>
        <w:tc>
          <w:tcPr>
            <w:tcW w:w="3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Borders>
              <w:top w:val="single" w:sz="8" w:color="CCEDFF"/>
            </w:tcBorders>
            <w:shd w:val="clear" w:color="auto" w:fill="CCEDFF"/>
          </w:tcPr>
          <w:p>
            <w:pPr>
              <w:spacing w:after="0"/>
              <w:rPr>
                <w:sz w:val="19"/>
                <w:szCs w:val="19"/>
                <w:color w:val="auto"/>
              </w:rPr>
            </w:pPr>
          </w:p>
        </w:tc>
        <w:tc>
          <w:tcPr>
            <w:tcW w:w="260" w:type="dxa"/>
            <w:vAlign w:val="bottom"/>
            <w:tcBorders>
              <w:top w:val="single" w:sz="8" w:color="auto"/>
            </w:tcBorders>
            <w:shd w:val="clear" w:color="auto" w:fill="CCED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716,167</w:t>
            </w:r>
          </w:p>
        </w:tc>
        <w:tc>
          <w:tcPr>
            <w:tcW w:w="80" w:type="dxa"/>
            <w:vAlign w:val="bottom"/>
            <w:tcBorders>
              <w:top w:val="single" w:sz="8" w:color="CCEDFF"/>
            </w:tcBorders>
            <w:shd w:val="clear" w:color="auto" w:fill="CCEDFF"/>
          </w:tcPr>
          <w:p>
            <w:pPr>
              <w:spacing w:after="0"/>
              <w:rPr>
                <w:sz w:val="19"/>
                <w:szCs w:val="19"/>
                <w:color w:val="auto"/>
              </w:rPr>
            </w:pPr>
          </w:p>
        </w:tc>
        <w:tc>
          <w:tcPr>
            <w:tcW w:w="16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(406,712)</w:t>
            </w:r>
          </w:p>
        </w:tc>
        <w:tc>
          <w:tcPr>
            <w:tcW w:w="8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309,455</w:t>
            </w: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715,020</w:t>
            </w:r>
          </w:p>
        </w:tc>
        <w:tc>
          <w:tcPr>
            <w:tcW w:w="8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(379,087)</w:t>
            </w:r>
          </w:p>
        </w:tc>
        <w:tc>
          <w:tcPr>
            <w:tcW w:w="80" w:type="dxa"/>
            <w:vAlign w:val="bottom"/>
            <w:tcBorders>
              <w:top w:val="single" w:sz="8" w:color="CCEDFF"/>
            </w:tcBorders>
            <w:shd w:val="clear" w:color="auto" w:fill="CCEDFF"/>
          </w:tcPr>
          <w:p>
            <w:pPr>
              <w:spacing w:after="0"/>
              <w:rPr>
                <w:sz w:val="19"/>
                <w:szCs w:val="19"/>
                <w:color w:val="auto"/>
              </w:rPr>
            </w:pPr>
          </w:p>
        </w:tc>
        <w:tc>
          <w:tcPr>
            <w:tcW w:w="1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335,933</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Proprietary data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347,833</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Acquired technology and software</w:t>
            </w:r>
          </w:p>
        </w:tc>
        <w:tc>
          <w:tcPr>
            <w:tcW w:w="260" w:type="dxa"/>
            <w:vAlign w:val="bottom"/>
            <w:shd w:val="clear" w:color="auto" w:fill="CCEDFF"/>
          </w:tcPr>
          <w:p>
            <w:pPr>
              <w:spacing w:after="0"/>
              <w:rPr>
                <w:sz w:val="19"/>
                <w:szCs w:val="19"/>
                <w:color w:val="auto"/>
              </w:rPr>
            </w:pPr>
          </w:p>
        </w:tc>
        <w:tc>
          <w:tcPr>
            <w:tcW w:w="9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258,163</w:t>
            </w:r>
          </w:p>
        </w:tc>
        <w:tc>
          <w:tcPr>
            <w:tcW w:w="80" w:type="dxa"/>
            <w:vAlign w:val="bottom"/>
            <w:shd w:val="clear" w:color="auto" w:fill="CCEDFF"/>
          </w:tcPr>
          <w:p>
            <w:pPr>
              <w:spacing w:after="0"/>
              <w:rPr>
                <w:sz w:val="19"/>
                <w:szCs w:val="19"/>
                <w:color w:val="auto"/>
              </w:rPr>
            </w:pPr>
          </w:p>
        </w:tc>
        <w:tc>
          <w:tcPr>
            <w:tcW w:w="160" w:type="dxa"/>
            <w:vAlign w:val="bottom"/>
            <w:shd w:val="clear" w:color="auto" w:fill="CCEDFF"/>
          </w:tcPr>
          <w:p>
            <w:pPr>
              <w:spacing w:after="0"/>
              <w:rPr>
                <w:sz w:val="19"/>
                <w:szCs w:val="19"/>
                <w:color w:val="auto"/>
              </w:rPr>
            </w:pPr>
          </w:p>
        </w:tc>
        <w:tc>
          <w:tcPr>
            <w:tcW w:w="10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(213,706)</w:t>
            </w:r>
          </w:p>
        </w:tc>
        <w:tc>
          <w:tcPr>
            <w:tcW w:w="8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9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256,794</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(199,090)</w:t>
            </w:r>
          </w:p>
        </w:tc>
        <w:tc>
          <w:tcPr>
            <w:tcW w:w="80" w:type="dxa"/>
            <w:vAlign w:val="bottom"/>
            <w:shd w:val="clear" w:color="auto" w:fill="CCEDFF"/>
          </w:tcPr>
          <w:p>
            <w:pPr>
              <w:spacing w:after="0"/>
              <w:rPr>
                <w:sz w:val="19"/>
                <w:szCs w:val="19"/>
                <w:color w:val="auto"/>
              </w:rPr>
            </w:pPr>
          </w:p>
        </w:tc>
        <w:tc>
          <w:tcPr>
            <w:tcW w:w="120" w:type="dxa"/>
            <w:vAlign w:val="bottom"/>
            <w:shd w:val="clear" w:color="auto" w:fill="CCEDFF"/>
          </w:tcPr>
          <w:p>
            <w:pPr>
              <w:spacing w:after="0"/>
              <w:rPr>
                <w:sz w:val="19"/>
                <w:szCs w:val="19"/>
                <w:color w:val="auto"/>
              </w:rPr>
            </w:pP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27,569</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Internally developed capitalized software</w:t>
            </w:r>
          </w:p>
        </w:tc>
        <w:tc>
          <w:tcPr>
            <w:tcW w:w="260" w:type="dxa"/>
            <w:vAlign w:val="bottom"/>
            <w:tcBorders>
              <w:bottom w:val="single" w:sz="8" w:color="auto"/>
            </w:tcBorders>
            <w:shd w:val="clear" w:color="auto" w:fill="CCEDFF"/>
          </w:tcPr>
          <w:p>
            <w:pPr>
              <w:spacing w:after="0"/>
              <w:rPr>
                <w:sz w:val="19"/>
                <w:szCs w:val="19"/>
                <w:color w:val="auto"/>
              </w:rPr>
            </w:pPr>
          </w:p>
        </w:tc>
        <w:tc>
          <w:tcPr>
            <w:tcW w:w="9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407,797</w:t>
            </w:r>
          </w:p>
        </w:tc>
        <w:tc>
          <w:tcPr>
            <w:tcW w:w="80" w:type="dxa"/>
            <w:vAlign w:val="bottom"/>
            <w:shd w:val="clear" w:color="auto" w:fill="CCEDFF"/>
          </w:tcPr>
          <w:p>
            <w:pPr>
              <w:spacing w:after="0"/>
              <w:rPr>
                <w:sz w:val="19"/>
                <w:szCs w:val="19"/>
                <w:color w:val="auto"/>
              </w:rPr>
            </w:pPr>
          </w:p>
        </w:tc>
        <w:tc>
          <w:tcPr>
            <w:tcW w:w="160" w:type="dxa"/>
            <w:vAlign w:val="bottom"/>
            <w:tcBorders>
              <w:bottom w:val="single" w:sz="8" w:color="auto"/>
            </w:tcBorders>
            <w:shd w:val="clear" w:color="auto" w:fill="CCEDFF"/>
          </w:tcPr>
          <w:p>
            <w:pPr>
              <w:spacing w:after="0"/>
              <w:rPr>
                <w:sz w:val="19"/>
                <w:szCs w:val="19"/>
                <w:color w:val="auto"/>
              </w:rPr>
            </w:pPr>
          </w:p>
        </w:tc>
        <w:tc>
          <w:tcPr>
            <w:tcW w:w="10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(256,468)</w:t>
            </w:r>
          </w:p>
        </w:tc>
        <w:tc>
          <w:tcPr>
            <w:tcW w:w="80" w:type="dxa"/>
            <w:vAlign w:val="bottom"/>
            <w:shd w:val="clear" w:color="auto" w:fill="CCEDFF"/>
          </w:tcPr>
          <w:p>
            <w:pPr>
              <w:spacing w:after="0"/>
              <w:rPr>
                <w:sz w:val="19"/>
                <w:szCs w:val="19"/>
                <w:color w:val="auto"/>
              </w:rPr>
            </w:pPr>
          </w:p>
        </w:tc>
        <w:tc>
          <w:tcPr>
            <w:tcW w:w="120" w:type="dxa"/>
            <w:vAlign w:val="bottom"/>
            <w:tcBorders>
              <w:bottom w:val="single" w:sz="8" w:color="auto"/>
            </w:tcBorders>
            <w:shd w:val="clear" w:color="auto" w:fill="CCEDFF"/>
          </w:tcPr>
          <w:p>
            <w:pPr>
              <w:spacing w:after="0"/>
              <w:rPr>
                <w:sz w:val="19"/>
                <w:szCs w:val="19"/>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151,329</w:t>
            </w: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9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316,795</w:t>
            </w:r>
          </w:p>
        </w:tc>
        <w:tc>
          <w:tcPr>
            <w:tcW w:w="80" w:type="dxa"/>
            <w:vAlign w:val="bottom"/>
            <w:shd w:val="clear" w:color="auto" w:fill="CCEDFF"/>
          </w:tcPr>
          <w:p>
            <w:pPr>
              <w:spacing w:after="0"/>
              <w:rPr>
                <w:sz w:val="19"/>
                <w:szCs w:val="19"/>
                <w:color w:val="auto"/>
              </w:rPr>
            </w:pPr>
          </w:p>
        </w:tc>
        <w:tc>
          <w:tcPr>
            <w:tcW w:w="140" w:type="dxa"/>
            <w:vAlign w:val="bottom"/>
            <w:tcBorders>
              <w:bottom w:val="single" w:sz="8" w:color="auto"/>
            </w:tcBorders>
            <w:shd w:val="clear" w:color="auto" w:fill="CCEDFF"/>
          </w:tcPr>
          <w:p>
            <w:pPr>
              <w:spacing w:after="0"/>
              <w:rPr>
                <w:sz w:val="19"/>
                <w:szCs w:val="19"/>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(178,221)</w:t>
            </w:r>
          </w:p>
        </w:tc>
        <w:tc>
          <w:tcPr>
            <w:tcW w:w="80" w:type="dxa"/>
            <w:vAlign w:val="bottom"/>
            <w:shd w:val="clear" w:color="auto" w:fill="CCEDFF"/>
          </w:tcPr>
          <w:p>
            <w:pPr>
              <w:spacing w:after="0"/>
              <w:rPr>
                <w:sz w:val="19"/>
                <w:szCs w:val="19"/>
                <w:color w:val="auto"/>
              </w:rPr>
            </w:pPr>
          </w:p>
        </w:tc>
        <w:tc>
          <w:tcPr>
            <w:tcW w:w="120" w:type="dxa"/>
            <w:vAlign w:val="bottom"/>
            <w:tcBorders>
              <w:bottom w:val="single" w:sz="8" w:color="auto"/>
            </w:tcBorders>
            <w:shd w:val="clear" w:color="auto" w:fill="CCEDFF"/>
          </w:tcPr>
          <w:p>
            <w:pPr>
              <w:spacing w:after="0"/>
              <w:rPr>
                <w:sz w:val="19"/>
                <w:szCs w:val="19"/>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138,574</w:t>
            </w: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2,046,791</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832,513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1,950,512</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(1,042,899)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907,613</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amortization expense for succeeding years is presented below:</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00" w:type="dxa"/>
            <w:vAlign w:val="bottom"/>
          </w:tcPr>
          <w:p>
            <w:pPr>
              <w:spacing w:after="0"/>
              <w:rPr>
                <w:sz w:val="13"/>
                <w:szCs w:val="13"/>
                <w:color w:val="auto"/>
              </w:rPr>
            </w:pPr>
          </w:p>
        </w:tc>
        <w:tc>
          <w:tcPr>
            <w:tcW w:w="18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5"/>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82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8"/>
        </w:trPr>
        <w:tc>
          <w:tcPr>
            <w:tcW w:w="60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DFF"/>
            </w:tcBorders>
            <w:shd w:val="clear" w:color="auto" w:fill="CCEDFF"/>
          </w:tcPr>
          <w:p>
            <w:pPr>
              <w:spacing w:after="0"/>
              <w:rPr>
                <w:sz w:val="19"/>
                <w:szCs w:val="19"/>
                <w:color w:val="auto"/>
              </w:rPr>
            </w:pPr>
          </w:p>
        </w:tc>
        <w:tc>
          <w:tcPr>
            <w:tcW w:w="400" w:type="dxa"/>
            <w:vAlign w:val="bottom"/>
            <w:tcBorders>
              <w:top w:val="single" w:sz="8" w:color="auto"/>
            </w:tcBorders>
            <w:shd w:val="clear" w:color="auto" w:fill="CCED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152,961</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121,204</w:t>
            </w:r>
          </w:p>
        </w:tc>
      </w:tr>
      <w:tr>
        <w:trPr>
          <w:trHeight w:val="230"/>
        </w:trPr>
        <w:tc>
          <w:tcPr>
            <w:tcW w:w="60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DFF"/>
          </w:tcPr>
          <w:p>
            <w:pPr>
              <w:spacing w:after="0"/>
              <w:rPr>
                <w:sz w:val="19"/>
                <w:szCs w:val="19"/>
                <w:color w:val="auto"/>
              </w:rPr>
            </w:pPr>
          </w:p>
        </w:tc>
        <w:tc>
          <w:tcPr>
            <w:tcW w:w="4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90,014</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70,743</w:t>
            </w:r>
          </w:p>
        </w:tc>
      </w:tr>
      <w:tr>
        <w:trPr>
          <w:trHeight w:val="229"/>
        </w:trPr>
        <w:tc>
          <w:tcPr>
            <w:tcW w:w="60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DFF"/>
          </w:tcPr>
          <w:p>
            <w:pPr>
              <w:spacing w:after="0"/>
              <w:rPr>
                <w:sz w:val="19"/>
                <w:szCs w:val="19"/>
                <w:color w:val="auto"/>
              </w:rPr>
            </w:pPr>
          </w:p>
        </w:tc>
        <w:tc>
          <w:tcPr>
            <w:tcW w:w="400" w:type="dxa"/>
            <w:vAlign w:val="bottom"/>
            <w:shd w:val="clear" w:color="auto" w:fill="CCEDFF"/>
          </w:tcPr>
          <w:p>
            <w:pPr>
              <w:spacing w:after="0"/>
              <w:rPr>
                <w:sz w:val="19"/>
                <w:szCs w:val="19"/>
                <w:color w:val="auto"/>
              </w:rPr>
            </w:pPr>
          </w:p>
        </w:tc>
        <w:tc>
          <w:tcPr>
            <w:tcW w:w="18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66,376</w:t>
            </w: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331,215</w:t>
            </w: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BENEFITS</w:t>
      </w:r>
    </w:p>
    <w:p>
      <w:pPr>
        <w:spacing w:after="0" w:line="1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a 401(k) plan for eligible U.S. employees and defined contribution and defined benefit pension plans that cover substantially all of its non-U.S. employees. Eligible employees may participate in the MSCI 401(k) plan (or any other regional defined contribution plan sponsored by MSCI) immediately upon hire. Eligible employees receive 401(k) and other defined contribution plan matching contributions, which are subject to vesting and certain other limitations.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reflects the employee benefits expense by cost, type and location in the Statement of Income for the periods indicated:</w:t>
      </w: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3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24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b w:val="1"/>
                <w:bCs w:val="1"/>
                <w:color w:val="auto"/>
              </w:rPr>
              <w:t>Employee benefit cost type</w:t>
            </w:r>
          </w:p>
        </w:tc>
        <w:tc>
          <w:tcPr>
            <w:tcW w:w="8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260" w:type="dxa"/>
            <w:vAlign w:val="bottom"/>
            <w:tcBorders>
              <w:top w:val="single" w:sz="8" w:color="auto"/>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c>
          <w:tcPr>
            <w:tcW w:w="200" w:type="dxa"/>
            <w:vAlign w:val="bottom"/>
            <w:tcBorders>
              <w:top w:val="single" w:sz="8" w:color="auto"/>
            </w:tcBorders>
            <w:shd w:val="clear" w:color="auto" w:fill="CCEDFF"/>
          </w:tcPr>
          <w:p>
            <w:pPr>
              <w:spacing w:after="0"/>
              <w:rPr>
                <w:sz w:val="19"/>
                <w:szCs w:val="19"/>
                <w:color w:val="auto"/>
              </w:rPr>
            </w:pPr>
          </w:p>
        </w:tc>
        <w:tc>
          <w:tcPr>
            <w:tcW w:w="1240" w:type="dxa"/>
            <w:vAlign w:val="bottom"/>
            <w:tcBorders>
              <w:top w:val="single" w:sz="8" w:color="auto"/>
            </w:tcBorders>
            <w:shd w:val="clear" w:color="auto" w:fill="CCEDFF"/>
          </w:tcPr>
          <w:p>
            <w:pPr>
              <w:spacing w:after="0"/>
              <w:rPr>
                <w:sz w:val="19"/>
                <w:szCs w:val="19"/>
                <w:color w:val="auto"/>
              </w:rPr>
            </w:pPr>
          </w:p>
        </w:tc>
        <w:tc>
          <w:tcPr>
            <w:tcW w:w="10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240" w:type="dxa"/>
            <w:vAlign w:val="bottom"/>
            <w:tcBorders>
              <w:top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401(k) and other defined contribution plans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Pension related net period benefit expense</w:t>
            </w:r>
          </w:p>
        </w:tc>
        <w:tc>
          <w:tcPr>
            <w:tcW w:w="20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8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196"/>
        </w:trPr>
        <w:tc>
          <w:tcPr>
            <w:tcW w:w="6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50,264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45,706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38,739</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D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26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24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220" w:type="dxa"/>
            <w:vAlign w:val="bottom"/>
            <w:shd w:val="clear" w:color="auto" w:fill="CCEDFF"/>
          </w:tcPr>
          <w:p>
            <w:pPr>
              <w:spacing w:after="0"/>
              <w:rPr>
                <w:sz w:val="17"/>
                <w:szCs w:val="17"/>
                <w:color w:val="auto"/>
              </w:rPr>
            </w:pPr>
          </w:p>
        </w:tc>
        <w:tc>
          <w:tcPr>
            <w:tcW w:w="124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 in the Statement of Income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DFF"/>
          </w:tcPr>
          <w:p>
            <w:pPr>
              <w:spacing w:after="0"/>
              <w:rPr>
                <w:sz w:val="19"/>
                <w:szCs w:val="19"/>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80" w:type="dxa"/>
            <w:vAlign w:val="bottom"/>
            <w:shd w:val="clear" w:color="auto" w:fill="CCEDFF"/>
          </w:tcPr>
          <w:p>
            <w:pPr>
              <w:spacing w:after="0"/>
              <w:rPr>
                <w:sz w:val="19"/>
                <w:szCs w:val="19"/>
                <w:color w:val="auto"/>
              </w:rPr>
            </w:pPr>
          </w:p>
        </w:tc>
        <w:tc>
          <w:tcPr>
            <w:tcW w:w="20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2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auto"/>
            </w:tcBorders>
            <w:shd w:val="clear" w:color="auto" w:fill="CCEDFF"/>
          </w:tcPr>
          <w:p>
            <w:pPr>
              <w:spacing w:after="0"/>
              <w:rPr>
                <w:sz w:val="19"/>
                <w:szCs w:val="19"/>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shd w:val="clear" w:color="auto" w:fill="CCEDFF"/>
          </w:tcPr>
          <w:p>
            <w:pPr>
              <w:spacing w:after="0"/>
              <w:rPr>
                <w:sz w:val="19"/>
                <w:szCs w:val="19"/>
                <w:color w:val="auto"/>
              </w:rPr>
            </w:pPr>
          </w:p>
        </w:tc>
        <w:tc>
          <w:tcPr>
            <w:tcW w:w="20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38,739</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uses a measurement date of December 31 to calculate obligations under its pension and postretirement plans. As of December 31, 2025 and 2024, the Company carried a net liability of $40.1 million and $37.3 million, respectively, in “Other non-current liabilities” on the Consolidated Statement of Financial Condition related to its future pension obligations. The fair value of the defined benefit plan assets was $22.8 million and $31.4 million at December 31, 2025 and 2024, respectively.</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retiree benefit plans include defined benefit plans for employees in Switzerland, as well as other countries where MSCI maintains an operating presence.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Switzerland plans are government-mandated retirement funds that provide employees with a minimum investment return, which is determined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annually by the Swiss government and was 1.3%, 1.3% and 1.0%, in the years ended December 31, 2025, 2024 and 2023, respectively.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 plans, the Company and our employees are required to make contributions into a fund managed by an independent investment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contributions must be in an amount at least equal to the employee’s contribution. Employee contributions are based on the respective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salary and chosen contribution scale. As of December 31, 2025 and 2024, the Switzerland defined benefit plans had a gross pension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 million and $31.1 million, respectively, and plan assets that totaled $18.1 million and $25.9 million, respectively. In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2024 and 2023, we recognized net periodic benefit expense of $1.7 million, $0.4 million and $0.3 million, respectively, related to our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The discount rate for the Switzerland defined benefit pension plan was 1.30% and 1.00%, respectively, as of December 31, 2025 and 2024.</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investment strategies of the non-U.S. defined benefit plans vary according to the plan provisions and local laws. The majority of the assets in the non-U.S. plans are in the Switzerland plans. The Switzerland plans are associated with an insured collective retirement foundation, whereby assets are held in trust and the assets are commingled with those of other participating companies. Investment decisions are made by a board of the collective retirement foundation, comprised of participating company representatives and representatives from the insurer. The overall strategy is to manage risk while maximizing total returns.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SHAREHOLDERS’ EQUITY (DEFICIT)</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This note reflects the share repurchases and related activity as well as share-based compensation activity recognized by the Company, for all periods referenced.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October 25, 2025, the Board of Directors authorized a new stock repurchase program (the “2025 Repurchase Program”) for the repurchase of up to an aggregate of $3.0 billion worth of shares of MSCI’s common stock, which supersedes and replaces the previously existing share repurchase program.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Share repurchases made pursuant to the 2025 Repurchase Program may take place in the open market or in privately negotiated transactions from time to time based on market and other conditions. This authorization may be modified, suspended or terminated by the Board of Directors at any time without prior notice.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there was $2.1 billion of available authorization remaining under the 2025 Repurchase Program.</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Dividends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repurchases of the Company’s common stock made on the open market:</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46"/>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8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6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Borders>
              <w:bottom w:val="single" w:sz="8" w:color="CCED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CCED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80" w:type="dxa"/>
            <w:vAlign w:val="bottom"/>
            <w:tcBorders>
              <w:bottom w:val="single" w:sz="8" w:color="CCED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Repurchased</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80" w:type="dxa"/>
            <w:vAlign w:val="bottom"/>
            <w:tcBorders>
              <w:bottom w:val="single" w:sz="8" w:color="CCEDFF"/>
            </w:tcBorders>
            <w:shd w:val="clear" w:color="auto" w:fill="CCEDFF"/>
          </w:tcPr>
          <w:p>
            <w:pPr>
              <w:spacing w:after="0"/>
              <w:rPr>
                <w:sz w:val="21"/>
                <w:szCs w:val="21"/>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2,418,512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537.72</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810,176</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2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80" w:type="dxa"/>
            <w:vAlign w:val="bottom"/>
            <w:tcBorders>
              <w:bottom w:val="single" w:sz="8" w:color="CCEDFF"/>
            </w:tcBorders>
            <w:shd w:val="clear" w:color="auto" w:fill="CCEDFF"/>
          </w:tcPr>
          <w:p>
            <w:pPr>
              <w:spacing w:after="0"/>
              <w:rPr>
                <w:sz w:val="21"/>
                <w:szCs w:val="21"/>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Borders>
              <w:bottom w:val="single" w:sz="8" w:color="CCEDFF"/>
            </w:tcBorders>
            <w:shd w:val="clear" w:color="auto" w:fill="CCEDFF"/>
          </w:tcPr>
          <w:p>
            <w:pPr>
              <w:spacing w:after="0"/>
              <w:rPr>
                <w:sz w:val="21"/>
                <w:szCs w:val="21"/>
                <w:color w:val="auto"/>
              </w:rPr>
            </w:pPr>
          </w:p>
        </w:tc>
        <w:tc>
          <w:tcPr>
            <w:tcW w:w="200" w:type="dxa"/>
            <w:vAlign w:val="bottom"/>
            <w:tcBorders>
              <w:bottom w:val="single" w:sz="8" w:color="auto"/>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458,721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DFF"/>
              <w:bottom w:val="single" w:sz="8" w:color="CCED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_____________________________</w:t>
            </w:r>
          </w:p>
        </w:tc>
        <w:tc>
          <w:tcPr>
            <w:tcW w:w="8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bottom w:val="single" w:sz="8" w:color="auto"/>
            </w:tcBorders>
          </w:tcPr>
          <w:p>
            <w:pPr>
              <w:spacing w:after="0" w:line="20" w:lineRule="exact"/>
              <w:rPr>
                <w:sz w:val="1"/>
                <w:szCs w:val="1"/>
                <w:color w:val="auto"/>
              </w:rPr>
            </w:pPr>
          </w:p>
        </w:tc>
        <w:tc>
          <w:tcPr>
            <w:tcW w:w="12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100" w:hanging="652"/>
        <w:spacing w:after="0" w:line="278" w:lineRule="auto"/>
        <w:tabs>
          <w:tab w:leader="none" w:pos="647"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values in this column exclude the 1% excise tax incurred on share repurchases pursuant to the Inflation Reduction Act. Any excise tax incurred is recognized as part of the cost of the shares acquired in the Consolidated Statements of Shareholders’ Equity (Deficit).</w:t>
      </w:r>
    </w:p>
    <w:p>
      <w:pPr>
        <w:spacing w:after="0" w:line="18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dividends declared per common share as well as total amounts declared, distributed and deferred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3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Distributed</w:t>
            </w: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(Released)/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555,005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556,609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508,509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509,262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109,887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activity related to shares of common stock issued and repurchased for the periods indicated:</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6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Issued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28"/>
        </w:trPr>
        <w:tc>
          <w:tcPr>
            <w:tcW w:w="61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133,623,005</w:t>
            </w:r>
          </w:p>
        </w:tc>
        <w:tc>
          <w:tcPr>
            <w:tcW w:w="80" w:type="dxa"/>
            <w:vAlign w:val="bottom"/>
            <w:tcBorders>
              <w:top w:val="single" w:sz="8" w:color="CCEDFF"/>
            </w:tcBorders>
            <w:shd w:val="clear" w:color="auto" w:fill="CCEDFF"/>
          </w:tcPr>
          <w:p>
            <w:pPr>
              <w:spacing w:after="0"/>
              <w:rPr>
                <w:sz w:val="19"/>
                <w:szCs w:val="19"/>
                <w:color w:val="auto"/>
              </w:rPr>
            </w:pPr>
          </w:p>
        </w:tc>
        <w:tc>
          <w:tcPr>
            <w:tcW w:w="16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(53,663,016)</w:t>
            </w:r>
          </w:p>
        </w:tc>
        <w:tc>
          <w:tcPr>
            <w:tcW w:w="80" w:type="dxa"/>
            <w:vAlign w:val="bottom"/>
            <w:tcBorders>
              <w:top w:val="single" w:sz="8" w:color="CCEDFF"/>
            </w:tcBorders>
            <w:shd w:val="clear" w:color="auto" w:fill="CCEDFF"/>
          </w:tcPr>
          <w:p>
            <w:pPr>
              <w:spacing w:after="0"/>
              <w:rPr>
                <w:sz w:val="19"/>
                <w:szCs w:val="19"/>
                <w:color w:val="auto"/>
              </w:rPr>
            </w:pPr>
          </w:p>
        </w:tc>
        <w:tc>
          <w:tcPr>
            <w:tcW w:w="16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79,959,989</w:t>
            </w: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payable/paid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Common stock issued</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188,798</w:t>
            </w:r>
          </w:p>
        </w:tc>
        <w:tc>
          <w:tcPr>
            <w:tcW w:w="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188,798</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withheld for tax withholding</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(81,789)</w:t>
            </w:r>
          </w:p>
        </w:tc>
      </w:tr>
      <w:tr>
        <w:trPr>
          <w:trHeight w:val="230"/>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Shares repurchased under stock repurchase programs</w:t>
            </w: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(979,623)</w:t>
            </w:r>
          </w:p>
        </w:tc>
        <w:tc>
          <w:tcPr>
            <w:tcW w:w="80" w:type="dxa"/>
            <w:vAlign w:val="bottom"/>
            <w:shd w:val="clear" w:color="auto" w:fill="CCEDFF"/>
          </w:tcPr>
          <w:p>
            <w:pPr>
              <w:spacing w:after="0"/>
              <w:rPr>
                <w:sz w:val="19"/>
                <w:szCs w:val="19"/>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(979,623)</w:t>
            </w:r>
          </w:p>
        </w:tc>
      </w:tr>
      <w:tr>
        <w:trPr>
          <w:trHeight w:val="229"/>
        </w:trPr>
        <w:tc>
          <w:tcPr>
            <w:tcW w:w="6120" w:type="dxa"/>
            <w:vAlign w:val="bottom"/>
            <w:tcBorders>
              <w:bottom w:val="single" w:sz="8" w:color="CCEDFF"/>
            </w:tcBorders>
          </w:tcPr>
          <w:p>
            <w:pPr>
              <w:ind w:left="220"/>
              <w:spacing w:after="0"/>
              <w:rPr>
                <w:sz w:val="20"/>
                <w:szCs w:val="20"/>
                <w:color w:val="auto"/>
              </w:rPr>
            </w:pPr>
            <w:r>
              <w:rPr>
                <w:rFonts w:ascii="Times New Roman" w:cs="Times New Roman" w:eastAsia="Times New Roman" w:hAnsi="Times New Roman"/>
                <w:sz w:val="18"/>
                <w:szCs w:val="18"/>
                <w:color w:val="auto"/>
              </w:rPr>
              <w:t>Shares issued to Directors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Borders>
              <w:bottom w:val="single" w:sz="8" w:color="CCED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Borders>
              <w:bottom w:val="single" w:sz="8" w:color="CCED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23"/>
        </w:trPr>
        <w:tc>
          <w:tcPr>
            <w:tcW w:w="6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133,817,332</w:t>
            </w:r>
          </w:p>
        </w:tc>
        <w:tc>
          <w:tcPr>
            <w:tcW w:w="80" w:type="dxa"/>
            <w:vAlign w:val="bottom"/>
            <w:shd w:val="clear" w:color="auto" w:fill="CCEDFF"/>
          </w:tcPr>
          <w:p>
            <w:pPr>
              <w:spacing w:after="0"/>
              <w:rPr>
                <w:sz w:val="19"/>
                <w:szCs w:val="19"/>
                <w:color w:val="auto"/>
              </w:rPr>
            </w:pP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(54,726,120)</w:t>
            </w:r>
          </w:p>
        </w:tc>
        <w:tc>
          <w:tcPr>
            <w:tcW w:w="80" w:type="dxa"/>
            <w:vAlign w:val="bottom"/>
            <w:shd w:val="clear" w:color="auto" w:fill="CCEDFF"/>
          </w:tcPr>
          <w:p>
            <w:pPr>
              <w:spacing w:after="0"/>
              <w:rPr>
                <w:sz w:val="19"/>
                <w:szCs w:val="19"/>
                <w:color w:val="auto"/>
              </w:rPr>
            </w:pPr>
          </w:p>
        </w:tc>
        <w:tc>
          <w:tcPr>
            <w:tcW w:w="1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79,091,212</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payable/paid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Common stock issued</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257,385</w:t>
            </w:r>
          </w:p>
        </w:tc>
        <w:tc>
          <w:tcPr>
            <w:tcW w:w="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257,385</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withheld for tax withholding</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(121,871)</w:t>
            </w:r>
          </w:p>
        </w:tc>
      </w:tr>
      <w:tr>
        <w:trPr>
          <w:trHeight w:val="229"/>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Shares repurchased under stock repurchase programs</w:t>
            </w: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(1,506,682)</w:t>
            </w:r>
          </w:p>
        </w:tc>
        <w:tc>
          <w:tcPr>
            <w:tcW w:w="80" w:type="dxa"/>
            <w:vAlign w:val="bottom"/>
            <w:shd w:val="clear" w:color="auto" w:fill="CCEDFF"/>
          </w:tcPr>
          <w:p>
            <w:pPr>
              <w:spacing w:after="0"/>
              <w:rPr>
                <w:sz w:val="19"/>
                <w:szCs w:val="19"/>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(1,506,682)</w:t>
            </w:r>
          </w:p>
        </w:tc>
      </w:tr>
      <w:tr>
        <w:trPr>
          <w:trHeight w:val="230"/>
        </w:trPr>
        <w:tc>
          <w:tcPr>
            <w:tcW w:w="6120" w:type="dxa"/>
            <w:vAlign w:val="bottom"/>
            <w:tcBorders>
              <w:bottom w:val="single" w:sz="8" w:color="CCEDFF"/>
            </w:tcBorders>
          </w:tcPr>
          <w:p>
            <w:pPr>
              <w:ind w:left="220"/>
              <w:spacing w:after="0"/>
              <w:rPr>
                <w:sz w:val="20"/>
                <w:szCs w:val="20"/>
                <w:color w:val="auto"/>
              </w:rPr>
            </w:pPr>
            <w:r>
              <w:rPr>
                <w:rFonts w:ascii="Times New Roman" w:cs="Times New Roman" w:eastAsia="Times New Roman" w:hAnsi="Times New Roman"/>
                <w:sz w:val="18"/>
                <w:szCs w:val="18"/>
                <w:color w:val="auto"/>
              </w:rPr>
              <w:t>Shares issued to Directors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tcBorders>
              <w:bottom w:val="single" w:sz="8" w:color="CCED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19,406</w:t>
            </w:r>
          </w:p>
        </w:tc>
        <w:tc>
          <w:tcPr>
            <w:tcW w:w="80" w:type="dxa"/>
            <w:vAlign w:val="bottom"/>
            <w:tcBorders>
              <w:bottom w:val="single" w:sz="8" w:color="CCED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w:t>
            </w:r>
          </w:p>
        </w:tc>
      </w:tr>
      <w:tr>
        <w:trPr>
          <w:trHeight w:val="223"/>
        </w:trPr>
        <w:tc>
          <w:tcPr>
            <w:tcW w:w="6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134,079,855</w:t>
            </w:r>
          </w:p>
        </w:tc>
        <w:tc>
          <w:tcPr>
            <w:tcW w:w="80" w:type="dxa"/>
            <w:vAlign w:val="bottom"/>
            <w:shd w:val="clear" w:color="auto" w:fill="CCEDFF"/>
          </w:tcPr>
          <w:p>
            <w:pPr>
              <w:spacing w:after="0"/>
              <w:rPr>
                <w:sz w:val="19"/>
                <w:szCs w:val="19"/>
                <w:color w:val="auto"/>
              </w:rPr>
            </w:pP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(56,335,267)</w:t>
            </w:r>
          </w:p>
        </w:tc>
        <w:tc>
          <w:tcPr>
            <w:tcW w:w="80" w:type="dxa"/>
            <w:vAlign w:val="bottom"/>
            <w:shd w:val="clear" w:color="auto" w:fill="CCEDFF"/>
          </w:tcPr>
          <w:p>
            <w:pPr>
              <w:spacing w:after="0"/>
              <w:rPr>
                <w:sz w:val="19"/>
                <w:szCs w:val="19"/>
                <w:color w:val="auto"/>
              </w:rPr>
            </w:pPr>
          </w:p>
        </w:tc>
        <w:tc>
          <w:tcPr>
            <w:tcW w:w="1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77,744,588</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payable/paid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Common stock issued</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237,775</w:t>
            </w:r>
          </w:p>
        </w:tc>
        <w:tc>
          <w:tcPr>
            <w:tcW w:w="80" w:type="dxa"/>
            <w:vAlign w:val="bottom"/>
            <w:shd w:val="clear" w:color="auto" w:fill="CCEDFF"/>
          </w:tcPr>
          <w:p>
            <w:pPr>
              <w:spacing w:after="0"/>
              <w:rPr>
                <w:sz w:val="19"/>
                <w:szCs w:val="19"/>
                <w:color w:val="auto"/>
              </w:rPr>
            </w:pP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237,775</w:t>
            </w: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withheld for tax withholding</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(99,973)</w:t>
            </w:r>
          </w:p>
        </w:tc>
      </w:tr>
      <w:tr>
        <w:trPr>
          <w:trHeight w:val="229"/>
        </w:trPr>
        <w:tc>
          <w:tcPr>
            <w:tcW w:w="612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Shares repurchased under stock repurchase programs</w:t>
            </w:r>
          </w:p>
        </w:tc>
        <w:tc>
          <w:tcPr>
            <w:tcW w:w="168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(4,322,322)</w:t>
            </w:r>
          </w:p>
        </w:tc>
        <w:tc>
          <w:tcPr>
            <w:tcW w:w="80" w:type="dxa"/>
            <w:vAlign w:val="bottom"/>
            <w:shd w:val="clear" w:color="auto" w:fill="CCEDFF"/>
          </w:tcPr>
          <w:p>
            <w:pPr>
              <w:spacing w:after="0"/>
              <w:rPr>
                <w:sz w:val="19"/>
                <w:szCs w:val="19"/>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(4,322,322)</w:t>
            </w:r>
          </w:p>
        </w:tc>
      </w:tr>
      <w:tr>
        <w:trPr>
          <w:trHeight w:val="229"/>
        </w:trPr>
        <w:tc>
          <w:tcPr>
            <w:tcW w:w="6120" w:type="dxa"/>
            <w:vAlign w:val="bottom"/>
            <w:tcBorders>
              <w:bottom w:val="single" w:sz="8" w:color="CCEDFF"/>
            </w:tcBorders>
          </w:tcPr>
          <w:p>
            <w:pPr>
              <w:ind w:left="220"/>
              <w:spacing w:after="0"/>
              <w:rPr>
                <w:sz w:val="20"/>
                <w:szCs w:val="20"/>
                <w:color w:val="auto"/>
              </w:rPr>
            </w:pPr>
            <w:r>
              <w:rPr>
                <w:rFonts w:ascii="Times New Roman" w:cs="Times New Roman" w:eastAsia="Times New Roman" w:hAnsi="Times New Roman"/>
                <w:sz w:val="18"/>
                <w:szCs w:val="18"/>
                <w:color w:val="auto"/>
              </w:rPr>
              <w:t>Shares issued to Directors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Borders>
              <w:bottom w:val="single" w:sz="8" w:color="CCED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Borders>
              <w:bottom w:val="single" w:sz="8" w:color="CCED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48"/>
        </w:trPr>
        <w:tc>
          <w:tcPr>
            <w:tcW w:w="61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134,319,833</w:t>
            </w:r>
          </w:p>
        </w:tc>
        <w:tc>
          <w:tcPr>
            <w:tcW w:w="80" w:type="dxa"/>
            <w:vAlign w:val="bottom"/>
            <w:tcBorders>
              <w:bottom w:val="single" w:sz="8" w:color="CCEDFF"/>
            </w:tcBorders>
            <w:shd w:val="clear" w:color="auto" w:fill="CCEDFF"/>
          </w:tcPr>
          <w:p>
            <w:pPr>
              <w:spacing w:after="0"/>
              <w:rPr>
                <w:sz w:val="21"/>
                <w:szCs w:val="21"/>
                <w:color w:val="auto"/>
              </w:rPr>
            </w:pPr>
          </w:p>
        </w:tc>
        <w:tc>
          <w:tcPr>
            <w:tcW w:w="16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(60,756,650)</w:t>
            </w:r>
          </w:p>
        </w:tc>
        <w:tc>
          <w:tcPr>
            <w:tcW w:w="80" w:type="dxa"/>
            <w:vAlign w:val="bottom"/>
            <w:tcBorders>
              <w:bottom w:val="single" w:sz="8" w:color="CCEDFF"/>
            </w:tcBorders>
            <w:shd w:val="clear" w:color="auto" w:fill="CCEDFF"/>
          </w:tcPr>
          <w:p>
            <w:pPr>
              <w:spacing w:after="0"/>
              <w:rPr>
                <w:sz w:val="21"/>
                <w:szCs w:val="21"/>
                <w:color w:val="auto"/>
              </w:rPr>
            </w:pPr>
          </w:p>
        </w:tc>
        <w:tc>
          <w:tcPr>
            <w:tcW w:w="16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73,563,183</w:t>
            </w:r>
          </w:p>
        </w:tc>
      </w:tr>
      <w:tr>
        <w:trPr>
          <w:trHeight w:val="20"/>
        </w:trPr>
        <w:tc>
          <w:tcPr>
            <w:tcW w:w="6120" w:type="dxa"/>
            <w:vAlign w:val="bottom"/>
            <w:tcBorders>
              <w:top w:val="single" w:sz="8" w:color="CCEDFF"/>
            </w:tcBorders>
          </w:tcPr>
          <w:p>
            <w:pPr>
              <w:spacing w:after="0" w:line="20" w:lineRule="exact"/>
              <w:rPr>
                <w:sz w:val="1"/>
                <w:szCs w:val="1"/>
                <w:color w:val="auto"/>
              </w:rPr>
            </w:pP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20" w:type="dxa"/>
            <w:vAlign w:val="bottom"/>
            <w:tcBorders>
              <w:top w:val="single" w:sz="8" w:color="CCED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issues share-based compensation to its employees and directors who are not employees of the Company. The accounting guidance for share-based compensation requires measurement of compensation cost for share-based awards at fair value and recognition of compensation cost over the service period, net of estimated forfeitures. In connection with awards under its equity-based compensation and benefit plans, the Company is authorized to use newly issued shares or certain shares of common stock held in treasury.</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December 31, 2025, the Company granted approximately 0.3 million awards to a portion of its employees in the form of RSUs, PSUs and PSOs. The aggregate fair value of the awards was approximately $125 million. The RSUs granted in 2026 primarily vest at the end of a three-year service period and primarily all are subject to a performance condition based on the level of achievement of a net new recurring subscription sales performance goal, measured over a one-year period. The PSUs granted in 2026 vest at the end of a three-year service period, are subject to a one-year sale restriction and are also subject to a market condition based on the achievement of an absolute total shareholder return compounded annual growth rate, measured over a three-year period. The PSOs granted in 2026 vest and become exercisable at the end of a three-year service period and are subject to a performance condition based on the combined level of achievement of a cumulative revenue performance goal and a cumulative adjusted EPS performance goal, each measured over a three-year period.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 of share-based compensation expense by category for the periods indicated:</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1"/>
                <w:szCs w:val="11"/>
                <w:color w:val="auto"/>
              </w:rPr>
            </w:pPr>
          </w:p>
        </w:tc>
        <w:tc>
          <w:tcPr>
            <w:tcW w:w="136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2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80" w:type="dxa"/>
            <w:vAlign w:val="bottom"/>
            <w:tcBorders>
              <w:top w:val="single" w:sz="8" w:color="CCEDFF"/>
            </w:tcBorders>
            <w:shd w:val="clear" w:color="auto" w:fill="CCEDFF"/>
          </w:tcPr>
          <w:p>
            <w:pPr>
              <w:spacing w:after="0"/>
              <w:rPr>
                <w:sz w:val="19"/>
                <w:szCs w:val="19"/>
                <w:color w:val="auto"/>
              </w:rPr>
            </w:pPr>
          </w:p>
        </w:tc>
        <w:tc>
          <w:tcPr>
            <w:tcW w:w="26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80" w:type="dxa"/>
            <w:vAlign w:val="bottom"/>
            <w:shd w:val="clear" w:color="auto" w:fill="CCEDFF"/>
          </w:tcPr>
          <w:p>
            <w:pPr>
              <w:spacing w:after="0"/>
              <w:rPr>
                <w:sz w:val="19"/>
                <w:szCs w:val="19"/>
                <w:color w:val="auto"/>
              </w:rPr>
            </w:pPr>
          </w:p>
        </w:tc>
        <w:tc>
          <w:tcPr>
            <w:tcW w:w="26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DFF"/>
          </w:tcPr>
          <w:p>
            <w:pPr>
              <w:spacing w:after="0"/>
              <w:rPr>
                <w:sz w:val="19"/>
                <w:szCs w:val="19"/>
                <w:color w:val="auto"/>
              </w:rPr>
            </w:pPr>
          </w:p>
        </w:tc>
        <w:tc>
          <w:tcPr>
            <w:tcW w:w="144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DFF"/>
          </w:tcPr>
          <w:p>
            <w:pPr>
              <w:spacing w:after="0"/>
              <w:rPr>
                <w:sz w:val="19"/>
                <w:szCs w:val="19"/>
                <w:color w:val="auto"/>
              </w:rPr>
            </w:pPr>
          </w:p>
        </w:tc>
        <w:tc>
          <w:tcPr>
            <w:tcW w:w="144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73,043</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windfall tax benefits for share-based compensation expense related to RSUs, PSUs and exercised options (together, the “Share-based Awards”) granted to Company employees and to directors who are not employees of the Company were $7.2 million, $15.7 million and $11.4 million for the years ended December 31, 2025, 2024 and 2023, respectively.</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$115.5 million of compensation cost related to MSCI unvested share-based awards granted to the Company’s employees and to directors who are not employees of the Company had not yet been recognized. The unrecognized compensation cost relating to unvested stock-based awards expected to vest will be recognized primarily over the next one to three years.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awards under its equity-based compensation and benefit plans, the Company is authorized to issue shares of common stock. As of December 31, 2025, 6.0 million shares of common stock were available for future grants under these plans.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Awards</w:t>
      </w:r>
    </w:p>
    <w:p>
      <w:pPr>
        <w:spacing w:after="0" w:line="121" w:lineRule="exact"/>
        <w:rPr>
          <w:sz w:val="20"/>
          <w:szCs w:val="20"/>
          <w:color w:val="auto"/>
        </w:rPr>
      </w:pPr>
    </w:p>
    <w:p>
      <w:pPr>
        <w:ind w:right="420" w:firstLine="648"/>
        <w:spacing w:after="0" w:line="312" w:lineRule="auto"/>
        <w:rPr>
          <w:sz w:val="20"/>
          <w:szCs w:val="20"/>
          <w:color w:val="auto"/>
        </w:rPr>
      </w:pPr>
      <w:r>
        <w:rPr>
          <w:rFonts w:ascii="Times New Roman" w:cs="Times New Roman" w:eastAsia="Times New Roman" w:hAnsi="Times New Roman"/>
          <w:sz w:val="17"/>
          <w:szCs w:val="17"/>
          <w:color w:val="auto"/>
        </w:rPr>
        <w:t>Certain Company employees have been granted Share-based Awards pursuant to a share-based compensation plan. Outstanding Share-based Awards include RSUs and PSUs. Recipients of Share-based Awards generally have rights to receive dividend equivalents that are subject to vesting.</w:t>
      </w:r>
    </w:p>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the target number of PSUs granted unless it has determined, based on the actual achievement of performance measures, that an employee will receive a different amount of shares underlying the PSUs, in which case the Company reports the amount of shares employees are likely to receive.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PSUs on the award dates were estimated under the Monte Carlo method using the following weighted average assumptions:</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 Ended</w:t>
            </w:r>
          </w:p>
        </w:tc>
        <w:tc>
          <w:tcPr>
            <w:tcW w:w="168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28"/>
        </w:trPr>
        <w:tc>
          <w:tcPr>
            <w:tcW w:w="5840" w:type="dxa"/>
            <w:vAlign w:val="bottom"/>
          </w:tcPr>
          <w:p>
            <w:pPr>
              <w:spacing w:after="0"/>
              <w:rPr>
                <w:sz w:val="11"/>
                <w:szCs w:val="11"/>
                <w:color w:val="auto"/>
              </w:rPr>
            </w:pPr>
          </w:p>
        </w:tc>
        <w:tc>
          <w:tcPr>
            <w:tcW w:w="176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jc w:val="right"/>
              <w:ind w:right="35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5840" w:type="dxa"/>
            <w:vAlign w:val="bottom"/>
            <w:tcBorders>
              <w:bottom w:val="single" w:sz="8" w:color="CCEDFF"/>
            </w:tcBorders>
          </w:tcPr>
          <w:p>
            <w:pPr>
              <w:spacing w:after="0"/>
              <w:rPr>
                <w:sz w:val="17"/>
                <w:szCs w:val="17"/>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DFF"/>
            </w:tcBorders>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DFF"/>
            </w:tcBorders>
          </w:tcPr>
          <w:p>
            <w:pPr>
              <w:spacing w:after="0"/>
              <w:rPr>
                <w:sz w:val="17"/>
                <w:szCs w:val="17"/>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8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stock price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32.57 %</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41.10 %</w:t>
            </w:r>
          </w:p>
        </w:tc>
      </w:tr>
      <w:tr>
        <w:trPr>
          <w:trHeight w:val="230"/>
        </w:trPr>
        <w:tc>
          <w:tcPr>
            <w:tcW w:w="5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DFF"/>
          </w:tcPr>
          <w:p>
            <w:pPr>
              <w:spacing w:after="0"/>
              <w:rPr>
                <w:sz w:val="19"/>
                <w:szCs w:val="19"/>
                <w:color w:val="auto"/>
              </w:rPr>
            </w:pPr>
          </w:p>
        </w:tc>
        <w:tc>
          <w:tcPr>
            <w:tcW w:w="1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DFF"/>
          </w:tcPr>
          <w:p>
            <w:pPr>
              <w:spacing w:after="0"/>
              <w:rPr>
                <w:sz w:val="19"/>
                <w:szCs w:val="19"/>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of Lack of Marketability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7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risk-free interest rate was determined based on the U.S. Constant Maturity Treasury yield curve as of the valuation dates with a maturity commensurate with the terms. The expected stock price volatility was determined using historical volatility. Since the PSU awards are dividend-protected, the assumed dividend yield applied in the valuation was 0.0%.</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concerning the Company’s vested and unvested Share-based Awards applicable to its employees (share data in thousands) for the period indicated:</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2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7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tcPr>
          <w:p>
            <w:pPr>
              <w:jc w:val="center"/>
              <w:ind w:right="278"/>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4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5"/>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fair value data)</w:t>
            </w: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60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Vested and unvested Share-based Awards at December 31, 2024</w:t>
            </w:r>
          </w:p>
        </w:tc>
        <w:tc>
          <w:tcPr>
            <w:tcW w:w="100" w:type="dxa"/>
            <w:vAlign w:val="bottom"/>
            <w:tcBorders>
              <w:top w:val="single" w:sz="8" w:color="CCEDFF"/>
            </w:tcBorders>
            <w:shd w:val="clear" w:color="auto" w:fill="CCEDFF"/>
          </w:tcPr>
          <w:p>
            <w:pPr>
              <w:spacing w:after="0"/>
              <w:rPr>
                <w:sz w:val="19"/>
                <w:szCs w:val="19"/>
                <w:color w:val="auto"/>
              </w:rPr>
            </w:pPr>
          </w:p>
        </w:tc>
        <w:tc>
          <w:tcPr>
            <w:tcW w:w="17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DFF"/>
            </w:tcBorders>
            <w:shd w:val="clear" w:color="auto" w:fill="CCEDFF"/>
          </w:tcPr>
          <w:p>
            <w:pPr>
              <w:spacing w:after="0"/>
              <w:rPr>
                <w:sz w:val="19"/>
                <w:szCs w:val="19"/>
                <w:color w:val="auto"/>
              </w:rPr>
            </w:pPr>
          </w:p>
        </w:tc>
        <w:tc>
          <w:tcPr>
            <w:tcW w:w="360" w:type="dxa"/>
            <w:vAlign w:val="bottom"/>
            <w:tcBorders>
              <w:top w:val="single" w:sz="8" w:color="auto"/>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0" w:type="dxa"/>
            <w:vAlign w:val="bottom"/>
          </w:tcPr>
          <w:p>
            <w:pPr>
              <w:spacing w:after="0"/>
              <w:rPr>
                <w:sz w:val="1"/>
                <w:szCs w:val="1"/>
                <w:color w:val="auto"/>
              </w:rPr>
            </w:pPr>
          </w:p>
        </w:tc>
      </w:tr>
      <w:tr>
        <w:trPr>
          <w:trHeight w:val="230"/>
        </w:trPr>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440.32</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60" w:type="dxa"/>
            <w:vAlign w:val="bottom"/>
            <w:gridSpan w:val="2"/>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D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Canceled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CCED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8"/>
                <w:szCs w:val="18"/>
                <w:color w:val="auto"/>
              </w:rPr>
              <w:t>558.45</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Vested and unvested Share-based Awards at December 31, 2025</w:t>
            </w:r>
          </w:p>
        </w:tc>
        <w:tc>
          <w:tcPr>
            <w:tcW w:w="1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60" w:type="dxa"/>
            <w:vAlign w:val="bottom"/>
            <w:tcBorders>
              <w:bottom w:val="single" w:sz="8" w:color="CCEDFF"/>
            </w:tcBorders>
            <w:gridSpan w:val="2"/>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532.62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142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Vested and unvested Share-based Awards expected to vest</w:t>
            </w:r>
          </w:p>
        </w:tc>
        <w:tc>
          <w:tcPr>
            <w:tcW w:w="1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tcBorders>
              <w:bottom w:val="single" w:sz="8" w:color="CCEDFF"/>
            </w:tcBorders>
            <w:gridSpan w:val="2"/>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142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Share-based Awards held by the Company’s employees that converted to MSCI common stock during the years ended December 31, 2025, 2024 and 2023 was $133.3 million, $159.3 million and $107.8 million, respectively.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Certain Company employees have also been granted stock option awards pursuant to a share-based compensation plan. Outstanding stock option awards include PSOs and PPOs. On the award date, the fair value of PSOs were estimated using the Black-Scholes pricing model, while the fair value of PPOs were estimated using a lattice model. We utilized a different model for PPOs because they did not meet the criteria to qualify for the simplified method provided by the SEC to estimate expected life. The estimated fair value of PSOs were calculated using the following weighted average assumptions:</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8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29"/>
        </w:trPr>
        <w:tc>
          <w:tcPr>
            <w:tcW w:w="4080" w:type="dxa"/>
            <w:vAlign w:val="bottom"/>
          </w:tcPr>
          <w:p>
            <w:pPr>
              <w:spacing w:after="0"/>
              <w:rPr>
                <w:sz w:val="11"/>
                <w:szCs w:val="11"/>
                <w:color w:val="auto"/>
              </w:rPr>
            </w:pPr>
          </w:p>
        </w:tc>
        <w:tc>
          <w:tcPr>
            <w:tcW w:w="192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tcPr>
          <w:p>
            <w:pPr>
              <w:jc w:val="right"/>
              <w:ind w:right="41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080" w:type="dxa"/>
            <w:vAlign w:val="bottom"/>
            <w:tcBorders>
              <w:bottom w:val="single" w:sz="8" w:color="CCEDFF"/>
            </w:tcBorders>
          </w:tcPr>
          <w:p>
            <w:pPr>
              <w:spacing w:after="0"/>
              <w:rPr>
                <w:sz w:val="17"/>
                <w:szCs w:val="17"/>
                <w:color w:val="auto"/>
              </w:rPr>
            </w:pPr>
          </w:p>
        </w:tc>
        <w:tc>
          <w:tcPr>
            <w:tcW w:w="1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D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DFF"/>
            </w:tcBorders>
          </w:tcPr>
          <w:p>
            <w:pPr>
              <w:spacing w:after="0"/>
              <w:rPr>
                <w:sz w:val="17"/>
                <w:szCs w:val="17"/>
                <w:color w:val="auto"/>
              </w:rPr>
            </w:pPr>
          </w:p>
        </w:tc>
        <w:tc>
          <w:tcPr>
            <w:tcW w:w="1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0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8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volatility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32.81 %</w:t>
            </w:r>
          </w:p>
        </w:tc>
      </w:tr>
      <w:tr>
        <w:trPr>
          <w:trHeight w:val="229"/>
        </w:trPr>
        <w:tc>
          <w:tcPr>
            <w:tcW w:w="40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DFF"/>
          </w:tcPr>
          <w:p>
            <w:pPr>
              <w:spacing w:after="0"/>
              <w:rPr>
                <w:sz w:val="19"/>
                <w:szCs w:val="19"/>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7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estimated fair value of PPOs were calculated using the following weighted average assumptions: risk-free interest rate of 4.47%, expected stock volatility of 30.41%, expected life of 8.3 years, and expected dividend yield of 1.22%.</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inputs for PSOs and PPOs was consistent, with the exception of the estimate of expected life. The risk-free interest rate was determined based on the U.S. Constant Maturity Treasury yield curve as of the valuation date with a term commensurate with the expected life of the stock option award. The expected stock price volatility was calculated using historical volatility. For PSOs, because the Company does not have sufficient historical exercise data, we utilized the simplified method provided by the SEC to calculate the expected life as the average of the contractual term and vesting period. For PPOs, the expected life was derived from the output of an option valuation model. The expected dividend yield was calculated by annualizing the most recent cash dividend declared by the Company’s Board of Directors at grant date and dividing by the closing stock price on the grant date.</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concerning the Company’s unvested PSOs, unvested PPOs and exercisable options, related to its employees (share data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3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3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60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fair value data)</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360" w:type="dxa"/>
            <w:vAlign w:val="bottom"/>
          </w:tcPr>
          <w:p>
            <w:pPr>
              <w:jc w:val="right"/>
              <w:ind w:right="437"/>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Vested and unvested stock option awards at December 31, 2024</w:t>
            </w:r>
          </w:p>
        </w:tc>
        <w:tc>
          <w:tcPr>
            <w:tcW w:w="80" w:type="dxa"/>
            <w:vAlign w:val="bottom"/>
            <w:tcBorders>
              <w:top w:val="single" w:sz="8" w:color="CCEDFF"/>
            </w:tcBorders>
            <w:shd w:val="clear" w:color="auto" w:fill="CCEDFF"/>
          </w:tcPr>
          <w:p>
            <w:pPr>
              <w:spacing w:after="0"/>
              <w:rPr>
                <w:sz w:val="19"/>
                <w:szCs w:val="19"/>
                <w:color w:val="auto"/>
              </w:rPr>
            </w:pPr>
          </w:p>
        </w:tc>
        <w:tc>
          <w:tcPr>
            <w:tcW w:w="13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top w:val="single" w:sz="8" w:color="CCEDFF"/>
            </w:tcBorders>
            <w:shd w:val="clear" w:color="auto" w:fill="CCEDFF"/>
          </w:tcPr>
          <w:p>
            <w:pPr>
              <w:spacing w:after="0"/>
              <w:rPr>
                <w:sz w:val="19"/>
                <w:szCs w:val="19"/>
                <w:color w:val="auto"/>
              </w:rPr>
            </w:pPr>
          </w:p>
        </w:tc>
        <w:tc>
          <w:tcPr>
            <w:tcW w:w="1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570.19</w:t>
            </w:r>
          </w:p>
        </w:tc>
        <w:tc>
          <w:tcPr>
            <w:tcW w:w="100" w:type="dxa"/>
            <w:vAlign w:val="bottom"/>
            <w:tcBorders>
              <w:top w:val="single" w:sz="8" w:color="CCEDFF"/>
            </w:tcBorders>
            <w:shd w:val="clear" w:color="auto" w:fill="CCEDFF"/>
          </w:tcPr>
          <w:p>
            <w:pPr>
              <w:spacing w:after="0"/>
              <w:rPr>
                <w:sz w:val="19"/>
                <w:szCs w:val="19"/>
                <w:color w:val="auto"/>
              </w:rPr>
            </w:pPr>
          </w:p>
        </w:tc>
        <w:tc>
          <w:tcPr>
            <w:tcW w:w="1280" w:type="dxa"/>
            <w:vAlign w:val="bottom"/>
            <w:tcBorders>
              <w:top w:val="single" w:sz="8" w:color="auto"/>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c>
          <w:tcPr>
            <w:tcW w:w="140" w:type="dxa"/>
            <w:vAlign w:val="bottom"/>
            <w:tcBorders>
              <w:top w:val="single" w:sz="8" w:color="auto"/>
            </w:tcBorders>
            <w:shd w:val="clear" w:color="auto" w:fill="CCEDFF"/>
          </w:tcPr>
          <w:p>
            <w:pPr>
              <w:spacing w:after="0"/>
              <w:rPr>
                <w:sz w:val="19"/>
                <w:szCs w:val="19"/>
                <w:color w:val="auto"/>
              </w:rPr>
            </w:pPr>
          </w:p>
        </w:tc>
        <w:tc>
          <w:tcPr>
            <w:tcW w:w="1360" w:type="dxa"/>
            <w:vAlign w:val="bottom"/>
            <w:tcBorders>
              <w:top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100" w:type="dxa"/>
            <w:vAlign w:val="bottom"/>
            <w:shd w:val="clear" w:color="auto" w:fill="CCEDFF"/>
          </w:tcPr>
          <w:p>
            <w:pPr>
              <w:spacing w:after="0"/>
              <w:rPr>
                <w:sz w:val="19"/>
                <w:szCs w:val="19"/>
                <w:color w:val="auto"/>
              </w:rPr>
            </w:pPr>
          </w:p>
        </w:tc>
        <w:tc>
          <w:tcPr>
            <w:tcW w:w="12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D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Canceled or 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D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8"/>
                <w:szCs w:val="18"/>
                <w:color w:val="auto"/>
              </w:rPr>
              <w:t>582.05</w:t>
            </w:r>
          </w:p>
        </w:tc>
        <w:tc>
          <w:tcPr>
            <w:tcW w:w="100" w:type="dxa"/>
            <w:vAlign w:val="bottom"/>
            <w:tcBorders>
              <w:bottom w:val="single" w:sz="8" w:color="CCEDFF"/>
            </w:tcBorders>
          </w:tcPr>
          <w:p>
            <w:pPr>
              <w:spacing w:after="0"/>
              <w:rPr>
                <w:sz w:val="19"/>
                <w:szCs w:val="19"/>
                <w:color w:val="auto"/>
              </w:rPr>
            </w:pPr>
          </w:p>
        </w:tc>
        <w:tc>
          <w:tcPr>
            <w:tcW w:w="1280" w:type="dxa"/>
            <w:vAlign w:val="bottom"/>
            <w:tcBorders>
              <w:bottom w:val="single" w:sz="8" w:color="CCEDFF"/>
            </w:tcBorders>
          </w:tcPr>
          <w:p>
            <w:pPr>
              <w:spacing w:after="0"/>
              <w:rPr>
                <w:sz w:val="19"/>
                <w:szCs w:val="19"/>
                <w:color w:val="auto"/>
              </w:rPr>
            </w:pPr>
          </w:p>
        </w:tc>
        <w:tc>
          <w:tcPr>
            <w:tcW w:w="80" w:type="dxa"/>
            <w:vAlign w:val="bottom"/>
            <w:tcBorders>
              <w:bottom w:val="single" w:sz="8" w:color="CCEDFF"/>
            </w:tcBorders>
          </w:tcPr>
          <w:p>
            <w:pPr>
              <w:spacing w:after="0"/>
              <w:rPr>
                <w:sz w:val="19"/>
                <w:szCs w:val="19"/>
                <w:color w:val="auto"/>
              </w:rPr>
            </w:pPr>
          </w:p>
        </w:tc>
        <w:tc>
          <w:tcPr>
            <w:tcW w:w="140" w:type="dxa"/>
            <w:vAlign w:val="bottom"/>
            <w:tcBorders>
              <w:bottom w:val="single" w:sz="8" w:color="CCEDFF"/>
            </w:tcBorders>
          </w:tcPr>
          <w:p>
            <w:pPr>
              <w:spacing w:after="0"/>
              <w:rPr>
                <w:sz w:val="19"/>
                <w:szCs w:val="19"/>
                <w:color w:val="auto"/>
              </w:rPr>
            </w:pPr>
          </w:p>
        </w:tc>
        <w:tc>
          <w:tcPr>
            <w:tcW w:w="1360" w:type="dxa"/>
            <w:vAlign w:val="bottom"/>
            <w:tcBorders>
              <w:bottom w:val="single" w:sz="8" w:color="CCED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DFF"/>
            </w:tcBorders>
            <w:gridSpan w:val="2"/>
            <w:shd w:val="clear" w:color="auto" w:fill="CCED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unvested stock option awards at December 31, 2025</w:t>
            </w:r>
          </w:p>
        </w:tc>
        <w:tc>
          <w:tcPr>
            <w:tcW w:w="1300" w:type="dxa"/>
            <w:vAlign w:val="bottom"/>
            <w:tcBorders>
              <w:bottom w:val="single" w:sz="8" w:color="auto"/>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240" w:type="dxa"/>
            <w:vAlign w:val="bottom"/>
            <w:tcBorders>
              <w:bottom w:val="single" w:sz="8" w:color="CCEDFF"/>
            </w:tcBorders>
            <w:gridSpan w:val="2"/>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682.32</w:t>
            </w:r>
          </w:p>
        </w:tc>
        <w:tc>
          <w:tcPr>
            <w:tcW w:w="100" w:type="dxa"/>
            <w:vAlign w:val="bottom"/>
            <w:tcBorders>
              <w:bottom w:val="single" w:sz="8" w:color="CCEDFF"/>
            </w:tcBorders>
            <w:shd w:val="clear" w:color="auto" w:fill="CCEDFF"/>
          </w:tcPr>
          <w:p>
            <w:pPr>
              <w:spacing w:after="0"/>
              <w:rPr>
                <w:sz w:val="18"/>
                <w:szCs w:val="18"/>
                <w:color w:val="auto"/>
              </w:rPr>
            </w:pPr>
          </w:p>
        </w:tc>
        <w:tc>
          <w:tcPr>
            <w:tcW w:w="1280" w:type="dxa"/>
            <w:vAlign w:val="bottom"/>
            <w:tcBorders>
              <w:bottom w:val="single" w:sz="8" w:color="CCEDFF"/>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DFF"/>
            </w:tcBorders>
            <w:shd w:val="clear" w:color="auto" w:fill="CCEDFF"/>
          </w:tcPr>
          <w:p>
            <w:pPr>
              <w:spacing w:after="0"/>
              <w:rPr>
                <w:sz w:val="18"/>
                <w:szCs w:val="18"/>
                <w:color w:val="auto"/>
              </w:rPr>
            </w:pPr>
          </w:p>
        </w:tc>
        <w:tc>
          <w:tcPr>
            <w:tcW w:w="140" w:type="dxa"/>
            <w:vAlign w:val="bottom"/>
            <w:tcBorders>
              <w:bottom w:val="single" w:sz="8" w:color="CCEDFF"/>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DFF"/>
            </w:tcBorders>
            <w:shd w:val="clear" w:color="auto" w:fill="CCED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tcBorders>
          </w:tcPr>
          <w:p>
            <w:pPr>
              <w:spacing w:after="0" w:line="20" w:lineRule="exact"/>
              <w:rPr>
                <w:sz w:val="1"/>
                <w:szCs w:val="1"/>
                <w:color w:val="auto"/>
              </w:rPr>
            </w:pPr>
          </w:p>
        </w:tc>
        <w:tc>
          <w:tcPr>
            <w:tcW w:w="112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28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6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Exercisable stock option awards at December 31, 2025</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10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tcBorders>
          </w:tcPr>
          <w:p>
            <w:pPr>
              <w:spacing w:after="0" w:line="20" w:lineRule="exact"/>
              <w:rPr>
                <w:sz w:val="1"/>
                <w:szCs w:val="1"/>
                <w:color w:val="auto"/>
              </w:rPr>
            </w:pPr>
          </w:p>
        </w:tc>
        <w:tc>
          <w:tcPr>
            <w:tcW w:w="112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28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6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Unvested stock option awards expected to vest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Borders>
              <w:bottom w:val="single" w:sz="8" w:color="CCEDFF"/>
            </w:tcBorders>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665.73</w:t>
            </w:r>
          </w:p>
        </w:tc>
        <w:tc>
          <w:tcPr>
            <w:tcW w:w="10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DFF"/>
              <w:bottom w:val="single" w:sz="8" w:color="CCED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tcBorders>
          </w:tcPr>
          <w:p>
            <w:pPr>
              <w:spacing w:after="0" w:line="20" w:lineRule="exact"/>
              <w:rPr>
                <w:sz w:val="1"/>
                <w:szCs w:val="1"/>
                <w:color w:val="auto"/>
              </w:rPr>
            </w:pPr>
          </w:p>
        </w:tc>
        <w:tc>
          <w:tcPr>
            <w:tcW w:w="112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28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tcBorders>
          </w:tcPr>
          <w:p>
            <w:pPr>
              <w:spacing w:after="0" w:line="20" w:lineRule="exact"/>
              <w:rPr>
                <w:sz w:val="1"/>
                <w:szCs w:val="1"/>
                <w:color w:val="auto"/>
              </w:rPr>
            </w:pPr>
          </w:p>
        </w:tc>
        <w:tc>
          <w:tcPr>
            <w:tcW w:w="136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5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300" w:hanging="652"/>
        <w:spacing w:after="0" w:line="217" w:lineRule="auto"/>
        <w:tabs>
          <w:tab w:leader="none" w:pos="647"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using the closing stock price on the last trading day of fiscal 2025, less the option exercise price, multiplied by the number of vested and unvested stock options and for unvested PSOs multiplied by the expected payout %.</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exercisable stock options during the years ended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income before provision for income taxes by domestic and foreign operations for the periods indicated:</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6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818,443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859,706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643,492</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725,569</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provision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1,369,061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 w:lineRule="exact"/>
        <w:rPr>
          <w:sz w:val="20"/>
          <w:szCs w:val="20"/>
          <w:color w:val="auto"/>
        </w:rPr>
      </w:pPr>
    </w:p>
    <w:p>
      <w:pPr>
        <w:ind w:left="660" w:right="380" w:hanging="652"/>
        <w:spacing w:after="0" w:line="225" w:lineRule="auto"/>
        <w:tabs>
          <w:tab w:leader="none" w:pos="647"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Foreign income before provision for income taxes is defined as income generated from operations located outside the U.S., which includes income from foreign branches of U.S. companies.</w:t>
      </w: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provision for (benefit from) income taxes consisted of:</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0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80" w:type="dxa"/>
            <w:vAlign w:val="bottom"/>
            <w:tcBorders>
              <w:bottom w:val="single" w:sz="8" w:color="CCED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D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D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9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95,326</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115,012</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06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U.S. state and local</w:t>
            </w:r>
          </w:p>
        </w:tc>
        <w:tc>
          <w:tcPr>
            <w:tcW w:w="19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060" w:type="dxa"/>
            <w:vAlign w:val="bottom"/>
            <w:tcBorders>
              <w:bottom w:val="single" w:sz="8" w:color="CCEDFF"/>
            </w:tcBorders>
          </w:tcPr>
          <w:p>
            <w:pPr>
              <w:ind w:left="220"/>
              <w:spacing w:after="0"/>
              <w:rPr>
                <w:sz w:val="20"/>
                <w:szCs w:val="20"/>
                <w:color w:val="auto"/>
              </w:rPr>
            </w:pPr>
            <w:r>
              <w:rPr>
                <w:rFonts w:ascii="Times New Roman" w:cs="Times New Roman" w:eastAsia="Times New Roman" w:hAnsi="Times New Roman"/>
                <w:sz w:val="18"/>
                <w:szCs w:val="18"/>
                <w:color w:val="auto"/>
              </w:rPr>
              <w:t>Non U.S.</w:t>
            </w:r>
          </w:p>
        </w:tc>
        <w:tc>
          <w:tcPr>
            <w:tcW w:w="1980" w:type="dxa"/>
            <w:vAlign w:val="bottom"/>
            <w:tcBorders>
              <w:bottom w:val="single" w:sz="8" w:color="CCEDFF"/>
            </w:tcBorders>
          </w:tcPr>
          <w:p>
            <w:pPr>
              <w:spacing w:after="0"/>
              <w:rPr>
                <w:sz w:val="19"/>
                <w:szCs w:val="19"/>
                <w:color w:val="auto"/>
              </w:rPr>
            </w:pP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135,193</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98,581</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6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current tax provision/(benefit)</w:t>
            </w:r>
          </w:p>
        </w:tc>
        <w:tc>
          <w:tcPr>
            <w:tcW w:w="19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245,277</w:t>
            </w:r>
          </w:p>
        </w:tc>
        <w:tc>
          <w:tcPr>
            <w:tcW w:w="8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231,127</w:t>
            </w: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235,727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06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19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42,268</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state and local</w:t>
            </w: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060" w:type="dxa"/>
            <w:vAlign w:val="bottom"/>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Non U.S.</w:t>
            </w:r>
          </w:p>
        </w:tc>
        <w:tc>
          <w:tcPr>
            <w:tcW w:w="19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60" w:type="dxa"/>
            <w:vAlign w:val="bottom"/>
            <w:tcBorders>
              <w:bottom w:val="single" w:sz="8" w:color="CCED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provision/(benefit)</w:t>
            </w:r>
          </w:p>
        </w:tc>
        <w:tc>
          <w:tcPr>
            <w:tcW w:w="1980" w:type="dxa"/>
            <w:vAlign w:val="bottom"/>
            <w:tcBorders>
              <w:bottom w:val="single" w:sz="8" w:color="CCEDFF"/>
            </w:tcBorders>
          </w:tcPr>
          <w:p>
            <w:pPr>
              <w:spacing w:after="0"/>
              <w:rPr>
                <w:sz w:val="19"/>
                <w:szCs w:val="19"/>
                <w:color w:val="auto"/>
              </w:rPr>
            </w:pP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46,674</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0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291,951</w:t>
            </w: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220,469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60" w:type="dxa"/>
            <w:vAlign w:val="bottom"/>
            <w:tcBorders>
              <w:top w:val="single" w:sz="8" w:color="CCEDFF"/>
            </w:tcBorders>
          </w:tcPr>
          <w:p>
            <w:pPr>
              <w:spacing w:after="0" w:line="20" w:lineRule="exact"/>
              <w:rPr>
                <w:sz w:val="1"/>
                <w:szCs w:val="1"/>
                <w:color w:val="auto"/>
              </w:rPr>
            </w:pPr>
          </w:p>
        </w:tc>
        <w:tc>
          <w:tcPr>
            <w:tcW w:w="1980" w:type="dxa"/>
            <w:vAlign w:val="bottom"/>
            <w:tcBorders>
              <w:top w:val="single" w:sz="8" w:color="CCEDFF"/>
              <w:bottom w:val="single" w:sz="8" w:color="CCEDFF"/>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income tax rate to the effective income tax rate: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31"/>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tcPr>
          <w:p>
            <w:pPr>
              <w:jc w:val="center"/>
              <w:ind w:left="29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5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left="41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11"/>
                <w:szCs w:val="11"/>
                <w:color w:val="auto"/>
              </w:rPr>
            </w:pPr>
          </w:p>
        </w:tc>
      </w:tr>
      <w:tr>
        <w:trPr>
          <w:trHeight w:val="194"/>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19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D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D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80" w:type="dxa"/>
            <w:vAlign w:val="bottom"/>
            <w:tcBorders>
              <w:bottom w:val="single" w:sz="8" w:color="CCED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D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6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42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 w:type="dxa"/>
            <w:vAlign w:val="bottom"/>
            <w:shd w:val="clear" w:color="auto" w:fill="CCED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313,794</w:t>
            </w:r>
          </w:p>
        </w:tc>
        <w:tc>
          <w:tcPr>
            <w:tcW w:w="80" w:type="dxa"/>
            <w:vAlign w:val="bottom"/>
            <w:shd w:val="clear" w:color="auto" w:fill="CCEDFF"/>
          </w:tcPr>
          <w:p>
            <w:pPr>
              <w:spacing w:after="0"/>
              <w:rPr>
                <w:sz w:val="23"/>
                <w:szCs w:val="23"/>
                <w:color w:val="auto"/>
              </w:rPr>
            </w:pPr>
          </w:p>
        </w:tc>
        <w:tc>
          <w:tcPr>
            <w:tcW w:w="480" w:type="dxa"/>
            <w:vAlign w:val="bottom"/>
            <w:shd w:val="clear" w:color="auto" w:fill="CCEDFF"/>
          </w:tcPr>
          <w:p>
            <w:pPr>
              <w:spacing w:after="0"/>
              <w:rPr>
                <w:sz w:val="23"/>
                <w:szCs w:val="23"/>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D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284,795</w:t>
            </w:r>
          </w:p>
        </w:tc>
        <w:tc>
          <w:tcPr>
            <w:tcW w:w="80" w:type="dxa"/>
            <w:vAlign w:val="bottom"/>
            <w:shd w:val="clear" w:color="auto" w:fill="CCEDFF"/>
          </w:tcPr>
          <w:p>
            <w:pPr>
              <w:spacing w:after="0"/>
              <w:rPr>
                <w:sz w:val="23"/>
                <w:szCs w:val="23"/>
                <w:color w:val="auto"/>
              </w:rPr>
            </w:pPr>
          </w:p>
        </w:tc>
        <w:tc>
          <w:tcPr>
            <w:tcW w:w="480" w:type="dxa"/>
            <w:vAlign w:val="bottom"/>
            <w:shd w:val="clear" w:color="auto" w:fill="CCEDFF"/>
          </w:tcPr>
          <w:p>
            <w:pPr>
              <w:spacing w:after="0"/>
              <w:rPr>
                <w:sz w:val="23"/>
                <w:szCs w:val="23"/>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DFF"/>
          </w:tcPr>
          <w:p>
            <w:pPr>
              <w:spacing w:after="0"/>
              <w:rPr>
                <w:sz w:val="23"/>
                <w:szCs w:val="23"/>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287,503</w:t>
            </w:r>
          </w:p>
        </w:tc>
        <w:tc>
          <w:tcPr>
            <w:tcW w:w="80" w:type="dxa"/>
            <w:vAlign w:val="bottom"/>
            <w:shd w:val="clear" w:color="auto" w:fill="CCEDFF"/>
          </w:tcPr>
          <w:p>
            <w:pPr>
              <w:spacing w:after="0"/>
              <w:rPr>
                <w:sz w:val="23"/>
                <w:szCs w:val="23"/>
                <w:color w:val="auto"/>
              </w:rPr>
            </w:pPr>
          </w:p>
        </w:tc>
        <w:tc>
          <w:tcPr>
            <w:tcW w:w="460" w:type="dxa"/>
            <w:vAlign w:val="bottom"/>
            <w:shd w:val="clear" w:color="auto" w:fill="CCEDFF"/>
          </w:tcPr>
          <w:p>
            <w:pPr>
              <w:spacing w:after="0"/>
              <w:rPr>
                <w:sz w:val="23"/>
                <w:szCs w:val="23"/>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175"/>
        </w:trPr>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 income tax</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43"/>
        </w:trPr>
        <w:tc>
          <w:tcPr>
            <w:tcW w:w="42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effect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42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spacing w:after="0"/>
              <w:rPr>
                <w:sz w:val="19"/>
                <w:szCs w:val="19"/>
                <w:color w:val="auto"/>
              </w:rPr>
            </w:pPr>
          </w:p>
        </w:tc>
      </w:tr>
      <w:tr>
        <w:trPr>
          <w:trHeight w:val="230"/>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20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(32,999)</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Recognition of tax basis intangibles</w:t>
            </w:r>
          </w:p>
        </w:tc>
        <w:tc>
          <w:tcPr>
            <w:tcW w:w="300" w:type="dxa"/>
            <w:vAlign w:val="bottom"/>
          </w:tcPr>
          <w:p>
            <w:pPr>
              <w:spacing w:after="0"/>
              <w:rPr>
                <w:sz w:val="19"/>
                <w:szCs w:val="19"/>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20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Cayman Islands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00" w:type="dxa"/>
            <w:vAlign w:val="bottom"/>
            <w:gridSpan w:val="2"/>
            <w:shd w:val="clear" w:color="auto" w:fill="CCEDFF"/>
          </w:tcPr>
          <w:p>
            <w:pPr>
              <w:ind w:left="36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00" w:type="dxa"/>
            <w:vAlign w:val="bottom"/>
            <w:shd w:val="clear" w:color="auto" w:fill="CCEDFF"/>
          </w:tcPr>
          <w:p>
            <w:pPr>
              <w:spacing w:after="0"/>
              <w:rPr>
                <w:sz w:val="19"/>
                <w:szCs w:val="19"/>
                <w:color w:val="auto"/>
              </w:rPr>
            </w:pPr>
          </w:p>
        </w:tc>
        <w:tc>
          <w:tcPr>
            <w:tcW w:w="1300" w:type="dxa"/>
            <w:vAlign w:val="bottom"/>
            <w:gridSpan w:val="3"/>
            <w:shd w:val="clear" w:color="auto" w:fill="CCED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8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(18,433)</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6"/>
        </w:trPr>
        <w:tc>
          <w:tcPr>
            <w:tcW w:w="4200" w:type="dxa"/>
            <w:vAlign w:val="bottom"/>
            <w:gridSpan w:val="2"/>
            <w:shd w:val="clear" w:color="auto" w:fill="CCEDFF"/>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changes in tax laws or rates enacted in the</w:t>
            </w:r>
          </w:p>
        </w:tc>
        <w:tc>
          <w:tcPr>
            <w:tcW w:w="30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68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70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88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460" w:type="dxa"/>
            <w:vAlign w:val="bottom"/>
            <w:shd w:val="clear" w:color="auto" w:fill="CCEDFF"/>
          </w:tcPr>
          <w:p>
            <w:pPr>
              <w:spacing w:after="0"/>
              <w:rPr>
                <w:sz w:val="15"/>
                <w:szCs w:val="15"/>
                <w:color w:val="auto"/>
              </w:rPr>
            </w:pPr>
          </w:p>
        </w:tc>
        <w:tc>
          <w:tcPr>
            <w:tcW w:w="660" w:type="dxa"/>
            <w:vAlign w:val="bottom"/>
            <w:shd w:val="clear" w:color="auto" w:fill="CCEDFF"/>
          </w:tcPr>
          <w:p>
            <w:pPr>
              <w:spacing w:after="0"/>
              <w:rPr>
                <w:sz w:val="15"/>
                <w:szCs w:val="15"/>
                <w:color w:val="auto"/>
              </w:rPr>
            </w:pPr>
          </w:p>
        </w:tc>
      </w:tr>
      <w:tr>
        <w:trPr>
          <w:trHeight w:val="243"/>
        </w:trPr>
        <w:tc>
          <w:tcPr>
            <w:tcW w:w="420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current period</w:t>
            </w:r>
          </w:p>
        </w:tc>
        <w:tc>
          <w:tcPr>
            <w:tcW w:w="300" w:type="dxa"/>
            <w:vAlign w:val="bottom"/>
            <w:shd w:val="clear" w:color="auto" w:fill="CCEDFF"/>
          </w:tcPr>
          <w:p>
            <w:pPr>
              <w:spacing w:after="0"/>
              <w:rPr>
                <w:sz w:val="21"/>
                <w:szCs w:val="21"/>
                <w:color w:val="auto"/>
              </w:rPr>
            </w:pPr>
          </w:p>
        </w:tc>
        <w:tc>
          <w:tcPr>
            <w:tcW w:w="1300" w:type="dxa"/>
            <w:vAlign w:val="bottom"/>
            <w:gridSpan w:val="3"/>
            <w:shd w:val="clear" w:color="auto" w:fill="CCED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DFF"/>
          </w:tcPr>
          <w:p>
            <w:pPr>
              <w:spacing w:after="0"/>
              <w:rPr>
                <w:sz w:val="21"/>
                <w:szCs w:val="21"/>
                <w:color w:val="auto"/>
              </w:rPr>
            </w:pPr>
          </w:p>
        </w:tc>
        <w:tc>
          <w:tcPr>
            <w:tcW w:w="480" w:type="dxa"/>
            <w:vAlign w:val="bottom"/>
            <w:shd w:val="clear" w:color="auto" w:fill="CCEDFF"/>
          </w:tcPr>
          <w:p>
            <w:pPr>
              <w:spacing w:after="0"/>
              <w:rPr>
                <w:sz w:val="21"/>
                <w:szCs w:val="21"/>
                <w:color w:val="auto"/>
              </w:rPr>
            </w:pPr>
          </w:p>
        </w:tc>
        <w:tc>
          <w:tcPr>
            <w:tcW w:w="78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21"/>
                <w:szCs w:val="21"/>
                <w:color w:val="auto"/>
              </w:rPr>
            </w:pPr>
          </w:p>
        </w:tc>
        <w:tc>
          <w:tcPr>
            <w:tcW w:w="1420" w:type="dxa"/>
            <w:vAlign w:val="bottom"/>
            <w:gridSpan w:val="3"/>
            <w:shd w:val="clear" w:color="auto" w:fill="CCED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20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(33,522)</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basket foreign tax credits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200" w:type="dxa"/>
            <w:vAlign w:val="bottom"/>
            <w:gridSpan w:val="2"/>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2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shd w:val="clear" w:color="auto" w:fill="CCEDFF"/>
          </w:tcPr>
          <w:p>
            <w:pPr>
              <w:spacing w:after="0"/>
              <w:rPr>
                <w:sz w:val="19"/>
                <w:szCs w:val="19"/>
                <w:color w:val="auto"/>
              </w:rPr>
            </w:pPr>
          </w:p>
        </w:tc>
        <w:tc>
          <w:tcPr>
            <w:tcW w:w="74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6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0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spacing w:after="0"/>
              <w:rPr>
                <w:sz w:val="19"/>
                <w:szCs w:val="19"/>
                <w:color w:val="auto"/>
              </w:rPr>
            </w:pPr>
          </w:p>
        </w:tc>
      </w:tr>
      <w:tr>
        <w:trPr>
          <w:trHeight w:val="230"/>
        </w:trPr>
        <w:tc>
          <w:tcPr>
            <w:tcW w:w="4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Impact of internal legal entity restructuring</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gridSpan w:val="2"/>
            <w:shd w:val="clear" w:color="auto" w:fill="CCEDFF"/>
          </w:tcPr>
          <w:p>
            <w:pPr>
              <w:ind w:left="240"/>
              <w:spacing w:after="0" w:line="230" w:lineRule="exact"/>
              <w:rPr>
                <w:sz w:val="20"/>
                <w:szCs w:val="20"/>
                <w:color w:val="auto"/>
              </w:rPr>
            </w:pPr>
            <w:r>
              <w:rPr>
                <w:rFonts w:ascii="Times New Roman" w:cs="Times New Roman" w:eastAsia="Times New Roman" w:hAnsi="Times New Roman"/>
                <w:sz w:val="18"/>
                <w:szCs w:val="18"/>
                <w:color w:val="auto"/>
              </w:rPr>
              <w:t>Impact of Burgiss step acquisition</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DFF"/>
          </w:tcPr>
          <w:p>
            <w:pPr>
              <w:spacing w:after="0"/>
              <w:rPr>
                <w:sz w:val="19"/>
                <w:szCs w:val="19"/>
                <w:color w:val="auto"/>
              </w:rPr>
            </w:pPr>
          </w:p>
        </w:tc>
        <w:tc>
          <w:tcPr>
            <w:tcW w:w="1300" w:type="dxa"/>
            <w:vAlign w:val="bottom"/>
            <w:gridSpan w:val="3"/>
            <w:shd w:val="clear" w:color="auto" w:fill="CCED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DFF"/>
          </w:tcPr>
          <w:p>
            <w:pPr>
              <w:spacing w:after="0"/>
              <w:rPr>
                <w:sz w:val="19"/>
                <w:szCs w:val="19"/>
                <w:color w:val="auto"/>
              </w:rPr>
            </w:pPr>
          </w:p>
        </w:tc>
        <w:tc>
          <w:tcPr>
            <w:tcW w:w="480" w:type="dxa"/>
            <w:vAlign w:val="bottom"/>
            <w:shd w:val="clear" w:color="auto" w:fill="CCEDFF"/>
          </w:tcPr>
          <w:p>
            <w:pPr>
              <w:spacing w:after="0"/>
              <w:rPr>
                <w:sz w:val="19"/>
                <w:szCs w:val="19"/>
                <w:color w:val="auto"/>
              </w:rPr>
            </w:pPr>
          </w:p>
        </w:tc>
        <w:tc>
          <w:tcPr>
            <w:tcW w:w="78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DFF"/>
          </w:tcPr>
          <w:p>
            <w:pPr>
              <w:spacing w:after="0"/>
              <w:rPr>
                <w:sz w:val="19"/>
                <w:szCs w:val="19"/>
                <w:color w:val="auto"/>
              </w:rPr>
            </w:pPr>
          </w:p>
        </w:tc>
        <w:tc>
          <w:tcPr>
            <w:tcW w:w="8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80" w:type="dxa"/>
            <w:vAlign w:val="bottom"/>
            <w:shd w:val="clear" w:color="auto" w:fill="CCEDFF"/>
          </w:tcPr>
          <w:p>
            <w:pPr>
              <w:spacing w:after="0"/>
              <w:rPr>
                <w:sz w:val="19"/>
                <w:szCs w:val="19"/>
                <w:color w:val="auto"/>
              </w:rPr>
            </w:pPr>
          </w:p>
        </w:tc>
        <w:tc>
          <w:tcPr>
            <w:tcW w:w="460" w:type="dxa"/>
            <w:vAlign w:val="bottom"/>
            <w:shd w:val="clear" w:color="auto" w:fill="CCEDFF"/>
          </w:tcPr>
          <w:p>
            <w:pPr>
              <w:spacing w:after="0"/>
              <w:rPr>
                <w:sz w:val="19"/>
                <w:szCs w:val="19"/>
                <w:color w:val="auto"/>
              </w:rPr>
            </w:pPr>
          </w:p>
        </w:tc>
        <w:tc>
          <w:tcPr>
            <w:tcW w:w="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200" w:type="dxa"/>
            <w:vAlign w:val="bottom"/>
            <w:tcBorders>
              <w:bottom w:val="single" w:sz="8" w:color="CCED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Excess share-based compensation</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tcBorders>
              <w:bottom w:val="single" w:sz="8" w:color="CCED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D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80" w:type="dxa"/>
            <w:vAlign w:val="bottom"/>
            <w:tcBorders>
              <w:bottom w:val="single" w:sz="8" w:color="CCED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D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80" w:type="dxa"/>
            <w:vAlign w:val="bottom"/>
            <w:tcBorders>
              <w:bottom w:val="single" w:sz="8" w:color="CCED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42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 w:type="dxa"/>
            <w:vAlign w:val="bottom"/>
            <w:tcBorders>
              <w:bottom w:val="single" w:sz="8" w:color="auto"/>
            </w:tcBorders>
            <w:shd w:val="clear" w:color="auto" w:fill="CCED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291,951</w:t>
            </w:r>
          </w:p>
        </w:tc>
        <w:tc>
          <w:tcPr>
            <w:tcW w:w="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auto"/>
            </w:tcBorders>
            <w:shd w:val="clear" w:color="auto" w:fill="CCEDFF"/>
          </w:tcPr>
          <w:p>
            <w:pPr>
              <w:spacing w:after="0"/>
              <w:rPr>
                <w:sz w:val="21"/>
                <w:szCs w:val="21"/>
                <w:color w:val="auto"/>
              </w:rPr>
            </w:pPr>
          </w:p>
        </w:tc>
        <w:tc>
          <w:tcPr>
            <w:tcW w:w="6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auto"/>
            </w:tcBorders>
            <w:shd w:val="clear" w:color="auto" w:fill="CCEDFF"/>
          </w:tcPr>
          <w:p>
            <w:pPr>
              <w:spacing w:after="0"/>
              <w:rPr>
                <w:sz w:val="21"/>
                <w:szCs w:val="21"/>
                <w:color w:val="auto"/>
              </w:rPr>
            </w:pPr>
          </w:p>
        </w:tc>
        <w:tc>
          <w:tcPr>
            <w:tcW w:w="7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220,469</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auto"/>
            </w:tcBorders>
            <w:shd w:val="clear" w:color="auto" w:fill="CCEDFF"/>
          </w:tcPr>
          <w:p>
            <w:pPr>
              <w:spacing w:after="0"/>
              <w:rPr>
                <w:sz w:val="21"/>
                <w:szCs w:val="21"/>
                <w:color w:val="auto"/>
              </w:rPr>
            </w:pPr>
          </w:p>
        </w:tc>
        <w:tc>
          <w:tcPr>
            <w:tcW w:w="6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412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7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c>
          <w:tcPr>
            <w:tcW w:w="6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8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c>
          <w:tcPr>
            <w:tcW w:w="660" w:type="dxa"/>
            <w:vAlign w:val="bottom"/>
            <w:tcBorders>
              <w:top w:val="single" w:sz="8" w:color="CCED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 w:lineRule="exact"/>
        <w:rPr>
          <w:sz w:val="20"/>
          <w:szCs w:val="20"/>
          <w:color w:val="auto"/>
        </w:rPr>
      </w:pPr>
    </w:p>
    <w:p>
      <w:pPr>
        <w:ind w:left="660" w:right="80" w:hanging="652"/>
        <w:spacing w:after="0" w:line="217" w:lineRule="auto"/>
        <w:tabs>
          <w:tab w:leader="none" w:pos="647"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State taxes in New York, New York City, California and Illinois make up the majority (greater than 50 percent) of the tax effect in this category. In 2025, the Company recognized the benefit of prior year refund claims.</w:t>
      </w:r>
    </w:p>
    <w:p>
      <w:pPr>
        <w:ind w:left="640" w:hanging="632"/>
        <w:spacing w:after="0"/>
        <w:tabs>
          <w:tab w:leader="none" w:pos="640" w:val="left"/>
        </w:tabs>
        <w:numPr>
          <w:ilvl w:val="0"/>
          <w:numId w:val="4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October 2, 2023, the Company acquired the remaining 66.4% interest in Burgiss (the “step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income taxes paid by the Company consisted of:</w:t>
      </w:r>
    </w:p>
    <w:p>
      <w:pPr>
        <w:spacing w:after="0" w:line="259" w:lineRule="exact"/>
        <w:rPr>
          <w:sz w:val="20"/>
          <w:szCs w:val="20"/>
          <w:color w:val="auto"/>
        </w:rPr>
      </w:pPr>
    </w:p>
    <w:tbl>
      <w:tblPr>
        <w:tblLayout w:type="fixed"/>
        <w:tblInd w:w="188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44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4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4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101,122</w:t>
            </w:r>
          </w:p>
        </w:tc>
        <w:tc>
          <w:tcPr>
            <w:tcW w:w="10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97,857</w:t>
            </w:r>
          </w:p>
        </w:tc>
        <w:tc>
          <w:tcPr>
            <w:tcW w:w="10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116,720</w:t>
            </w:r>
          </w:p>
        </w:tc>
        <w:tc>
          <w:tcPr>
            <w:tcW w:w="0" w:type="dxa"/>
            <w:vAlign w:val="bottom"/>
          </w:tcPr>
          <w:p>
            <w:pPr>
              <w:spacing w:after="0"/>
              <w:rPr>
                <w:sz w:val="1"/>
                <w:szCs w:val="1"/>
                <w:color w:val="auto"/>
              </w:rPr>
            </w:pPr>
          </w:p>
        </w:tc>
      </w:tr>
      <w:tr>
        <w:trPr>
          <w:trHeight w:val="229"/>
        </w:trPr>
        <w:tc>
          <w:tcPr>
            <w:tcW w:w="3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New York City</w:t>
            </w: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0" w:type="dxa"/>
            <w:vAlign w:val="bottom"/>
          </w:tcPr>
          <w:p>
            <w:pPr>
              <w:spacing w:after="0"/>
              <w:rPr>
                <w:sz w:val="1"/>
                <w:szCs w:val="1"/>
                <w:color w:val="auto"/>
              </w:rPr>
            </w:pPr>
          </w:p>
        </w:tc>
      </w:tr>
      <w:tr>
        <w:trPr>
          <w:trHeight w:val="229"/>
        </w:trPr>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Switzerland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DFF"/>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32,952</w:t>
            </w: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D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0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0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201,028</w:t>
            </w:r>
          </w:p>
        </w:tc>
        <w:tc>
          <w:tcPr>
            <w:tcW w:w="10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240,479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Significant components of the Company’s deferred tax assets and liabilities as of December 31, 2025 and 2024, were as follows:</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5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1"/>
                <w:szCs w:val="11"/>
                <w:color w:val="auto"/>
              </w:rPr>
            </w:pPr>
          </w:p>
        </w:tc>
        <w:tc>
          <w:tcPr>
            <w:tcW w:w="1480" w:type="dxa"/>
            <w:vAlign w:val="bottom"/>
          </w:tcPr>
          <w:p>
            <w:pPr>
              <w:jc w:val="right"/>
              <w:ind w:right="372"/>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02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80" w:type="dxa"/>
            <w:vAlign w:val="bottom"/>
            <w:tcBorders>
              <w:top w:val="single" w:sz="8" w:color="auto"/>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1480" w:type="dxa"/>
            <w:vAlign w:val="bottom"/>
            <w:tcBorders>
              <w:top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 plans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41,770</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70,920</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29,881</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carryforwards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8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187,591</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196"/>
        </w:trPr>
        <w:tc>
          <w:tcPr>
            <w:tcW w:w="6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189,763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182,711</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shd w:val="clear" w:color="auto" w:fill="CCEDFF"/>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DFF"/>
          </w:tcPr>
          <w:p>
            <w:pPr>
              <w:spacing w:after="0"/>
              <w:rPr>
                <w:sz w:val="17"/>
                <w:szCs w:val="17"/>
                <w:color w:val="auto"/>
              </w:rPr>
            </w:pPr>
          </w:p>
        </w:tc>
        <w:tc>
          <w:tcPr>
            <w:tcW w:w="14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300" w:type="dxa"/>
            <w:vAlign w:val="bottom"/>
            <w:shd w:val="clear" w:color="auto" w:fill="CCEDFF"/>
          </w:tcPr>
          <w:p>
            <w:pPr>
              <w:spacing w:after="0"/>
              <w:rPr>
                <w:sz w:val="17"/>
                <w:szCs w:val="17"/>
                <w:color w:val="auto"/>
              </w:rPr>
            </w:pPr>
          </w:p>
        </w:tc>
        <w:tc>
          <w:tcPr>
            <w:tcW w:w="1480" w:type="dxa"/>
            <w:vAlign w:val="bottom"/>
            <w:shd w:val="clear" w:color="auto" w:fill="CCED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(115,877)</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(37,542)</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gain</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spacing w:after="0"/>
              <w:rPr>
                <w:sz w:val="19"/>
                <w:szCs w:val="19"/>
                <w:color w:val="auto"/>
              </w:rPr>
            </w:pP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(25,247)</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DFF"/>
          </w:tcPr>
          <w:p>
            <w:pPr>
              <w:ind w:left="220"/>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spacing w:after="0"/>
              <w:rPr>
                <w:sz w:val="19"/>
                <w:szCs w:val="19"/>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196"/>
        </w:trPr>
        <w:tc>
          <w:tcPr>
            <w:tcW w:w="6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(245,530)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(189,708)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30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(55,767)</w:t>
            </w:r>
          </w:p>
        </w:tc>
        <w:tc>
          <w:tcPr>
            <w:tcW w:w="80" w:type="dxa"/>
            <w:vAlign w:val="bottom"/>
            <w:shd w:val="clear" w:color="auto" w:fill="CCEDFF"/>
          </w:tcPr>
          <w:p>
            <w:pPr>
              <w:spacing w:after="0"/>
              <w:rPr>
                <w:sz w:val="19"/>
                <w:szCs w:val="19"/>
                <w:color w:val="auto"/>
              </w:rPr>
            </w:pPr>
          </w:p>
        </w:tc>
        <w:tc>
          <w:tcPr>
            <w:tcW w:w="300" w:type="dxa"/>
            <w:vAlign w:val="bottom"/>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the majority of the deferred tax assets at December 31, 2025 are more likely than not to be realized based on expectations as to future taxable income in the jurisdictions in which it operates. Valuation allowances have been provided where tax attributes do not meet recognition criteria.</w:t>
      </w:r>
    </w:p>
    <w:p>
      <w:pPr>
        <w:spacing w:after="0" w:line="17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Company has tax credit carryforwards, primarily comprised of U.S. Corporate Alternative Minimum Tax (CAMT) and foreign tax credits. Net operating loss carryforwards were $29.8 million with a tax value of $8.2 million and $28.4 million with a tax value of $7.1 million as of December 31, 2025 and 2024, respectively. The majority of tax attributes may be utilized over an indefinite life.</w:t>
      </w: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provided for applicable state income and foreign withholding taxes on all undistributed earnings of its foreign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regularly assesses the likelihood of additional assessments in each of the taxing jurisdictions in which it files income tax returns.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established unrecognized tax benefits that the Company believes are adequate in relation to the potential for additional assessments.</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the gross unrecognized tax benefits, excluding interest and penalties, for the years ended December 31, 2025, 2024 and 2023:</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unrecognized tax benefits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6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8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33,801</w:t>
            </w: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related to the current period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related to prior periods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Decreases based on tax positions related to prior periods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settlements with taxing authorities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Decreases related to a lapse of applicable statute of limitations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80" w:type="dxa"/>
            <w:vAlign w:val="bottom"/>
            <w:tcBorders>
              <w:bottom w:val="single" w:sz="8" w:color="CCEDFF"/>
            </w:tcBorders>
            <w:shd w:val="clear" w:color="auto" w:fill="CCEDFF"/>
          </w:tcPr>
          <w:p>
            <w:pPr>
              <w:spacing w:after="0"/>
              <w:rPr>
                <w:sz w:val="21"/>
                <w:szCs w:val="21"/>
                <w:color w:val="auto"/>
              </w:rPr>
            </w:pPr>
          </w:p>
        </w:tc>
        <w:tc>
          <w:tcPr>
            <w:tcW w:w="22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33,801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2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$3.7 million, $0.0 million and $3.4 million of net interest and penalties in the Consolidated Statement of Income with respect to unrecognized tax benefits for the years ended December 31, 2025, 2024 and 2023, respectively. The amount of accrued interest and penalties, which includes interest and penalties related to uncertain tax positions and accrued income tax expense, recorded on the Consolidated Statement of Financial Condition was $7.3 million, $3.6 million and $3.8 million for the years ended December 31, 2025, 2024 and 2023, respectively.</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is under or open to examination by the IRS and other tax authorities in certain jurisdictions, including U.S. federal, states in which the Company has significant operations (such as New York and California), and foreign jurisdictions (such as Switzerland and India). The tax years currently under or open to examination vary by jurisdiction but include years ranging from 2008 onwards.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19"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ASC Subtopic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establishes standards for reporting information about operating segments. Operating segments are defined as components of an enterprise about which separate financial information is available. This information is regularly evaluated by the chief operating decision maker (“CODM”) to allocate resources and assess performance. Through November 2025, MSCI’s Chief Executive Officer and its President and Chief Operating Officer together served as the CODM. Following the leadership transition announced in November 2025, under which the President and Chief Operating Officer roles were separated, our Chief Executive Officer serves as the sole CODM. This transition did not affect how the CODM reviews financial information on an operating segment basis to make operational decisions and assess financial performance.</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CODM measures and evaluates operating segments based on segment operating revenues and Adjusted EBITDA. Adjusted EBITDA is used to assess segment performance and guide resource allocation, including decisions related to capital allocations and acquisitions. Additionally, Adjusted EBITDA is used to monitor actual performance against budget and to establish management's compensation. The CODM also uses Adjusted EBITDA for competitive analysis, benchmarking MSCI's performance against its competitors to evaluate segment performance. Adjusted EBITDA for each segment is calculated by subtracting segment Adjusted EBITDA expenses from segment operating revenues.</w:t>
      </w:r>
    </w:p>
    <w:p>
      <w:pPr>
        <w:spacing w:after="0" w:line="183"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MSCI excludes the following items from segment Adjusted EBITDA and Adjusted EBITDA expenses: provision for income taxes; other expense (income), net; depreciation and amortization of property, equipment and leasehold improvements; amortization of intangible assets; and, at times, certain other transactions or adjustments. These may include impairments related to sublease of leased property and certain acquisition-related integration and transaction costs that the CODM does not consider when allocating resources among segments or assessing segment performance. While these amounts are excluded from segment Adjusted EBITDA, they are included in reported consolidated net income and are reflected in the reconciliation provided below.</w:t>
      </w:r>
    </w:p>
    <w:p>
      <w:pPr>
        <w:spacing w:after="0" w:line="1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Operating revenues and expenses directly associated with each segment are included in determining that segment’s operating results. Expenses not directly attributable to a specific segment are allocated using methodologies, such as time estimates, revenue,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headcount, sales targets, data center consumption and other relevant usage measures. Given the integrated structure of MSCI’s business, certain costs incurred by one segment may benefit other segments. Additionally, a segment may utilize content and data produced by another segment without incurring an intersegment charge. Within Adjusted EBITDA expenses by operating segment, there are no categories of expenses regularly provided to the CODM.</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CODM does not receive information about total assets on an operating segment basis. Operating segments do not record intersegment revenues; therefore, none are reported. The accounting policies used for segment reporting are consistent with those applied to MSCI as a whole.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MSCI has five operating segments: Index, Analytics, Sustainability and Climate, Real Assets and Private Capital Solutions. These are presented as three reportable segments: Index, Analytics and Sustainability and Climate. The operating segments Real Assets and Private Capital Solutions do not individually meet the segment reporting thresholds and have been combined into All Other – Private Assets.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Prior to the step acquisition of Burgiss on October 2, 2023, the Company’s ownership interest in Burgiss was classified as an equity-method investment. Therefore, All Other – Private Assets did not include the Company’s proportionate share of operating revenues and Adjusted EBITDA related to Burgiss. The Company’s proportionate share of the income or loss from its equity-method investment in Burgiss was not a component of Adjusted EBITDA as it was reported as a component of other (expense) income, net. Following the acquisition, the consolidated results of Burgiss were included in the Company’s Private Capital Solutions operating segment.</w:t>
      </w:r>
    </w:p>
    <w:p>
      <w:pPr>
        <w:spacing w:after="0" w:line="183"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Index reportable segment provides equity and fixed income indexes. The indexes are used across the investment process, including the development of indexed financial products (e.g., ETFs, mutual funds, annuities, futures, options, structured products, over-the-counter derivatives), performance benchmarking, portfolio construction and rebalancing, asset allocation and creating custom indexes.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Analytics reportable segment offers risk management, performance attribution, and portfolio management content, applications and services. These offerings provide clients with an integrated view of risk and return and tools for analyzing market, credit, liquidity, counterparty and climate risks across all major asset classes, including public and private securities, spanning short, medium and long term horizons. Clients can access Analytics tools and content through MSCI’s proprietary applications and application programming interfaces (APIs), third-party applications or directly via their own platforms.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continue to develop new and improved tools and capabilities in response to the evolving needs of our clients. In addition, our analytics capabilities are helping fuel growth in key areas across our business, such as our factor indexes, climate risk reporting solutions and factor risk analytics on private assets.</w:t>
      </w:r>
    </w:p>
    <w:p>
      <w:pPr>
        <w:spacing w:after="0" w:line="17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Sustainability and Climate reportable segment offers products and services that help institutional investors understand how sustainability considerations can impact the long-term risk and return of their portfolio and individual security-level investments. This segment also provides data, ratings, research and tools to assist investors navigate increasing regulation, meet new client demands and better integrate sustainability and climate considerations into their investment processes.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Real Assets operating segment offers data, benchmarks, return-analytics, climate assessments and market insights for tangible assets such as real estate and infrastructure. Its performance and risk analytics services range from enterprise-wide assessments to property-specific analysis. Additionally, the operating segment offers business intelligence products for real estate owners, managers, developers and brokers worldwide.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Private Capital Solutions operating segment provides a suite of tools to support investors in overseeing investment portfolios across public</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private assets. These include sourcing terms and conditions, evaluating operating performance of underlying portfolio companies, managing risk and other activities related to private capital investing.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revenues, Adjusted EBITDA expenses and segment profitability and a reconciliation to net income for the periods indicated:</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4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360" w:type="dxa"/>
            <w:vAlign w:val="bottom"/>
          </w:tcPr>
          <w:p>
            <w:pPr>
              <w:jc w:val="right"/>
              <w:ind w:right="29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4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spacing w:after="0"/>
              <w:rPr>
                <w:sz w:val="19"/>
                <w:szCs w:val="19"/>
                <w:color w:val="auto"/>
              </w:rPr>
            </w:pPr>
          </w:p>
        </w:tc>
        <w:tc>
          <w:tcPr>
            <w:tcW w:w="1360" w:type="dxa"/>
            <w:vAlign w:val="bottom"/>
            <w:tcBorders>
              <w:top w:val="single" w:sz="8" w:color="auto"/>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c>
          <w:tcPr>
            <w:tcW w:w="220" w:type="dxa"/>
            <w:vAlign w:val="bottom"/>
            <w:tcBorders>
              <w:top w:val="single" w:sz="8" w:color="auto"/>
            </w:tcBorders>
            <w:shd w:val="clear" w:color="auto" w:fill="CCEDFF"/>
          </w:tcPr>
          <w:p>
            <w:pPr>
              <w:spacing w:after="0"/>
              <w:rPr>
                <w:sz w:val="19"/>
                <w:szCs w:val="19"/>
                <w:color w:val="auto"/>
              </w:rPr>
            </w:pPr>
          </w:p>
        </w:tc>
        <w:tc>
          <w:tcPr>
            <w:tcW w:w="1360" w:type="dxa"/>
            <w:vAlign w:val="bottom"/>
            <w:tcBorders>
              <w:top w:val="single" w:sz="8" w:color="auto"/>
            </w:tcBorders>
            <w:shd w:val="clear" w:color="auto" w:fill="CCEDFF"/>
          </w:tcPr>
          <w:p>
            <w:pPr>
              <w:spacing w:after="0"/>
              <w:rPr>
                <w:sz w:val="19"/>
                <w:szCs w:val="19"/>
                <w:color w:val="auto"/>
              </w:rPr>
            </w:pPr>
          </w:p>
        </w:tc>
        <w:tc>
          <w:tcPr>
            <w:tcW w:w="80" w:type="dxa"/>
            <w:vAlign w:val="bottom"/>
            <w:tcBorders>
              <w:top w:val="single" w:sz="8" w:color="CCEDFF"/>
            </w:tcBorders>
            <w:shd w:val="clear" w:color="auto" w:fill="CCEDFF"/>
          </w:tcPr>
          <w:p>
            <w:pPr>
              <w:spacing w:after="0"/>
              <w:rPr>
                <w:sz w:val="19"/>
                <w:szCs w:val="19"/>
                <w:color w:val="auto"/>
              </w:rPr>
            </w:pPr>
          </w:p>
        </w:tc>
        <w:tc>
          <w:tcPr>
            <w:tcW w:w="240" w:type="dxa"/>
            <w:vAlign w:val="bottom"/>
            <w:tcBorders>
              <w:top w:val="single" w:sz="8" w:color="auto"/>
            </w:tcBorders>
            <w:shd w:val="clear" w:color="auto" w:fill="CCEDFF"/>
          </w:tcPr>
          <w:p>
            <w:pPr>
              <w:spacing w:after="0"/>
              <w:rPr>
                <w:sz w:val="19"/>
                <w:szCs w:val="19"/>
                <w:color w:val="auto"/>
              </w:rPr>
            </w:pPr>
          </w:p>
        </w:tc>
        <w:tc>
          <w:tcPr>
            <w:tcW w:w="1360" w:type="dxa"/>
            <w:vAlign w:val="bottom"/>
            <w:tcBorders>
              <w:top w:val="single" w:sz="8" w:color="auto"/>
            </w:tcBorders>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1,786,808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1,596,145</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1,451,815</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Analytics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714,397</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675,089</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615,956</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Sustainability and Climate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326,601</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287,568</w:t>
            </w: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reportable segment operating revenues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2,855,120</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2,597,835</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2,355,339</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 Other – Private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279,339</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258,293</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173,581</w:t>
            </w: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3,134,459</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2,856,128</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2,528,920</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expense</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Index</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344,842</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Analytics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371,867</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346,794</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341,081</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Sustainability and Climate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225,438</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221,893</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195,890</w:t>
            </w: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reportable segment Adjusted EBITDA expense</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1,018,105</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942,778</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881,813</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Index Adjusted EBITDA</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1,106,973</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Analytics Adjusted EBITDA</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342,530</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328,295</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274,875</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D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Sustainability and Climate Adjusted EBITDA</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128,477</w:t>
            </w:r>
          </w:p>
        </w:tc>
        <w:tc>
          <w:tcPr>
            <w:tcW w:w="80" w:type="dxa"/>
            <w:vAlign w:val="bottom"/>
            <w:tcBorders>
              <w:bottom w:val="single" w:sz="8" w:color="CCED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80" w:type="dxa"/>
            <w:vAlign w:val="bottom"/>
            <w:tcBorders>
              <w:bottom w:val="single" w:sz="8" w:color="CCED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reportable segment profitability</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1,837,015</w:t>
            </w: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1,655,057</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1,473,526</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All Other – Private Assets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49,425</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0" w:type="dxa"/>
            <w:vAlign w:val="bottom"/>
          </w:tcPr>
          <w:p>
            <w:pPr>
              <w:spacing w:after="0"/>
              <w:rPr>
                <w:sz w:val="1"/>
                <w:szCs w:val="1"/>
                <w:color w:val="auto"/>
              </w:rPr>
            </w:pPr>
          </w:p>
        </w:tc>
      </w:tr>
      <w:tr>
        <w:trPr>
          <w:trHeight w:val="176"/>
        </w:trPr>
        <w:tc>
          <w:tcPr>
            <w:tcW w:w="6120" w:type="dxa"/>
            <w:vAlign w:val="bottom"/>
            <w:gridSpan w:val="2"/>
            <w:shd w:val="clear" w:color="auto" w:fill="CCED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 property, equipment and</w:t>
            </w:r>
          </w:p>
        </w:tc>
        <w:tc>
          <w:tcPr>
            <w:tcW w:w="240" w:type="dxa"/>
            <w:vAlign w:val="bottom"/>
            <w:shd w:val="clear" w:color="auto" w:fill="CCEDFF"/>
          </w:tcPr>
          <w:p>
            <w:pPr>
              <w:spacing w:after="0"/>
              <w:rPr>
                <w:sz w:val="15"/>
                <w:szCs w:val="15"/>
                <w:color w:val="auto"/>
              </w:rPr>
            </w:pPr>
          </w:p>
        </w:tc>
        <w:tc>
          <w:tcPr>
            <w:tcW w:w="136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20" w:type="dxa"/>
            <w:vAlign w:val="bottom"/>
            <w:shd w:val="clear" w:color="auto" w:fill="CCEDFF"/>
          </w:tcPr>
          <w:p>
            <w:pPr>
              <w:spacing w:after="0"/>
              <w:rPr>
                <w:sz w:val="15"/>
                <w:szCs w:val="15"/>
                <w:color w:val="auto"/>
              </w:rPr>
            </w:pPr>
          </w:p>
        </w:tc>
        <w:tc>
          <w:tcPr>
            <w:tcW w:w="136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3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20" w:type="dxa"/>
            <w:vAlign w:val="bottom"/>
            <w:gridSpan w:val="2"/>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DFF"/>
          </w:tcPr>
          <w:p>
            <w:pPr>
              <w:spacing w:after="0"/>
              <w:rPr>
                <w:sz w:val="21"/>
                <w:szCs w:val="21"/>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80" w:type="dxa"/>
            <w:vAlign w:val="bottom"/>
            <w:shd w:val="clear" w:color="auto" w:fill="CCEDFF"/>
          </w:tcPr>
          <w:p>
            <w:pPr>
              <w:spacing w:after="0"/>
              <w:rPr>
                <w:sz w:val="21"/>
                <w:szCs w:val="21"/>
                <w:color w:val="auto"/>
              </w:rPr>
            </w:pPr>
          </w:p>
        </w:tc>
        <w:tc>
          <w:tcPr>
            <w:tcW w:w="220" w:type="dxa"/>
            <w:vAlign w:val="bottom"/>
            <w:shd w:val="clear" w:color="auto" w:fill="CCEDFF"/>
          </w:tcPr>
          <w:p>
            <w:pPr>
              <w:spacing w:after="0"/>
              <w:rPr>
                <w:sz w:val="21"/>
                <w:szCs w:val="21"/>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shd w:val="clear" w:color="auto" w:fill="CCEDFF"/>
          </w:tcPr>
          <w:p>
            <w:pPr>
              <w:spacing w:after="0"/>
              <w:rPr>
                <w:sz w:val="21"/>
                <w:szCs w:val="21"/>
                <w:color w:val="auto"/>
              </w:rPr>
            </w:pPr>
          </w:p>
        </w:tc>
        <w:tc>
          <w:tcPr>
            <w:tcW w:w="240" w:type="dxa"/>
            <w:vAlign w:val="bottom"/>
            <w:shd w:val="clear" w:color="auto" w:fill="CCEDFF"/>
          </w:tcPr>
          <w:p>
            <w:pPr>
              <w:spacing w:after="0"/>
              <w:rPr>
                <w:sz w:val="21"/>
                <w:szCs w:val="21"/>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0" w:type="dxa"/>
            <w:vAlign w:val="bottom"/>
          </w:tcPr>
          <w:p>
            <w:pPr>
              <w:spacing w:after="0"/>
              <w:rPr>
                <w:sz w:val="1"/>
                <w:szCs w:val="1"/>
                <w:color w:val="auto"/>
              </w:rPr>
            </w:pPr>
          </w:p>
        </w:tc>
      </w:tr>
      <w:tr>
        <w:trPr>
          <w:trHeight w:val="229"/>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related to sublease of leased property</w:t>
            </w:r>
          </w:p>
        </w:tc>
        <w:tc>
          <w:tcPr>
            <w:tcW w:w="2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120"/>
              <w:spacing w:after="0" w:line="230" w:lineRule="exact"/>
              <w:rPr>
                <w:sz w:val="20"/>
                <w:szCs w:val="20"/>
                <w:color w:val="auto"/>
              </w:rPr>
            </w:pPr>
            <w:r>
              <w:rPr>
                <w:rFonts w:ascii="Times New Roman" w:cs="Times New Roman" w:eastAsia="Times New Roman" w:hAnsi="Times New Roman"/>
                <w:sz w:val="18"/>
                <w:szCs w:val="18"/>
                <w:color w:val="auto"/>
              </w:rPr>
              <w:t>Acquisition-related integration and transaction costs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DFF"/>
          </w:tcPr>
          <w:p>
            <w:pPr>
              <w:spacing w:after="0"/>
              <w:rPr>
                <w:sz w:val="19"/>
                <w:szCs w:val="19"/>
                <w:color w:val="auto"/>
              </w:rPr>
            </w:pPr>
          </w:p>
        </w:tc>
        <w:tc>
          <w:tcPr>
            <w:tcW w:w="1440" w:type="dxa"/>
            <w:vAlign w:val="bottom"/>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80" w:type="dxa"/>
            <w:vAlign w:val="bottom"/>
            <w:shd w:val="clear" w:color="auto" w:fill="CCEDFF"/>
          </w:tcPr>
          <w:p>
            <w:pPr>
              <w:spacing w:after="0"/>
              <w:rPr>
                <w:sz w:val="19"/>
                <w:szCs w:val="19"/>
                <w:color w:val="auto"/>
              </w:rPr>
            </w:pPr>
          </w:p>
        </w:tc>
        <w:tc>
          <w:tcPr>
            <w:tcW w:w="240" w:type="dxa"/>
            <w:vAlign w:val="bottom"/>
            <w:shd w:val="clear" w:color="auto" w:fill="CCEDFF"/>
          </w:tcPr>
          <w:p>
            <w:pPr>
              <w:spacing w:after="0"/>
              <w:rPr>
                <w:sz w:val="19"/>
                <w:szCs w:val="19"/>
                <w:color w:val="auto"/>
              </w:rPr>
            </w:pPr>
          </w:p>
        </w:tc>
        <w:tc>
          <w:tcPr>
            <w:tcW w:w="13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1,713,567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1,528,518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1,384,609</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219,311</w:t>
            </w:r>
          </w:p>
        </w:tc>
        <w:tc>
          <w:tcPr>
            <w:tcW w:w="8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172,350</w:t>
            </w: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1,369,061</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291,951</w:t>
            </w:r>
          </w:p>
        </w:tc>
        <w:tc>
          <w:tcPr>
            <w:tcW w:w="80" w:type="dxa"/>
            <w:vAlign w:val="bottom"/>
            <w:shd w:val="clear" w:color="auto" w:fill="CCEDFF"/>
          </w:tcPr>
          <w:p>
            <w:pPr>
              <w:spacing w:after="0"/>
              <w:rPr>
                <w:sz w:val="19"/>
                <w:szCs w:val="19"/>
                <w:color w:val="auto"/>
              </w:rPr>
            </w:pPr>
          </w:p>
        </w:tc>
        <w:tc>
          <w:tcPr>
            <w:tcW w:w="22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247,040</w:t>
            </w:r>
          </w:p>
        </w:tc>
        <w:tc>
          <w:tcPr>
            <w:tcW w:w="80" w:type="dxa"/>
            <w:vAlign w:val="bottom"/>
            <w:shd w:val="clear" w:color="auto" w:fill="CCEDFF"/>
          </w:tcPr>
          <w:p>
            <w:pPr>
              <w:spacing w:after="0"/>
              <w:rPr>
                <w:sz w:val="19"/>
                <w:szCs w:val="19"/>
                <w:color w:val="auto"/>
              </w:rPr>
            </w:pPr>
          </w:p>
        </w:tc>
        <w:tc>
          <w:tcPr>
            <w:tcW w:w="240" w:type="dxa"/>
            <w:vAlign w:val="bottom"/>
            <w:tcBorders>
              <w:bottom w:val="single" w:sz="8" w:color="auto"/>
            </w:tcBorders>
            <w:shd w:val="clear" w:color="auto" w:fill="CCEDFF"/>
          </w:tcPr>
          <w:p>
            <w:pPr>
              <w:spacing w:after="0"/>
              <w:rPr>
                <w:sz w:val="19"/>
                <w:szCs w:val="19"/>
                <w:color w:val="auto"/>
              </w:rPr>
            </w:pP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220,469</w:t>
            </w:r>
          </w:p>
        </w:tc>
        <w:tc>
          <w:tcPr>
            <w:tcW w:w="0" w:type="dxa"/>
            <w:vAlign w:val="bottom"/>
          </w:tcPr>
          <w:p>
            <w:pPr>
              <w:spacing w:after="0"/>
              <w:rPr>
                <w:sz w:val="1"/>
                <w:szCs w:val="1"/>
                <w:color w:val="auto"/>
              </w:rPr>
            </w:pP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1,202,305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1,109,128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1,148,592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 w:lineRule="exact"/>
        <w:rPr>
          <w:sz w:val="20"/>
          <w:szCs w:val="20"/>
          <w:color w:val="auto"/>
        </w:rPr>
      </w:pPr>
    </w:p>
    <w:p>
      <w:pPr>
        <w:ind w:left="660" w:hanging="652"/>
        <w:spacing w:after="0" w:line="217" w:lineRule="auto"/>
        <w:tabs>
          <w:tab w:leader="none" w:pos="647"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less segment expenses from segments below the segment reporting thresholds are attributable to Private Capital Solutions and Real Assets operating segments. Private Capital Solutions and Real Assets operating segments do not meet any of the segment reporting thresholds for determining reportable segments.</w:t>
      </w:r>
    </w:p>
    <w:p>
      <w:pPr>
        <w:ind w:left="660" w:right="180" w:hanging="652"/>
        <w:spacing w:after="0" w:line="283" w:lineRule="auto"/>
        <w:tabs>
          <w:tab w:leader="none" w:pos="647" w:val="left"/>
        </w:tabs>
        <w:numPr>
          <w:ilvl w:val="0"/>
          <w:numId w:val="4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Operating revenues by geography are primarily based on the shipping address of the ultimate customer utilizing the product. The following table presents revenue by geographic area for the periods indicated:</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130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1,044,016</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111,965</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1,155,981</w:t>
            </w:r>
          </w:p>
        </w:tc>
        <w:tc>
          <w:tcPr>
            <w:tcW w:w="0" w:type="dxa"/>
            <w:vAlign w:val="bottom"/>
          </w:tcPr>
          <w:p>
            <w:pPr>
              <w:spacing w:after="0"/>
              <w:rPr>
                <w:sz w:val="1"/>
                <w:szCs w:val="1"/>
                <w:color w:val="auto"/>
              </w:rPr>
            </w:pPr>
          </w:p>
        </w:tc>
      </w:tr>
      <w:tr>
        <w:trPr>
          <w:trHeight w:val="21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408,087</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698,498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569,032</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977,119</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&amp; Australia:</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100,823</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294,997</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Asia &amp; Australia</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395,820</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3,134,459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2,856,128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2,528,920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equipment and leasehold improvements, right of use assets and internally developed capitalized software, net of accumulated depreciation and amortization. The following table presents long-lived assets by geographic area on the dates indicated:</w:t>
      </w:r>
    </w:p>
    <w:p>
      <w:pPr>
        <w:spacing w:after="0" w:line="196"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58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480" w:type="dxa"/>
            <w:vAlign w:val="bottom"/>
          </w:tcPr>
          <w:p>
            <w:pPr>
              <w:jc w:val="right"/>
              <w:ind w:right="37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9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2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260,630</w:t>
            </w: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0" w:type="dxa"/>
            <w:vAlign w:val="bottom"/>
          </w:tcPr>
          <w:p>
            <w:pPr>
              <w:spacing w:after="0"/>
              <w:rPr>
                <w:sz w:val="1"/>
                <w:szCs w:val="1"/>
                <w:color w:val="auto"/>
              </w:rPr>
            </w:pPr>
          </w:p>
        </w:tc>
      </w:tr>
      <w:tr>
        <w:trPr>
          <w:trHeight w:val="22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39,789</w:t>
            </w: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&amp; Australia:</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27,601</w:t>
            </w:r>
          </w:p>
        </w:tc>
        <w:tc>
          <w:tcPr>
            <w:tcW w:w="0" w:type="dxa"/>
            <w:vAlign w:val="bottom"/>
          </w:tcPr>
          <w:p>
            <w:pPr>
              <w:spacing w:after="0"/>
              <w:rPr>
                <w:sz w:val="1"/>
                <w:szCs w:val="1"/>
                <w:color w:val="auto"/>
              </w:rPr>
            </w:pPr>
          </w:p>
        </w:tc>
      </w:tr>
      <w:tr>
        <w:trPr>
          <w:trHeight w:val="22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Asia &amp; Australia</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328,894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January 27, 2026, the Board of Directors of the Company declared a quarterly dividend of $2.05 per share of common stock to be paid on February 27, 2026 to shareholders of record as of the close of trading on February 13, 2026.</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Subsequent to December 31, 2025, the Company completed a multi-phase internal legal entity restructuring that commenced in 2025. As a result of the completion of the restructuring, the Company recognized a tax benefit of approximately $88 million in the first quarter of 2026. Accordingly, the Company will recognize a reduction to its net deferred tax liabilities in the first quarter of 2026 on the Statement of Financial Condition. The change to net deferred taxes is primarily comprised of an increase in deferred tax assets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related to capitalized expenses of approximately $88 million and a decrease in deferred tax liabilities with respect to deferred intercompany gains recognized in 2025 of approximately $38 million. These estimates are subject to adjustment pending finalization of tax calculations.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Management of the Company, with the participation of its CEO and CFO, evaluated the effectiveness of the Company’s disclosure controls and procedures. Based on their evaluation, as of December 31, 2025, the end of the period covered by this Annual Report on Form 10-K, the Company’s CEO and CFO have concluded that the Company’s disclosure controls and procedures (as defined in Rules 13a-15(e) and 15d-15(e) under the Exchange Act)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1300" w:right="520" w:hanging="644"/>
        <w:spacing w:after="0" w:line="261"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jc w:val="both"/>
        <w:ind w:left="1300" w:right="160" w:hanging="644"/>
        <w:spacing w:after="0" w:line="250"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our financial statements in accordance with GAAP, and that our receipts and expenditures are being made only in accordance with authorizations of management and directors of the Company, and</w:t>
      </w:r>
    </w:p>
    <w:p>
      <w:pPr>
        <w:spacing w:after="0" w:line="1" w:lineRule="exact"/>
        <w:rPr>
          <w:rFonts w:ascii="Times New Roman" w:cs="Times New Roman" w:eastAsia="Times New Roman" w:hAnsi="Times New Roman"/>
          <w:sz w:val="18"/>
          <w:szCs w:val="18"/>
          <w:color w:val="auto"/>
        </w:rPr>
      </w:pPr>
    </w:p>
    <w:p>
      <w:pPr>
        <w:ind w:left="1300" w:right="240" w:hanging="644"/>
        <w:spacing w:after="0" w:line="260" w:lineRule="auto"/>
        <w:tabs>
          <w:tab w:leader="none" w:pos="12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2025 based on the criteria described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including the Company’s CEO and CFO,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PricewaterhouseCoopers LLP, our independent registered public accounting firm, has audited and issued a report on the effectiveness of our internal control over financial reporting as of December 31, 2025, which appears on page </w:t>
      </w:r>
      <w:r>
        <w:rPr>
          <w:rFonts w:ascii="Times New Roman" w:cs="Times New Roman" w:eastAsia="Times New Roman" w:hAnsi="Times New Roman"/>
          <w:sz w:val="18"/>
          <w:szCs w:val="18"/>
          <w:u w:val="single" w:color="auto"/>
          <w:color w:val="0000FF"/>
        </w:rPr>
        <w:t>60</w:t>
      </w:r>
      <w:r>
        <w:rPr>
          <w:rFonts w:ascii="Times New Roman" w:cs="Times New Roman" w:eastAsia="Times New Roman" w:hAnsi="Times New Roman"/>
          <w:sz w:val="18"/>
          <w:szCs w:val="18"/>
          <w:color w:val="auto"/>
        </w:rPr>
        <w:t xml:space="preserve"> of this Annual Report on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fiscal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as defined in Section 16 of the Exchange Act, adopted, modified or terminated a “Rule 10b5-1 trading arrangement” or a “non-Rule 10b5-1 trading arrangement,” as each term is defined in Item 408(a) of Regulation S-K of the Exchange Act.</w:t>
      </w:r>
    </w:p>
    <w:p>
      <w:pPr>
        <w:spacing w:after="0" w:line="280" w:lineRule="exact"/>
        <w:rPr>
          <w:sz w:val="20"/>
          <w:szCs w:val="20"/>
          <w:color w:val="auto"/>
        </w:rPr>
      </w:pPr>
    </w:p>
    <w:p>
      <w:pPr>
        <w:ind w:right="52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98" w:name="page99"/>
    <w:bookmarkEnd w:id="9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securities by directors, officers and employees that we believe are reasonably designed to promote compliance with insider trading laws, rules and regulations, as well as NYSE listing standards. In addition, it is our policy to comply with applicable securities and state laws, including insider trading laws, when engaging in transactions in our securities. A copy of our insider trading policy is filed as Exhibit 19.1 to this Annual Report on Form 10-K.</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Except for the information relating to our insider trading policies and procedures set forth in the preceding paragraph and our Executive Officers set forth in Part I of this Annual Report on Form 10-K, we incorporate by reference the information responsive to this Item appearing in our Proxy Statement, which will be filed no later than 120 days after December 31, 2025.</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Information regarding our Code of Ethics and Business Conduct and Corporate Governance Policies is incorporated herein by reference from our Proxy Statement, which will be filed no later than 120 days after December 31, 2025. Any amendments to, or waivers from, a provision of our Code of Ethics that apply to our principal executive officer, principal financial officer, principal accounting officer or controller, or persons performing similar functions and that relates to any element of the Code of Ethics enumerated in paragraph (b) of Item 406 of Regulation S-K shall be disclosed by posting such information on our website at www.msci.com. Information contained on our website is not deemed part of or incorporated by reference into this Annual Report on Form 10-K or any other report filed with the SEC.</w:t>
      </w:r>
    </w:p>
    <w:p>
      <w:pPr>
        <w:spacing w:after="0" w:line="29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which will be filed no later than 120 days after December 31, 2025.</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the additional information responsive to this Item appearing in our Proxy Statement, which will be filed no later than 120 days after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March 6, 2025, the Board of Directors, upon the recommendation of the Compensation &amp; Talent Management Committee of the Board of Directors (the “Compensation Committee”), approved the 2025 Omnibus Incentive Plan (the “2025 Omnibus Plan”), a cash and equity incentive compensation plan that was approved by shareholders at the Company’s 2025 annual meeting of shareholders. The 2025 Omnibus Plan replaced the Company’s then existing 2016 Omnibus Incentive Plan (as amended, the “2016 Omnibus Plan”) and the MSCI Inc. 2016 Non-Employee Directors Compensation Plan (the “2016 Directors Plan” and, together with the 2016 Omnibus Plan, the “2016 Plans”) and no further awards will be granted under the 2016 Plans. Under the MSCI Inc. Non-Employee Directors Deferral Plan, directors may elect to defer receipt of all or any portion of any shares of our common stock issuable upon conversion of any stock unit or any retainer elected to be paid in shares of our common stock until (i) 60 days following separation of service or (ii) the earlier of a specified date or 60 days following separation of service.</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2025 Omnibus Plan, the Company reserved 6,639,951 shares of common stock for issuance; plus any additional shares which become available due to forfeiture, expiration or cancellation of outstanding awards, which were registered under the Securities Act following approval by the Company’s shareholders. This is in addition to currently outstanding awards under the 2016 Plans, which will remain outstanding under such plans.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information with respect to our equity compensation plans at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column(a))</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(a)(1)</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 (2)</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(c)(3)</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1,717,118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682.32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5,966,540</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1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682.32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5,966,540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20" w:type="dxa"/>
            <w:vAlign w:val="bottom"/>
            <w:gridSpan w:val="2"/>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w w:val="99"/>
              </w:rPr>
              <w:t>______________________________</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20" w:type="dxa"/>
            <w:vAlign w:val="bottom"/>
            <w:gridSpan w:val="2"/>
            <w:vMerge w:val="continue"/>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100" w:hanging="652"/>
        <w:spacing w:after="0" w:line="230" w:lineRule="auto"/>
        <w:tabs>
          <w:tab w:leader="none" w:pos="647"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the maximum number of shares issuable upon vesting of outstanding stock and option awards. Assuming target payout, the number of securities to be issued upon vesting is 1,024,851. The numbers include 1,017,433 shares of common stock issuable pursuant to awards outstanding under the 2016 Omnibus Plan and 699,685 shares of common stock issuable pursuant to awards outstanding under the 2025 Omnibus Plan.</w:t>
      </w:r>
    </w:p>
    <w:p>
      <w:pPr>
        <w:ind w:left="640" w:hanging="632"/>
        <w:spacing w:after="0" w:line="192" w:lineRule="auto"/>
        <w:tabs>
          <w:tab w:leader="none" w:pos="64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Does not reflect the unvested RSUs or PSUs included in column (a) because these awards have no exercise price.</w:t>
      </w:r>
    </w:p>
    <w:p>
      <w:pPr>
        <w:spacing w:after="0" w:line="3" w:lineRule="exact"/>
        <w:rPr>
          <w:rFonts w:ascii="Times New Roman" w:cs="Times New Roman" w:eastAsia="Times New Roman" w:hAnsi="Times New Roman"/>
          <w:sz w:val="19"/>
          <w:szCs w:val="19"/>
          <w:color w:val="auto"/>
          <w:vertAlign w:val="superscript"/>
        </w:rPr>
      </w:pPr>
    </w:p>
    <w:p>
      <w:pPr>
        <w:ind w:left="660" w:right="200" w:hanging="652"/>
        <w:spacing w:after="0" w:line="226" w:lineRule="auto"/>
        <w:tabs>
          <w:tab w:leader="none" w:pos="647"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shares available for future issuance under the 2025 Omnibus Plan. Upon shareholder approval of the 2025 Omnibus Plan, all shares remaining available under the 2016 Plans rolled over to the 2025 Omnibus Plan, and no further grants may be made under the 2016 Plans. Outstanding awards under the 2016 Plans that are subsequently forfeited or cancelled become available for issuance under the 2025 Omnibus Plan.</w:t>
      </w:r>
    </w:p>
    <w:p>
      <w:pPr>
        <w:spacing w:after="0" w:line="3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which will be filed no later than 120 days after December 31, 2025.</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responsive to this Item appearing in our Proxy Statement, which will be filed no later than 120 days after December 31, 2025.</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 and Financial Statement Schedules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(a)(1) </w:t>
      </w: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are provided under Part II, Item 8. “Financial Statements and Supplementary Data” of this Annual Report on Form 10-K.</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(a)(2) </w:t>
      </w:r>
      <w:r>
        <w:rPr>
          <w:rFonts w:ascii="Times New Roman" w:cs="Times New Roman" w:eastAsia="Times New Roman" w:hAnsi="Times New Roman"/>
          <w:sz w:val="18"/>
          <w:szCs w:val="18"/>
          <w:b w:val="1"/>
          <w:bCs w:val="1"/>
          <w:i w:val="1"/>
          <w:iCs w:val="1"/>
          <w:color w:val="auto"/>
        </w:rPr>
        <w:t>Financial Statement Schedules</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not required or is included in the consolidated financial statements or the notes thereto provided under Part II, Item 8. “Financial Statements and Supplementary Data” of this Annual Report on Form 10-K.</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(a)(3)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set forth below.</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00" w:type="dxa"/>
            <w:vAlign w:val="bottom"/>
            <w:gridSpan w:val="19"/>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500" w:type="dxa"/>
            <w:vAlign w:val="bottom"/>
            <w:gridSpan w:val="19"/>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4500" w:type="dxa"/>
            <w:vAlign w:val="bottom"/>
            <w:gridSpan w:val="1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Third Amended and Restated Certificate of Incorporation</w:t>
              </w:r>
            </w:hyperlink>
          </w:p>
        </w:tc>
        <w:tc>
          <w:tcPr>
            <w:tcW w:w="9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5/4/2012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4140" w:type="dxa"/>
            <w:vAlign w:val="bottom"/>
            <w:tcBorders>
              <w:top w:val="single" w:sz="8" w:color="0000EE"/>
            </w:tcBorders>
            <w:gridSpan w:val="1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Bylaws</w:t>
              </w:r>
            </w:hyperlink>
          </w:p>
        </w:tc>
        <w:tc>
          <w:tcPr>
            <w:tcW w:w="360" w:type="dxa"/>
            <w:vAlign w:val="bottom"/>
            <w:gridSpan w:val="3"/>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2/9/2024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2260" w:type="dxa"/>
            <w:vAlign w:val="bottom"/>
            <w:tcBorders>
              <w:top w:val="single" w:sz="8" w:color="0000FF"/>
            </w:tcBorders>
            <w:gridSpan w:val="2"/>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Senior Indenture</w:t>
              </w:r>
            </w:hyperlink>
          </w:p>
        </w:tc>
        <w:tc>
          <w:tcPr>
            <w:tcW w:w="2240" w:type="dxa"/>
            <w:vAlign w:val="bottom"/>
            <w:gridSpan w:val="17"/>
          </w:tcPr>
          <w:p>
            <w:pPr>
              <w:spacing w:after="0"/>
              <w:rPr>
                <w:sz w:val="21"/>
                <w:szCs w:val="21"/>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333-206232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2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Subordinated Indenture</w:t>
              </w:r>
            </w:hyperlink>
          </w:p>
        </w:tc>
        <w:tc>
          <w:tcPr>
            <w:tcW w:w="2160" w:type="dxa"/>
            <w:vAlign w:val="bottom"/>
            <w:gridSpan w:val="16"/>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333-206232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Common Stock Certificate</w:t>
              </w:r>
            </w:hyperlink>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Indenture, dated as of November 7, 2019, among MSCI</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Inc., each of the subsidiary guarantors party thereto and</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Wells Fargo Bank, National Association, as Trustee</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Note for MSCI Inc. 4.000% Senior Notes due</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November 15, 2029 (included in Exhibit 4.4)</w:t>
              </w:r>
            </w:hyperlink>
          </w:p>
        </w:tc>
        <w:tc>
          <w:tcPr>
            <w:tcW w:w="660" w:type="dxa"/>
            <w:vAlign w:val="bottom"/>
            <w:tcBorders>
              <w:top w:val="single" w:sz="8" w:color="0000EE"/>
            </w:tcBorders>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1"/>
                <w:szCs w:val="21"/>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Indenture, dated as of March 4, 2020, among MSCI Inc.,</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each of the subsidiary guarantors party thereto and Wells</w:t>
              </w:r>
            </w:hyperlink>
          </w:p>
        </w:tc>
        <w:tc>
          <w:tcPr>
            <w:tcW w:w="20" w:type="dxa"/>
            <w:vAlign w:val="bottom"/>
            <w:tcBorders>
              <w:bottom w:val="single" w:sz="8" w:color="0000EE"/>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Fargo Bank, National Association, as Trustee.</w:t>
              </w:r>
            </w:hyperlink>
          </w:p>
        </w:tc>
        <w:tc>
          <w:tcPr>
            <w:tcW w:w="11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Note for MSCI Inc. 3.625% Senior Notes due</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September 1, 2030 (included in Exhibit 4.6).</w:t>
              </w:r>
            </w:hyperlink>
          </w:p>
        </w:tc>
        <w:tc>
          <w:tcPr>
            <w:tcW w:w="120" w:type="dxa"/>
            <w:vAlign w:val="bottom"/>
            <w:gridSpan w:val="2"/>
          </w:tcPr>
          <w:p>
            <w:pPr>
              <w:spacing w:after="0"/>
              <w:rPr>
                <w:sz w:val="15"/>
                <w:szCs w:val="15"/>
                <w:color w:val="auto"/>
              </w:rPr>
            </w:pPr>
          </w:p>
        </w:tc>
        <w:tc>
          <w:tcPr>
            <w:tcW w:w="20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1"/>
                <w:szCs w:val="21"/>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Indenture, dated as of May 26, 2020, among MSCI Inc.,</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w w:val="97"/>
              </w:rPr>
            </w:pPr>
            <w:hyperlink r:id="rId136">
              <w:r>
                <w:rPr>
                  <w:rFonts w:ascii="Times New Roman" w:cs="Times New Roman" w:eastAsia="Times New Roman" w:hAnsi="Times New Roman"/>
                  <w:sz w:val="18"/>
                  <w:szCs w:val="18"/>
                  <w:color w:val="0000EE"/>
                  <w:w w:val="97"/>
                </w:rPr>
                <w:t>each of the subsidiary guarantors party thereto and Wells</w:t>
              </w:r>
            </w:hyperlink>
          </w:p>
        </w:tc>
        <w:tc>
          <w:tcPr>
            <w:tcW w:w="80" w:type="dxa"/>
            <w:vAlign w:val="bottom"/>
            <w:tcBorders>
              <w:bottom w:val="single" w:sz="8" w:color="0000EE"/>
            </w:tcBorders>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Fargo Bank, National Association, as Trustee.</w:t>
              </w:r>
            </w:hyperlink>
          </w:p>
        </w:tc>
        <w:tc>
          <w:tcPr>
            <w:tcW w:w="11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Note for MSCI Inc. 3.875% Senior Notes due</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February 15, 2031 (included in Exhibit 4.8).</w:t>
              </w:r>
            </w:hyperlink>
          </w:p>
        </w:tc>
        <w:tc>
          <w:tcPr>
            <w:tcW w:w="700" w:type="dxa"/>
            <w:vAlign w:val="bottom"/>
            <w:tcBorders>
              <w:top w:val="single" w:sz="8" w:color="0000EE"/>
            </w:tcBorders>
            <w:gridSpan w:val="6"/>
          </w:tcPr>
          <w:p>
            <w:pPr>
              <w:spacing w:after="0"/>
              <w:rPr>
                <w:sz w:val="15"/>
                <w:szCs w:val="15"/>
                <w:color w:val="auto"/>
              </w:rPr>
            </w:pPr>
          </w:p>
        </w:tc>
        <w:tc>
          <w:tcPr>
            <w:tcW w:w="320" w:type="dxa"/>
            <w:vAlign w:val="bottom"/>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Indenture, dated as of May 14, 2021, among MSCI Inc.,</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5/14/2021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each of the subsidiary guarantors party thereto and Wells</w:t>
              </w:r>
            </w:hyperlink>
          </w:p>
        </w:tc>
        <w:tc>
          <w:tcPr>
            <w:tcW w:w="80" w:type="dxa"/>
            <w:vAlign w:val="bottom"/>
            <w:tcBorders>
              <w:bottom w:val="single" w:sz="8" w:color="0000EE"/>
            </w:tcBorders>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Fargo Bank, National Association, as Trustee.</w:t>
              </w:r>
            </w:hyperlink>
          </w:p>
        </w:tc>
        <w:tc>
          <w:tcPr>
            <w:tcW w:w="116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5"/>
              </w:rPr>
              <w:t>4.11</w:t>
            </w:r>
          </w:p>
        </w:tc>
        <w:tc>
          <w:tcPr>
            <w:tcW w:w="100" w:type="dxa"/>
            <w:vAlign w:val="bottom"/>
          </w:tcPr>
          <w:p>
            <w:pPr>
              <w:spacing w:after="0"/>
              <w:rPr>
                <w:sz w:val="20"/>
                <w:szCs w:val="20"/>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Note for MSCI Inc. 3.625% Senior Notes due</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5/14/2021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November 1, 2031 (included in Exhibit 4.10).</w:t>
              </w:r>
            </w:hyperlink>
          </w:p>
        </w:tc>
        <w:tc>
          <w:tcPr>
            <w:tcW w:w="320" w:type="dxa"/>
            <w:vAlign w:val="bottom"/>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4500" w:type="dxa"/>
            <w:vAlign w:val="bottom"/>
            <w:gridSpan w:val="19"/>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Indenture, dated as of August 17, 2021, among MSCI Inc.,</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8/17/2021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15"/>
          </w:tcPr>
          <w:p>
            <w:pPr>
              <w:spacing w:after="0" w:line="182"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each of the subsidiary guarantors party thereto and Wells</w:t>
              </w:r>
            </w:hyperlink>
          </w:p>
        </w:tc>
        <w:tc>
          <w:tcPr>
            <w:tcW w:w="120" w:type="dxa"/>
            <w:vAlign w:val="bottom"/>
            <w:tcBorders>
              <w:top w:val="single" w:sz="8" w:color="0000EE"/>
            </w:tcBorders>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Fargo Bank, National Association, as Trustee.</w:t>
              </w:r>
            </w:hyperlink>
          </w:p>
        </w:tc>
        <w:tc>
          <w:tcPr>
            <w:tcW w:w="118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ind w:left="380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2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4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7"/>
                <w:szCs w:val="17"/>
                <w:color w:val="auto"/>
              </w:rPr>
            </w:pPr>
          </w:p>
        </w:tc>
        <w:tc>
          <w:tcPr>
            <w:tcW w:w="4400" w:type="dxa"/>
            <w:vAlign w:val="bottom"/>
            <w:gridSpan w:val="2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Note for MSCI Inc. 3.250% Senior Notes due</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August 15, 2033 (included in Exhibit 4.12).</w:t>
              </w:r>
            </w:hyperlink>
          </w:p>
        </w:tc>
        <w:tc>
          <w:tcPr>
            <w:tcW w:w="76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between MSCI Inc. and Wilmington Trust,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National Association, as trustee, dated August 8, 2025</w:t>
              </w:r>
            </w:hyperlink>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First Supplemental Indenture between MSCI Inc. and</w:t>
              </w:r>
            </w:hyperlink>
          </w:p>
        </w:tc>
        <w:tc>
          <w:tcPr>
            <w:tcW w:w="54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gridSpan w:val="2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Wilmington Trust, National Association, as trustee, dated</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August 8, 2025</w:t>
              </w:r>
            </w:hyperlink>
          </w:p>
        </w:tc>
        <w:tc>
          <w:tcPr>
            <w:tcW w:w="30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Global Note representing the Company’s 5.250%</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Notes due 2035 (included in Exhibit 4.15)</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Second Supplemental Indenture between MSCI Inc. and</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Wilmington Trust, National Association, as trustee, dated</w:t>
              </w:r>
            </w:hyperlink>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November 6, 2025</w:t>
              </w:r>
            </w:hyperlink>
          </w:p>
        </w:tc>
        <w:tc>
          <w:tcPr>
            <w:tcW w:w="30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Global Note representing the Company’s 5.150%</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Notes due 2036 (included in Exhibit 4.17)</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44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Description of Securities Registered Pursuant to Section 12</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Securities Exchange Act of 1934</w:t>
            </w:r>
          </w:p>
        </w:tc>
        <w:tc>
          <w:tcPr>
            <w:tcW w:w="1460" w:type="dxa"/>
            <w:vAlign w:val="bottom"/>
            <w:tcBorders>
              <w:top w:val="single" w:sz="8" w:color="0000EE"/>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1"/>
                <w:szCs w:val="21"/>
                <w:color w:val="auto"/>
              </w:rPr>
            </w:pPr>
          </w:p>
        </w:tc>
        <w:tc>
          <w:tcPr>
            <w:tcW w:w="38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Summary of Non-Employee Director Compensation</w:t>
            </w:r>
          </w:p>
        </w:tc>
        <w:tc>
          <w:tcPr>
            <w:tcW w:w="5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9"/>
                <w:szCs w:val="19"/>
                <w:color w:val="auto"/>
              </w:rPr>
            </w:pPr>
          </w:p>
        </w:tc>
        <w:tc>
          <w:tcPr>
            <w:tcW w:w="3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Non-Employee Director Stock Ownership Guidelines</w:t>
            </w: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1"/>
                <w:szCs w:val="21"/>
                <w:color w:val="auto"/>
              </w:rPr>
            </w:pPr>
          </w:p>
        </w:tc>
        <w:tc>
          <w:tcPr>
            <w:tcW w:w="4400" w:type="dxa"/>
            <w:vAlign w:val="bottom"/>
            <w:gridSpan w:val="29"/>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MSCI Inc. Non-Employee Directors Deferral Plan, as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amended</w:t>
              </w:r>
            </w:hyperlink>
          </w:p>
        </w:tc>
        <w:tc>
          <w:tcPr>
            <w:tcW w:w="3220" w:type="dxa"/>
            <w:vAlign w:val="bottom"/>
            <w:tcBorders>
              <w:top w:val="single" w:sz="8" w:color="0000EE"/>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1"/>
                <w:szCs w:val="21"/>
                <w:color w:val="auto"/>
              </w:rPr>
            </w:pPr>
          </w:p>
        </w:tc>
        <w:tc>
          <w:tcPr>
            <w:tcW w:w="4400" w:type="dxa"/>
            <w:vAlign w:val="bottom"/>
            <w:gridSpan w:val="2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MSCI Inc. Change in Control Severance Plan, adopted May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28, 2015 and amended and restated November 2, 2023</w:t>
              </w:r>
            </w:hyperlink>
          </w:p>
        </w:tc>
        <w:tc>
          <w:tcPr>
            <w:tcW w:w="4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0" w:type="dxa"/>
            <w:vAlign w:val="bottom"/>
          </w:tcPr>
          <w:p>
            <w:pPr>
              <w:spacing w:after="0"/>
              <w:rPr>
                <w:sz w:val="21"/>
                <w:szCs w:val="21"/>
                <w:color w:val="auto"/>
              </w:rPr>
            </w:pPr>
          </w:p>
        </w:tc>
        <w:tc>
          <w:tcPr>
            <w:tcW w:w="4400" w:type="dxa"/>
            <w:vAlign w:val="bottom"/>
            <w:gridSpan w:val="29"/>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MSCI Inc. Executive Committee Stock Ownership</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Guidelines</w:t>
              </w:r>
            </w:hyperlink>
          </w:p>
        </w:tc>
        <w:tc>
          <w:tcPr>
            <w:tcW w:w="80" w:type="dxa"/>
            <w:vAlign w:val="bottom"/>
          </w:tcPr>
          <w:p>
            <w:pPr>
              <w:spacing w:after="0"/>
              <w:rPr>
                <w:sz w:val="15"/>
                <w:szCs w:val="15"/>
                <w:color w:val="auto"/>
              </w:rPr>
            </w:pPr>
          </w:p>
        </w:tc>
        <w:tc>
          <w:tcPr>
            <w:tcW w:w="26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tcPr>
          <w:p>
            <w:pPr>
              <w:spacing w:after="0"/>
              <w:rPr>
                <w:sz w:val="21"/>
                <w:szCs w:val="21"/>
                <w:color w:val="auto"/>
              </w:rPr>
            </w:pPr>
          </w:p>
        </w:tc>
        <w:tc>
          <w:tcPr>
            <w:tcW w:w="2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MSCI Inc. 2016 Omnibus Incentive Plan</w:t>
              </w:r>
            </w:hyperlink>
          </w:p>
        </w:tc>
        <w:tc>
          <w:tcPr>
            <w:tcW w:w="144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00" w:type="dxa"/>
            <w:vAlign w:val="bottom"/>
          </w:tcPr>
          <w:p>
            <w:pPr>
              <w:spacing w:after="0"/>
              <w:rPr>
                <w:sz w:val="19"/>
                <w:szCs w:val="19"/>
                <w:color w:val="auto"/>
              </w:rPr>
            </w:pPr>
          </w:p>
        </w:tc>
        <w:tc>
          <w:tcPr>
            <w:tcW w:w="29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 xml:space="preserve">MSCI </w:t>
            </w:r>
            <w:hyperlink r:id="rId149">
              <w:r>
                <w:rPr>
                  <w:rFonts w:ascii="Times New Roman" w:cs="Times New Roman" w:eastAsia="Times New Roman" w:hAnsi="Times New Roman"/>
                  <w:sz w:val="18"/>
                  <w:szCs w:val="18"/>
                  <w:color w:val="0000FF"/>
                  <w:w w:val="99"/>
                </w:rPr>
                <w:t>Inc. 2025 Omnibus Incentive Plan</w:t>
              </w:r>
            </w:hyperlink>
          </w:p>
        </w:tc>
        <w:tc>
          <w:tcPr>
            <w:tcW w:w="144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MSCI Inc. Annual 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00" w:type="dxa"/>
            <w:vAlign w:val="bottom"/>
          </w:tcPr>
          <w:p>
            <w:pPr>
              <w:spacing w:after="0"/>
              <w:rPr>
                <w:sz w:val="21"/>
                <w:szCs w:val="21"/>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2024 Award Agreement for Restricted Stock Units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for Employees Under the MSCI Inc. 2016 Omnibus</w:t>
              </w:r>
            </w:hyperlink>
          </w:p>
        </w:tc>
        <w:tc>
          <w:tcPr>
            <w:tcW w:w="540" w:type="dxa"/>
            <w:vAlign w:val="bottom"/>
            <w:tcBorders>
              <w:top w:val="single" w:sz="8" w:color="0000FF"/>
            </w:tcBorders>
            <w:gridSpan w:val="1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9"/>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2024 Annual Performance Award Agreement for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Performance Stock Units for Managing Directors Under</w:t>
              </w:r>
            </w:hyperlink>
          </w:p>
        </w:tc>
        <w:tc>
          <w:tcPr>
            <w:tcW w:w="16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w w:val="71"/>
              </w:rPr>
            </w:pPr>
            <w:hyperlink r:id="rId152">
              <w:r>
                <w:rPr>
                  <w:rFonts w:ascii="Times New Roman" w:cs="Times New Roman" w:eastAsia="Times New Roman" w:hAnsi="Times New Roman"/>
                  <w:sz w:val="16"/>
                  <w:szCs w:val="16"/>
                  <w:color w:val="0000FF"/>
                  <w:w w:val="71"/>
                </w:rPr>
                <w:t>the</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MSCI Inc. 2016 Omnibus Incentive Plan</w:t>
              </w:r>
            </w:hyperlink>
          </w:p>
        </w:tc>
        <w:tc>
          <w:tcPr>
            <w:tcW w:w="1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2024 Non-Qualified Performance Stock Option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Award Agreement Under the MSCI Inc. 2016 Omnibus</w:t>
              </w:r>
            </w:hyperlink>
          </w:p>
        </w:tc>
        <w:tc>
          <w:tcPr>
            <w:tcW w:w="60" w:type="dxa"/>
            <w:vAlign w:val="bottom"/>
            <w:tcBorders>
              <w:top w:val="single" w:sz="8" w:color="0000FF"/>
            </w:tcBorders>
          </w:tcPr>
          <w:p>
            <w:pPr>
              <w:spacing w:after="0"/>
              <w:rPr>
                <w:sz w:val="15"/>
                <w:szCs w:val="15"/>
                <w:color w:val="auto"/>
              </w:rPr>
            </w:pPr>
          </w:p>
        </w:tc>
        <w:tc>
          <w:tcPr>
            <w:tcW w:w="30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320" w:type="dxa"/>
            <w:vAlign w:val="bottom"/>
            <w:gridSpan w:val="2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2025 Award Agreement for Restricted Stock Units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 Employees Under the MSCI Inc. 2016 Omnibus</w:t>
              </w:r>
            </w:hyperlink>
          </w:p>
        </w:tc>
        <w:tc>
          <w:tcPr>
            <w:tcW w:w="540" w:type="dxa"/>
            <w:vAlign w:val="bottom"/>
            <w:tcBorders>
              <w:top w:val="single" w:sz="8" w:color="0000FF"/>
            </w:tcBorders>
            <w:gridSpan w:val="1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9"/>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320" w:type="dxa"/>
            <w:vAlign w:val="bottom"/>
            <w:gridSpan w:val="2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2025 Annual Performance Award Agreement for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Performance Stock Units for Managing Directors Under</w:t>
              </w:r>
            </w:hyperlink>
          </w:p>
        </w:tc>
        <w:tc>
          <w:tcPr>
            <w:tcW w:w="16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w w:val="71"/>
              </w:rPr>
            </w:pPr>
            <w:hyperlink r:id="rId155">
              <w:r>
                <w:rPr>
                  <w:rFonts w:ascii="Times New Roman" w:cs="Times New Roman" w:eastAsia="Times New Roman" w:hAnsi="Times New Roman"/>
                  <w:sz w:val="16"/>
                  <w:szCs w:val="16"/>
                  <w:color w:val="0000FF"/>
                  <w:w w:val="71"/>
                </w:rPr>
                <w:t>the</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MSCI Inc. 2016 Omnibus Incentive Plan</w:t>
              </w:r>
            </w:hyperlink>
          </w:p>
        </w:tc>
        <w:tc>
          <w:tcPr>
            <w:tcW w:w="1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2025 Non-Qualified Performance Stock Option</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Award Agreement Under the MSCI Inc. 2016 Omnibus</w:t>
              </w:r>
            </w:hyperlink>
          </w:p>
        </w:tc>
        <w:tc>
          <w:tcPr>
            <w:tcW w:w="60" w:type="dxa"/>
            <w:vAlign w:val="bottom"/>
            <w:tcBorders>
              <w:top w:val="single" w:sz="8" w:color="0000FF"/>
            </w:tcBorders>
          </w:tcPr>
          <w:p>
            <w:pPr>
              <w:spacing w:after="0"/>
              <w:rPr>
                <w:sz w:val="15"/>
                <w:szCs w:val="15"/>
                <w:color w:val="auto"/>
              </w:rPr>
            </w:pPr>
          </w:p>
        </w:tc>
        <w:tc>
          <w:tcPr>
            <w:tcW w:w="30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gridSpan w:val="2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320" w:type="dxa"/>
            <w:vAlign w:val="bottom"/>
            <w:gridSpan w:val="2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4400" w:type="dxa"/>
            <w:vAlign w:val="bottom"/>
            <w:gridSpan w:val="2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2025 Non-Qualified Stock Option Award Under the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MSCI Inc. 2016 Omnibus Incentive Plan</w:t>
              </w:r>
            </w:hyperlink>
          </w:p>
        </w:tc>
        <w:tc>
          <w:tcPr>
            <w:tcW w:w="1400" w:type="dxa"/>
            <w:vAlign w:val="bottom"/>
            <w:tcBorders>
              <w:top w:val="single" w:sz="8" w:color="0000FF"/>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0"/>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19"/>
          </w:tcPr>
          <w:p>
            <w:pPr>
              <w:ind w:left="37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8/17/2021</w:t>
            </w:r>
          </w:p>
        </w:tc>
      </w:tr>
      <w:tr>
        <w:trPr>
          <w:trHeight w:val="47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r>
      <w:tr>
        <w:trPr>
          <w:trHeight w:val="41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r>
      <w:tr>
        <w:trPr>
          <w:trHeight w:val="59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r>
      <w:tr>
        <w:trPr>
          <w:trHeight w:val="41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11/6/2025</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11/6/2025</w:t>
            </w:r>
          </w:p>
        </w:tc>
      </w:tr>
      <w:tr>
        <w:trPr>
          <w:trHeight w:val="47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473"/>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257"/>
        </w:trPr>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2"/>
                <w:szCs w:val="22"/>
                <w:color w:val="auto"/>
              </w:rPr>
            </w:pPr>
          </w:p>
        </w:tc>
      </w:tr>
      <w:tr>
        <w:trPr>
          <w:trHeight w:val="25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4/22/2025</w:t>
            </w:r>
          </w:p>
        </w:tc>
      </w:tr>
      <w:tr>
        <w:trPr>
          <w:trHeight w:val="473"/>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2/9/2024</w:t>
            </w:r>
          </w:p>
        </w:tc>
      </w:tr>
      <w:tr>
        <w:trPr>
          <w:trHeight w:val="473"/>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473"/>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333-210987</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4/28/2016</w:t>
            </w:r>
          </w:p>
        </w:tc>
      </w:tr>
      <w:tr>
        <w:trPr>
          <w:trHeight w:val="256"/>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333-286760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4/25/2025</w:t>
            </w:r>
          </w:p>
        </w:tc>
      </w:tr>
      <w:tr>
        <w:trPr>
          <w:trHeight w:val="257"/>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256"/>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2/9/2024</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2/9/2024</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2/9/2024</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2/7/2025</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2/7/2025</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2/7/2025</w:t>
            </w:r>
          </w:p>
        </w:tc>
      </w:tr>
      <w:tr>
        <w:trPr>
          <w:trHeight w:val="675"/>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2/7/2025</w:t>
            </w:r>
          </w:p>
        </w:tc>
      </w:tr>
    </w:tbl>
    <w:p>
      <w:pPr>
        <w:sectPr>
          <w:pgSz w:w="11900" w:h="16838" w:orient="portrait"/>
          <w:cols w:equalWidth="0" w:num="2">
            <w:col w:w="5780" w:space="100"/>
            <w:col w:w="4660"/>
          </w:cols>
          <w:pgMar w:left="680" w:top="817" w:right="67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80" w:type="dxa"/>
            <w:vAlign w:val="bottom"/>
            <w:gridSpan w:val="2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80" w:type="dxa"/>
            <w:vAlign w:val="bottom"/>
            <w:gridSpan w:val="2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2"/>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2025 Award Agreement for Restricted Stock Units</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for Non-Employee Directors Under the MSCI Inc. 2025</w:t>
              </w:r>
            </w:hyperlink>
          </w:p>
        </w:tc>
        <w:tc>
          <w:tcPr>
            <w:tcW w:w="22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Omnibus Incentive Plan</w:t>
              </w:r>
            </w:hyperlink>
          </w:p>
        </w:tc>
        <w:tc>
          <w:tcPr>
            <w:tcW w:w="26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2025 Award Agreement for Restricted Stock Units</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 Employees Under the MSCI Inc. 2025 Omnibus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Incentive Plan</w:t>
              </w:r>
            </w:hyperlink>
          </w:p>
        </w:tc>
        <w:tc>
          <w:tcPr>
            <w:tcW w:w="2680" w:type="dxa"/>
            <w:vAlign w:val="bottom"/>
            <w:tcBorders>
              <w:top w:val="single" w:sz="8" w:color="0000FF"/>
            </w:tcBorders>
            <w:gridSpan w:val="10"/>
          </w:tcPr>
          <w:p>
            <w:pPr>
              <w:spacing w:after="0"/>
              <w:rPr>
                <w:sz w:val="17"/>
                <w:szCs w:val="17"/>
                <w:color w:val="auto"/>
              </w:rPr>
            </w:pPr>
          </w:p>
        </w:tc>
        <w:tc>
          <w:tcPr>
            <w:tcW w:w="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2025 Annual Performance Award Agreement for</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Performance Stock Units for Managing Directors Under</w:t>
              </w:r>
            </w:hyperlink>
          </w:p>
        </w:tc>
        <w:tc>
          <w:tcPr>
            <w:tcW w:w="180" w:type="dxa"/>
            <w:vAlign w:val="bottom"/>
            <w:tcBorders>
              <w:bottom w:val="single" w:sz="8" w:color="0000FF"/>
            </w:tcBorders>
            <w:gridSpan w:val="6"/>
          </w:tcPr>
          <w:p>
            <w:pPr>
              <w:spacing w:after="0" w:line="182" w:lineRule="exact"/>
              <w:rPr>
                <w:rFonts w:ascii="Times New Roman" w:cs="Times New Roman" w:eastAsia="Times New Roman" w:hAnsi="Times New Roman"/>
                <w:sz w:val="18"/>
                <w:szCs w:val="18"/>
                <w:color w:val="0000FF"/>
                <w:w w:val="72"/>
              </w:rPr>
            </w:pPr>
            <w:hyperlink r:id="rId161">
              <w:r>
                <w:rPr>
                  <w:rFonts w:ascii="Times New Roman" w:cs="Times New Roman" w:eastAsia="Times New Roman" w:hAnsi="Times New Roman"/>
                  <w:sz w:val="18"/>
                  <w:szCs w:val="18"/>
                  <w:color w:val="0000FF"/>
                  <w:w w:val="72"/>
                </w:rPr>
                <w:t>the</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MSCI Inc. 2025 Omnibus Incentive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2025 Non-Qualified Performance Stock Option</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Award Agreement Under the MSCI Inc. 2025 Omnibus</w:t>
              </w:r>
            </w:hyperlink>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Incentive Plan</w:t>
              </w:r>
            </w:hyperlink>
          </w:p>
        </w:tc>
        <w:tc>
          <w:tcPr>
            <w:tcW w:w="33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of 2026 Award Agreement for Restricted Stock Units</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for Employees Under the MSCI Inc. 2025 Omnibus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Incentive Plan</w:t>
            </w:r>
          </w:p>
        </w:tc>
        <w:tc>
          <w:tcPr>
            <w:tcW w:w="2680" w:type="dxa"/>
            <w:vAlign w:val="bottom"/>
            <w:tcBorders>
              <w:top w:val="single" w:sz="8" w:color="0000FF"/>
            </w:tcBorders>
            <w:gridSpan w:val="10"/>
          </w:tcPr>
          <w:p>
            <w:pPr>
              <w:spacing w:after="0"/>
              <w:rPr>
                <w:sz w:val="17"/>
                <w:szCs w:val="17"/>
                <w:color w:val="auto"/>
              </w:rPr>
            </w:pPr>
          </w:p>
        </w:tc>
        <w:tc>
          <w:tcPr>
            <w:tcW w:w="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of 2026 Annual Performance Award Agreement for</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Performance Stock Units for Managing Directors Under</w:t>
            </w:r>
          </w:p>
        </w:tc>
        <w:tc>
          <w:tcPr>
            <w:tcW w:w="18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72"/>
              </w:rPr>
              <w:t>the</w:t>
            </w: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MSCI Inc. 2025 Omnibus Incentive Plan</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of 2026 Non-Qualified Performance Stock Option</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Award Agreement Under the MSCI Inc. 2025 Omnibus</w:t>
            </w: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Incentive Plan</w:t>
            </w:r>
          </w:p>
        </w:tc>
        <w:tc>
          <w:tcPr>
            <w:tcW w:w="33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Offer Letter, executed March 11, 2014, by and between</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MSCI Inc. and Scott Crum</w:t>
              </w:r>
            </w:hyperlink>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32"/>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Offer Letter, executed September 24, 2020, between MSCI</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Inc. and Andrew C. Wiechmann</w:t>
              </w:r>
            </w:hyperlink>
          </w:p>
        </w:tc>
        <w:tc>
          <w:tcPr>
            <w:tcW w:w="1920" w:type="dxa"/>
            <w:vAlign w:val="bottom"/>
            <w:tcBorders>
              <w:top w:val="single" w:sz="8" w:color="0000EE"/>
            </w:tcBorders>
            <w:gridSpan w:val="1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gridSpan w:val="32"/>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Employment Letter, entered into on April 27, 2021, between</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r:id="rId165">
              <w:r>
                <w:rPr>
                  <w:rFonts w:ascii="Times New Roman" w:cs="Times New Roman" w:eastAsia="Times New Roman" w:hAnsi="Times New Roman"/>
                  <w:sz w:val="18"/>
                  <w:szCs w:val="18"/>
                  <w:color w:val="0000EE"/>
                  <w:w w:val="98"/>
                </w:rPr>
                <w:t>MSCI Inc. and C.D. Baer Pettit.</w:t>
              </w:r>
            </w:hyperlink>
          </w:p>
        </w:tc>
        <w:tc>
          <w:tcPr>
            <w:tcW w:w="2040" w:type="dxa"/>
            <w:vAlign w:val="bottom"/>
            <w:tcBorders>
              <w:top w:val="single" w:sz="8" w:color="0000EE"/>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Transition and Advisory Agreement, entered into on January</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28, 2026, between MSCI Inc. and C.D. Baer Pettit</w:t>
            </w:r>
          </w:p>
        </w:tc>
        <w:tc>
          <w:tcPr>
            <w:tcW w:w="7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3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Third Amended and Restated Credit Agreement, dated as of</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August 20, 2025, among MSCI Inc., JPMorgan Chase Bank,</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N.A., as Administrative Agent and L/C Issuer, Bank of</w:t>
              </w:r>
            </w:hyperlink>
          </w:p>
        </w:tc>
        <w:tc>
          <w:tcPr>
            <w:tcW w:w="40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America, N.A., as Syndication Agent and L/C Issuer,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 other lenders party thereto</w:t>
              </w:r>
              <w:r>
                <w:rPr>
                  <w:rFonts w:ascii="Times New Roman" w:cs="Times New Roman" w:eastAsia="Times New Roman" w:hAnsi="Times New Roman"/>
                  <w:sz w:val="18"/>
                  <w:szCs w:val="18"/>
                  <w:color w:val="000000"/>
                </w:rPr>
                <w: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Agreement of Lease dated September 16, 2011, by and</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between 7 World Trade Center, LLC and MSCI Inc.</w:t>
              </w:r>
            </w:hyperlink>
          </w:p>
        </w:tc>
        <w:tc>
          <w:tcPr>
            <w:tcW w:w="200" w:type="dxa"/>
            <w:vAlign w:val="bottom"/>
            <w:tcBorders>
              <w:top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10.29†#</w:t>
            </w:r>
          </w:p>
        </w:tc>
        <w:tc>
          <w:tcPr>
            <w:tcW w:w="20" w:type="dxa"/>
            <w:vAlign w:val="bottom"/>
          </w:tcPr>
          <w:p>
            <w:pPr>
              <w:spacing w:after="0"/>
              <w:rPr>
                <w:sz w:val="21"/>
                <w:szCs w:val="21"/>
                <w:color w:val="auto"/>
              </w:rPr>
            </w:pPr>
          </w:p>
        </w:tc>
        <w:tc>
          <w:tcPr>
            <w:tcW w:w="4420" w:type="dxa"/>
            <w:vAlign w:val="bottom"/>
            <w:gridSpan w:val="3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Index License Agreement for Exchange Traded Funds, dated</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as of October 1, 2022, between MSCI Inc., MSCI Limited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and BlackRock Fund Advisors</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10.30†#</w:t>
            </w:r>
          </w:p>
        </w:tc>
        <w:tc>
          <w:tcPr>
            <w:tcW w:w="20" w:type="dxa"/>
            <w:vAlign w:val="bottom"/>
          </w:tcPr>
          <w:p>
            <w:pPr>
              <w:spacing w:after="0"/>
              <w:rPr>
                <w:sz w:val="20"/>
                <w:szCs w:val="20"/>
                <w:color w:val="auto"/>
              </w:rPr>
            </w:pPr>
          </w:p>
        </w:tc>
        <w:tc>
          <w:tcPr>
            <w:tcW w:w="40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Amendment to Index License Agreement for Exchange</w:t>
              </w:r>
            </w:hyperlink>
          </w:p>
        </w:tc>
        <w:tc>
          <w:tcPr>
            <w:tcW w:w="42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gridSpan w:val="32"/>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Traded Funds, dated as of January 27, 2026, between MSCI</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Inc., MSCI Limited and BlackRock Fund Advisors</w:t>
              </w:r>
            </w:hyperlink>
          </w:p>
        </w:tc>
        <w:tc>
          <w:tcPr>
            <w:tcW w:w="620" w:type="dxa"/>
            <w:vAlign w:val="bottom"/>
            <w:tcBorders>
              <w:top w:val="single" w:sz="8" w:color="0000FF"/>
            </w:tcBorders>
            <w:gridSpan w:val="15"/>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MSCI Employee Trading Policy for Transactions in MSCI</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Inc. Securities</w:t>
            </w:r>
          </w:p>
        </w:tc>
        <w:tc>
          <w:tcPr>
            <w:tcW w:w="2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4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Subsidiaries of the Registrant</w:t>
            </w:r>
          </w:p>
        </w:tc>
        <w:tc>
          <w:tcPr>
            <w:tcW w:w="226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w:t>
            </w:r>
          </w:p>
        </w:tc>
        <w:tc>
          <w:tcPr>
            <w:tcW w:w="144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Powers of Attorney (included as part of Signature Page)</w:t>
            </w:r>
          </w:p>
        </w:tc>
        <w:tc>
          <w:tcPr>
            <w:tcW w:w="3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776"/>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20"/>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7/22/2025</w:t>
            </w:r>
          </w:p>
        </w:tc>
      </w:tr>
      <w:tr>
        <w:trPr>
          <w:trHeight w:val="67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67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67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5/4/2018</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9/25/2020</w:t>
            </w:r>
          </w:p>
        </w:tc>
      </w:tr>
      <w:tr>
        <w:trPr>
          <w:trHeight w:val="47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4/28/2021</w:t>
            </w:r>
          </w:p>
        </w:tc>
      </w:tr>
      <w:tr>
        <w:trPr>
          <w:trHeight w:val="473"/>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Filed Herewith</w:t>
            </w:r>
          </w:p>
        </w:tc>
        <w:tc>
          <w:tcPr>
            <w:tcW w:w="1180" w:type="dxa"/>
            <w:vAlign w:val="bottom"/>
          </w:tcPr>
          <w:p>
            <w:pPr>
              <w:spacing w:after="0"/>
              <w:rPr>
                <w:sz w:val="24"/>
                <w:szCs w:val="24"/>
                <w:color w:val="auto"/>
              </w:rPr>
            </w:pPr>
          </w:p>
        </w:tc>
      </w:tr>
      <w:tr>
        <w:trPr>
          <w:trHeight w:val="41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8/20/2025</w:t>
            </w:r>
          </w:p>
        </w:tc>
      </w:tr>
      <w:tr>
        <w:trPr>
          <w:trHeight w:val="95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9/22/2011</w:t>
            </w:r>
          </w:p>
        </w:tc>
      </w:tr>
      <w:tr>
        <w:trPr>
          <w:trHeight w:val="47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10/25/2022</w:t>
            </w:r>
          </w:p>
        </w:tc>
      </w:tr>
      <w:tr>
        <w:trPr>
          <w:trHeight w:val="67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1/28/2026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5800" w:space="80"/>
            <w:col w:w="4660"/>
          </w:cols>
          <w:pgMar w:left="680" w:top="817" w:right="679" w:bottom="1440" w:gutter="0" w:footer="0" w:header="0"/>
        </w:sectPr>
      </w:pPr>
    </w:p>
    <w:bookmarkStart w:id="103" w:name="page104"/>
    <w:bookmarkEnd w:id="103"/>
    <w:tbl>
      <w:tblPr>
        <w:tblLayout w:type="fixed"/>
        <w:tblInd w:w="360" w:type="dxa"/>
        <w:tblCellMar>
          <w:top w:w="0" w:type="dxa"/>
          <w:left w:w="0" w:type="dxa"/>
          <w:bottom w:w="0" w:type="dxa"/>
          <w:right w:w="0" w:type="dxa"/>
        </w:tblCellMar>
      </w:tblPr>
      <w:tr>
        <w:trPr>
          <w:trHeight w:val="190"/>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820" w:type="dxa"/>
            <w:vAlign w:val="bottom"/>
            <w:gridSpan w:val="6"/>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0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Certification of Chief Executive Officer</w:t>
            </w:r>
          </w:p>
        </w:tc>
        <w:tc>
          <w:tcPr>
            <w:tcW w:w="4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580" w:type="dxa"/>
            <w:vAlign w:val="bottom"/>
            <w:gridSpan w:val="2"/>
          </w:tcPr>
          <w:p>
            <w:pPr>
              <w:jc w:val="center"/>
              <w:ind w:left="172"/>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Rule 13a-14(a) Certification of Chief Financial Officer</w:t>
            </w:r>
          </w:p>
        </w:tc>
        <w:tc>
          <w:tcPr>
            <w:tcW w:w="900" w:type="dxa"/>
            <w:vAlign w:val="bottom"/>
          </w:tcPr>
          <w:p>
            <w:pPr>
              <w:spacing w:after="0"/>
              <w:rPr>
                <w:sz w:val="20"/>
                <w:szCs w:val="20"/>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Section 1350 Certification of Chief Executive Officer and</w:t>
            </w:r>
          </w:p>
        </w:tc>
        <w:tc>
          <w:tcPr>
            <w:tcW w:w="900" w:type="dxa"/>
            <w:vAlign w:val="bottom"/>
          </w:tcPr>
          <w:p>
            <w:pPr>
              <w:spacing w:after="0"/>
              <w:rPr>
                <w:sz w:val="20"/>
                <w:szCs w:val="20"/>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Furnished Herewith</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Chief Financial Officer</w:t>
            </w:r>
          </w:p>
        </w:tc>
        <w:tc>
          <w:tcPr>
            <w:tcW w:w="1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00" w:type="dxa"/>
            <w:vAlign w:val="bottom"/>
          </w:tcPr>
          <w:p>
            <w:pPr>
              <w:spacing w:after="0"/>
              <w:rPr>
                <w:sz w:val="21"/>
                <w:szCs w:val="21"/>
                <w:color w:val="auto"/>
              </w:rPr>
            </w:pPr>
          </w:p>
        </w:tc>
        <w:tc>
          <w:tcPr>
            <w:tcW w:w="4500" w:type="dxa"/>
            <w:vAlign w:val="bottom"/>
            <w:gridSpan w:val="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MSCI Inc. Financial Statement Compensation Recoupment</w:t>
              </w:r>
            </w:hyperlink>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001-33812</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97.1</w:t>
            </w: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2/9/2024</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Policy</w:t>
              </w:r>
            </w:hyperlink>
          </w:p>
        </w:tc>
        <w:tc>
          <w:tcPr>
            <w:tcW w:w="2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900" w:type="dxa"/>
            <w:vAlign w:val="bottom"/>
          </w:tcPr>
          <w:p>
            <w:pPr>
              <w:spacing w:after="0"/>
              <w:rPr>
                <w:sz w:val="22"/>
                <w:szCs w:val="22"/>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auto"/>
              </w:rPr>
              <w:t>appear in the Interactive Data File because its XBRL tags</w:t>
            </w: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23"/>
                <w:szCs w:val="23"/>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00" w:type="dxa"/>
            <w:vAlign w:val="bottom"/>
          </w:tcPr>
          <w:p>
            <w:pPr>
              <w:spacing w:after="0"/>
              <w:rPr>
                <w:sz w:val="19"/>
                <w:szCs w:val="19"/>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00" w:type="dxa"/>
            <w:vAlign w:val="bottom"/>
          </w:tcPr>
          <w:p>
            <w:pPr>
              <w:spacing w:after="0"/>
              <w:rPr>
                <w:sz w:val="22"/>
                <w:szCs w:val="22"/>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00" w:type="dxa"/>
            <w:vAlign w:val="bottom"/>
          </w:tcPr>
          <w:p>
            <w:pPr>
              <w:spacing w:after="0"/>
              <w:rPr>
                <w:sz w:val="19"/>
                <w:szCs w:val="19"/>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900" w:type="dxa"/>
            <w:vAlign w:val="bottom"/>
          </w:tcPr>
          <w:p>
            <w:pPr>
              <w:spacing w:after="0"/>
              <w:rPr>
                <w:sz w:val="19"/>
                <w:szCs w:val="19"/>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104.DEF</w:t>
            </w: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00" w:type="dxa"/>
            <w:vAlign w:val="bottom"/>
          </w:tcPr>
          <w:p>
            <w:pPr>
              <w:spacing w:after="0"/>
              <w:rPr>
                <w:sz w:val="19"/>
                <w:szCs w:val="19"/>
                <w:color w:val="auto"/>
              </w:rPr>
            </w:pPr>
          </w:p>
        </w:tc>
        <w:tc>
          <w:tcPr>
            <w:tcW w:w="25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compensation plan, contract or arrangement.</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Certain confidential portions of this Exhibit have been omitted pursuant to Item 601(b) of Regulation S-K because the identified confidential portions</w:t>
      </w:r>
    </w:p>
    <w:p>
      <w:pPr>
        <w:spacing w:after="0" w:line="9" w:lineRule="exact"/>
        <w:rPr>
          <w:sz w:val="20"/>
          <w:szCs w:val="20"/>
          <w:color w:val="auto"/>
        </w:rPr>
      </w:pPr>
    </w:p>
    <w:p>
      <w:pPr>
        <w:ind w:left="880" w:hanging="224"/>
        <w:spacing w:after="0"/>
        <w:tabs>
          <w:tab w:leader="none" w:pos="8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material and (ii) are of the type that the Company treats as private or confidential.</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an unredacted copy of this exhibit to the Securities and Exchange Commission upon its request.</w:t>
      </w:r>
    </w:p>
    <w:p>
      <w:pPr>
        <w:spacing w:after="0" w:line="3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17" w:right="519" w:bottom="1440" w:gutter="0" w:footer="0" w:header="0"/>
        </w:sectPr>
      </w:pPr>
    </w:p>
    <w:bookmarkStart w:id="104" w:name="page105"/>
    <w:bookmarkEnd w:id="104"/>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MSCI INC.</w:t>
      </w:r>
    </w:p>
    <w:p>
      <w:pPr>
        <w:spacing w:after="0" w:line="320"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25546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43" w:lineRule="exact"/>
        <w:rPr>
          <w:sz w:val="20"/>
          <w:szCs w:val="20"/>
          <w:color w:val="auto"/>
        </w:rPr>
      </w:pPr>
    </w:p>
    <w:p>
      <w:pPr>
        <w:ind w:left="630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Henry A. Fernandez</w:t>
      </w:r>
    </w:p>
    <w:p>
      <w:pPr>
        <w:spacing w:after="0" w:line="50" w:lineRule="exact"/>
        <w:rPr>
          <w:sz w:val="20"/>
          <w:szCs w:val="20"/>
          <w:color w:val="auto"/>
        </w:rPr>
      </w:pPr>
    </w:p>
    <w:p>
      <w:pPr>
        <w:ind w:left="630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and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089" w:right="839" w:bottom="1440" w:gutter="0" w:footer="0" w:header="0"/>
        </w:sectPr>
      </w:pPr>
    </w:p>
    <w:bookmarkStart w:id="105" w:name="page106"/>
    <w:bookmarkEnd w:id="10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C. Wiechmann, Robert J. Gutowski and Cecilia Aza, and each or any one of them, his or her true and lawful attorneys-in-fact and agents, with full powers of substitution and resubstitution, for him or her and in his or her name, place and stead, in the capacities indicated below, to sign any and all amendments to this Annual Report on Form 10-K and to file the same, with all exhibits thereto and other documents in connection therewith, with the Securities and Exchange Commission, hereby ratifying and confirming his or her signatures as they may be signed by his or her said attorneys-in-fact and agents, or their substitute or substitutes, to any and all amendments to this Annual Report on Form 10-K.</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ectPr>
          <w:pgSz w:w="11900" w:h="16838" w:orient="portrait"/>
          <w:cols w:equalWidth="0" w:num="1">
            <w:col w:w="11140"/>
          </w:cols>
          <w:pgMar w:left="320" w:top="1089" w:right="439" w:bottom="1440" w:gutter="0" w:footer="0" w:header="0"/>
        </w:sectPr>
      </w:pPr>
    </w:p>
    <w:p>
      <w:pPr>
        <w:spacing w:after="0" w:line="101"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33655</wp:posOffset>
            </wp:positionV>
            <wp:extent cx="2434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Henry A. Fernandez</w:t>
      </w:r>
    </w:p>
    <w:p>
      <w:pPr>
        <w:spacing w:after="0" w:line="121"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7"/>
          <w:szCs w:val="17"/>
          <w:color w:val="auto"/>
        </w:rPr>
        <w:t>/S/ 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33020</wp:posOffset>
            </wp:positionV>
            <wp:extent cx="2434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Andrew C. Wiechmann</w:t>
      </w:r>
    </w:p>
    <w:p>
      <w:pPr>
        <w:spacing w:after="0" w:line="121"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C. JACK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C. Jack Read</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ROBERT G.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Robert G. Ashe</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ROBIN MATLOCK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Robin Matlock</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JACQUES P. PEROLD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Jacques P. Perold</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C.D. BAER PETTIT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C.D. Baer Pettit</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SANDY C. RATTRAY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Sandy C. Rattray</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LINDA H. RIEFLER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Linda H. Riefler</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MICHELLE SEITZ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Michelle Seitz</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MARCUS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Marcus L. Smith</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RAJAT TANEJA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Rajat Taneja</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PAULA VOLENT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Paula Volent</w:t>
      </w:r>
    </w:p>
    <w:p>
      <w:pPr>
        <w:spacing w:after="0" w:line="108"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color w:val="auto"/>
        </w:rPr>
        <w:t>/S/ JUNE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26035</wp:posOffset>
            </wp:positionV>
            <wp:extent cx="24345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June Yang</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9"/>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34"/>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20"/>
                <w:szCs w:val="20"/>
                <w:color w:val="auto"/>
              </w:rPr>
            </w:pPr>
          </w:p>
        </w:tc>
      </w:tr>
      <w:tr>
        <w:trPr>
          <w:trHeight w:val="36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34"/>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80" w:type="dxa"/>
            <w:vAlign w:val="bottom"/>
          </w:tcPr>
          <w:p>
            <w:pPr>
              <w:spacing w:after="0"/>
              <w:rPr>
                <w:sz w:val="20"/>
                <w:szCs w:val="20"/>
                <w:color w:val="auto"/>
              </w:rPr>
            </w:pPr>
          </w:p>
        </w:tc>
      </w:tr>
      <w:tr>
        <w:trPr>
          <w:trHeight w:val="36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234"/>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780" w:type="dxa"/>
            <w:vAlign w:val="bottom"/>
          </w:tcPr>
          <w:p>
            <w:pPr>
              <w:spacing w:after="0"/>
              <w:rPr>
                <w:sz w:val="20"/>
                <w:szCs w:val="20"/>
                <w:color w:val="auto"/>
              </w:rPr>
            </w:pPr>
          </w:p>
        </w:tc>
      </w:tr>
      <w:tr>
        <w:trPr>
          <w:trHeight w:val="378"/>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1"/>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 and President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1"/>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r>
        <w:trPr>
          <w:trHeight w:val="580"/>
        </w:trPr>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6, 2026</w:t>
            </w:r>
          </w:p>
        </w:tc>
      </w:tr>
    </w:tbl>
    <w:p>
      <w:pPr>
        <w:spacing w:after="0" w:line="438" w:lineRule="exact"/>
        <w:rPr>
          <w:sz w:val="20"/>
          <w:szCs w:val="20"/>
          <w:color w:val="auto"/>
        </w:rPr>
      </w:pPr>
    </w:p>
    <w:p>
      <w:pPr>
        <w:sectPr>
          <w:pgSz w:w="11900" w:h="16838" w:orient="portrait"/>
          <w:cols w:equalWidth="0" w:num="2">
            <w:col w:w="3720" w:space="720"/>
            <w:col w:w="6700"/>
          </w:cols>
          <w:pgMar w:left="320" w:top="1089" w:right="439" w:bottom="1440" w:gutter="0" w:footer="0" w:header="0"/>
          <w:type w:val="continuous"/>
        </w:sect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1089" w:right="439" w:bottom="1440" w:gutter="0" w:footer="0" w:header="0"/>
          <w:type w:val="continuous"/>
        </w:sectPr>
      </w:pPr>
    </w:p>
    <w:bookmarkStart w:id="106" w:name="page107"/>
    <w:bookmarkEnd w:id="106"/>
    <w:p>
      <w:pPr>
        <w:ind w:left="10320"/>
        <w:spacing w:after="0"/>
        <w:rPr>
          <w:sz w:val="20"/>
          <w:szCs w:val="20"/>
          <w:color w:val="auto"/>
        </w:rPr>
      </w:pPr>
      <w:r>
        <w:rPr>
          <w:rFonts w:ascii="Times New Roman" w:cs="Times New Roman" w:eastAsia="Times New Roman" w:hAnsi="Times New Roman"/>
          <w:sz w:val="17"/>
          <w:szCs w:val="17"/>
          <w:b w:val="1"/>
          <w:bCs w:val="1"/>
          <w:color w:val="auto"/>
        </w:rPr>
        <w:t>Exhibit 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5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70" w:lineRule="exact"/>
        <w:rPr>
          <w:sz w:val="20"/>
          <w:szCs w:val="20"/>
          <w:color w:val="auto"/>
        </w:rPr>
      </w:pPr>
    </w:p>
    <w:p>
      <w:pPr>
        <w:ind w:firstLine="729"/>
        <w:spacing w:after="0" w:line="285" w:lineRule="auto"/>
        <w:rPr>
          <w:sz w:val="20"/>
          <w:szCs w:val="20"/>
          <w:color w:val="auto"/>
        </w:rPr>
      </w:pPr>
      <w:r>
        <w:rPr>
          <w:rFonts w:ascii="Times New Roman" w:cs="Times New Roman" w:eastAsia="Times New Roman" w:hAnsi="Times New Roman"/>
          <w:sz w:val="18"/>
          <w:szCs w:val="18"/>
          <w:color w:val="auto"/>
        </w:rPr>
        <w:t xml:space="preserve">As of December 31, 2025, MSCI Inc. (“MSCI” or the “Company”) has one class of securities registered under Section 12 of the Securities Exchange Act of 1934, as amended (the “Exchange Act”): our common stock. The following summary of the terms of the capital stock of MSCI is not meant to be complete and is qualified by reference to the relevant provisions of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8"/>
          <w:szCs w:val="18"/>
          <w:color w:val="auto"/>
        </w:rPr>
        <w:t xml:space="preserve"> General Corporation Law of the State of Delaware (the “DGCL”) and MSCI’s Third Amended and Restated Certificate of Incorporation (“Certificate of Incorporation”) and Amended and Restated By-laws (“By-laws”). Copies of the MSCI Certificate of Incorporation and By-laws are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850,000,000 shares of stock, of which: (i) 750,000,000 shares are designated as common stock, par value $0.01 per share and (ii) 100,000,000 shares are designated as preferred stock, par value $0.01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Except as provided by statute or resolution of our board of directors in connection with the issuance of preferred stock in accordance with our Certificate of Incorporation, holders of our common stock have the sole right and power to vote on all matters on which a vote of stockholders is to be taken. Generally, the holders of a majority of the voting power of all classes of voting stock, in person or by proxy, shall constitute a quorum at a meeting of stockholders. Except when amending or altering any provision of our Certificate of Incorporation or By-laws so as to adversely affect the rights of one class or as otherwise required by Delaware law, matters to be voted on by stockholders must be approved by a majority of all votes cast on the matter by the holders of common stock at a meeting at which a quorum is present, subject to any voting rights granted to holders of any outstanding shares of preferred stock.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September 17, 2014, the board of directors approved a plan to initiate a quarterly cash dividend. Subject to preferences that may be applicable to any outstanding preferred stock, the holders of common stock are entitled to receive ratably any dividends declared from time to time by the board of directors out of funds legally available therefor. In addition, our Revolving Credit Agreement contains certain restrictions on the payment of dividends.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Rights</w:t>
      </w:r>
    </w:p>
    <w:p>
      <w:pPr>
        <w:spacing w:after="0" w:line="22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event of any reorganization of MSCI or a merger or share exchange of MSCI with another corporation in which shares of our common stock are converted into or exchangeable for shares of stock, other securities or property, including cash, all holders of our common stock, regardless of class, will be entitled to receive with respect to each share held the same kind and amount of shares of stock and other securities and property, including cash.</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event of liquidation, dissolution or winding up of MSCI, the holders of common stock are entitled to share ratably in all assets remaining after payment of liabilities, subject to prior distribution rights of preferred stock, if any, then outstanding. There are no redemption or sinking fund provisions applicable to the common stock. All outstanding shares of common stock are fully paid and non-assessable, and any shares of common stock that we may issue in the future will be validly issued, fully paid and non-assessable.</w:t>
      </w:r>
    </w:p>
    <w:p>
      <w:pPr>
        <w:sectPr>
          <w:pgSz w:w="11900" w:h="16838" w:orient="portrait"/>
          <w:cols w:equalWidth="0" w:num="1">
            <w:col w:w="11240"/>
          </w:cols>
          <w:pgMar w:left="320" w:top="131" w:right="339" w:bottom="1440" w:gutter="0" w:footer="0" w:header="0"/>
        </w:sectPr>
      </w:pPr>
    </w:p>
    <w:bookmarkStart w:id="107" w:name="page108"/>
    <w:bookmarkEnd w:id="107"/>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Preemption Rights</w:t>
      </w:r>
    </w:p>
    <w:p>
      <w:pPr>
        <w:spacing w:after="0" w:line="225" w:lineRule="exact"/>
        <w:rPr>
          <w:sz w:val="20"/>
          <w:szCs w:val="20"/>
          <w:color w:val="auto"/>
        </w:rPr>
      </w:pPr>
    </w:p>
    <w:p>
      <w:pPr>
        <w:ind w:right="760" w:firstLine="324"/>
        <w:spacing w:after="0" w:line="297" w:lineRule="auto"/>
        <w:rPr>
          <w:sz w:val="20"/>
          <w:szCs w:val="20"/>
          <w:color w:val="auto"/>
        </w:rPr>
      </w:pPr>
      <w:r>
        <w:rPr>
          <w:rFonts w:ascii="Times New Roman" w:cs="Times New Roman" w:eastAsia="Times New Roman" w:hAnsi="Times New Roman"/>
          <w:sz w:val="18"/>
          <w:szCs w:val="18"/>
          <w:color w:val="auto"/>
        </w:rPr>
        <w:t>Holders of common stock have no preemptive rights and have no right to convert their common stock into any other securities. There are no redemption provisions applicable to the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the authority to issue 100,000,000 shares of preferred stock in one or more series and to fix the rights, preferences, privileges and restrictions thereof. The authority of the board of directors with respect to each series shall include, but not be limited to, determination of the following:</w:t>
      </w:r>
    </w:p>
    <w:p>
      <w:pPr>
        <w:spacing w:after="0" w:line="68"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respect of dividends, and whether such dividends, if any, shall be cumulative or non-cumulative;</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at which dividends, if any, shall be payable;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provided for the purchase or redemption of shares of the series;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Company;</w:t>
      </w:r>
    </w:p>
    <w:p>
      <w:pPr>
        <w:spacing w:after="0" w:line="53"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or exchangeable for shares of any other class or series, or any other security, of the Company or any other corporation, and, if so, the specification of such other class or series of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 and</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powers, preferences and relative, participating, optional and other special rights, and the qualifications, limitations and restrictions thereof, as the board of directors determines.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No shares of preferred stock are currently issued or outstanding. The issuance of preferred stock may have the effect of delaying, deterring or preventing a change in control of MSCI without further action by the stockholders and may adversely affect the voting and other rights of the holders of common stock. The material terms of any preferred stock will be set forth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Written Consents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These limits may have the effect of delaying, deterring or preventing a change in control of MSCI.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Right to Call Special Meetings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by stockholders of record or beneficial owners holding not less than 15% of our outstanding shares continuously for at least one year.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440" w:right="399" w:bottom="1440" w:gutter="0" w:footer="0" w:header="0"/>
        </w:sectPr>
      </w:pPr>
    </w:p>
    <w:bookmarkStart w:id="108" w:name="page109"/>
    <w:bookmarkEnd w:id="10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right="380" w:firstLine="324"/>
        <w:spacing w:after="0" w:line="274" w:lineRule="auto"/>
        <w:rPr>
          <w:sz w:val="20"/>
          <w:szCs w:val="20"/>
          <w:color w:val="auto"/>
        </w:rPr>
      </w:pPr>
      <w:r>
        <w:rPr>
          <w:rFonts w:ascii="Times New Roman" w:cs="Times New Roman" w:eastAsia="Times New Roman" w:hAnsi="Times New Roman"/>
          <w:sz w:val="18"/>
          <w:szCs w:val="18"/>
          <w:color w:val="auto"/>
        </w:rPr>
        <w:t>Pursuant to the Bylaws, the number of directors is fixed exclusively by the board of directors and such number shall consist of not less than three directors. Each director stands for election at each annual meeting of stockholders and holds office until his or her successor has been duly elected and qualified or the director’s earlier resignation, death or removal.</w:t>
      </w:r>
    </w:p>
    <w:p>
      <w:pPr>
        <w:spacing w:after="0" w:line="182"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8"/>
          <w:szCs w:val="18"/>
          <w:color w:val="auto"/>
        </w:rPr>
        <w:t>Each director shall be elected by the vote of the majority of all stockholder votes cast with respect to that director’s election at any meeting for the election of directors at which a quorum is present, provided that if, as of the tenth day preceding the date the Company first mails its notice of meeting for such meeting to the stockholders of the Company, the number of nominees exceeds the number of directors to be elected, the directors shall be elected by the vote of a plurality of the votes cast.</w:t>
      </w:r>
    </w:p>
    <w:p>
      <w:pPr>
        <w:spacing w:after="0" w:line="186" w:lineRule="exact"/>
        <w:rPr>
          <w:sz w:val="20"/>
          <w:szCs w:val="20"/>
          <w:color w:val="auto"/>
        </w:rPr>
      </w:pPr>
    </w:p>
    <w:p>
      <w:pPr>
        <w:ind w:right="80" w:firstLine="324"/>
        <w:spacing w:after="0" w:line="264" w:lineRule="auto"/>
        <w:rPr>
          <w:sz w:val="20"/>
          <w:szCs w:val="20"/>
          <w:color w:val="auto"/>
        </w:rPr>
      </w:pPr>
      <w:r>
        <w:rPr>
          <w:rFonts w:ascii="Times New Roman" w:cs="Times New Roman" w:eastAsia="Times New Roman" w:hAnsi="Times New Roman"/>
          <w:sz w:val="18"/>
          <w:szCs w:val="18"/>
          <w:color w:val="auto"/>
        </w:rPr>
        <w:t>The Bylaws also provide that, in order for any incumbent director to become a nominee of the board of directors, the director must submit an irrevocable resignation as director that becomes effective if (i) he or she does not receive a majority of the votes cast in an uncontested election and (ii) the board of directors accepts the resignation. If a director does not receive a majority of the votes cast in an uncontested election, the Nominating and Corporate Governance Committee will consider the director’s resignation and recommend to the board of directors whether to accept or reject the resignation, or whether other action should be taken. The board of directors will decide whether to accept or reject the resignation and publicly disclose its decision, including the rationale behind the decision if it rejects the resignation, within 90 days after the election results are certified. If the board of directors accepts such a director’s resignation, or if a nominee for director is not elected and the nominee is not an incumbent director, then the board of directors may fill the resulting vacancy or may decrease the size of the board of directors. This power, along with the power to increase the size of the board of directors, may have the effect of delaying, deterring or preventing a change in control of MSCI.</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Nominations of persons for election to the board of directors may be made at an annual meeting of stockholders only (i) pursuant to the Company’s notice of meeting delivered pursuant to our Bylaws, (ii) by or at the direction of the board of directors or (iii) by any stockholder of the Company who is entitled to vote at the meeting, who complied with the notice procedures set forth in the Bylaws and who was a stockholder of record on the date such notice is delivered to the corporate secretary of the Company and at the time of such annual meeting.</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Bylaws also contain a “proxy access” provision that permits a stockholder, or a group of up to 20 stockholders, owning at least three percent of the Company’s outstanding common stock continuously for at least three years to nominate and include in the Company’s annual meeting proxy materials director nominees constituting the greater of two (2) directors or twenty percent (20%) of the total number of directors on the board of directors, provided that such shareholder(s) and nominee(s) satisfy the requirements specified in the Bylaws.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“MSCI.”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Financial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40" w:right="359"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2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w w:val="96"/>
              </w:rPr>
              <w:t>Exhibit 10.1</w:t>
            </w:r>
          </w:p>
        </w:tc>
      </w:tr>
      <w:tr>
        <w:trPr>
          <w:trHeight w:val="418"/>
        </w:trPr>
        <w:tc>
          <w:tcPr>
            <w:tcW w:w="4080" w:type="dxa"/>
            <w:vAlign w:val="bottom"/>
          </w:tcPr>
          <w:p>
            <w:pPr>
              <w:spacing w:after="0"/>
              <w:rPr>
                <w:sz w:val="24"/>
                <w:szCs w:val="24"/>
                <w:color w:val="auto"/>
              </w:rPr>
            </w:pPr>
          </w:p>
        </w:tc>
        <w:tc>
          <w:tcPr>
            <w:tcW w:w="37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Non-Employee Director Compensation</w:t>
            </w:r>
            <w:r>
              <w:rPr>
                <w:rFonts w:ascii="Times New Roman" w:cs="Times New Roman" w:eastAsia="Times New Roman" w:hAnsi="Times New Roman"/>
                <w:sz w:val="9"/>
                <w:szCs w:val="9"/>
                <w:color w:val="auto"/>
              </w:rPr>
              <w:t>(1)</w:t>
            </w:r>
          </w:p>
        </w:tc>
        <w:tc>
          <w:tcPr>
            <w:tcW w:w="3420" w:type="dxa"/>
            <w:vAlign w:val="bottom"/>
          </w:tcPr>
          <w:p>
            <w:pPr>
              <w:spacing w:after="0"/>
              <w:rPr>
                <w:sz w:val="24"/>
                <w:szCs w:val="24"/>
                <w:color w:val="auto"/>
              </w:rPr>
            </w:pPr>
          </w:p>
        </w:tc>
      </w:tr>
      <w:tr>
        <w:trPr>
          <w:trHeight w:val="256"/>
        </w:trPr>
        <w:tc>
          <w:tcPr>
            <w:tcW w:w="408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r>
        <w:trPr>
          <w:trHeight w:val="237"/>
        </w:trPr>
        <w:tc>
          <w:tcPr>
            <w:tcW w:w="4080" w:type="dxa"/>
            <w:vAlign w:val="bottom"/>
            <w:tcBorders>
              <w:left w:val="single" w:sz="8" w:color="auto"/>
              <w:right w:val="single" w:sz="8" w:color="auto"/>
            </w:tcBorders>
          </w:tcPr>
          <w:p>
            <w:pPr>
              <w:spacing w:after="0"/>
              <w:rPr>
                <w:sz w:val="20"/>
                <w:szCs w:val="20"/>
                <w:color w:val="auto"/>
              </w:rPr>
            </w:pPr>
          </w:p>
        </w:tc>
        <w:tc>
          <w:tcPr>
            <w:tcW w:w="376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Effective May 1, 2026</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82"/>
        </w:trPr>
        <w:tc>
          <w:tcPr>
            <w:tcW w:w="4080" w:type="dxa"/>
            <w:vAlign w:val="bottom"/>
            <w:tcBorders>
              <w:left w:val="single" w:sz="8" w:color="auto"/>
              <w:bottom w:val="single" w:sz="8" w:color="D0CECE"/>
              <w:right w:val="single" w:sz="8" w:color="D0CECE"/>
            </w:tcBorders>
            <w:shd w:val="clear" w:color="auto" w:fill="D0CECE"/>
          </w:tcPr>
          <w:p>
            <w:pPr>
              <w:spacing w:after="0"/>
              <w:rPr>
                <w:sz w:val="24"/>
                <w:szCs w:val="24"/>
                <w:color w:val="auto"/>
              </w:rPr>
            </w:pPr>
          </w:p>
        </w:tc>
        <w:tc>
          <w:tcPr>
            <w:tcW w:w="3760" w:type="dxa"/>
            <w:vAlign w:val="bottom"/>
            <w:tcBorders>
              <w:bottom w:val="single" w:sz="8" w:color="D0CECE"/>
              <w:right w:val="single" w:sz="8" w:color="D0CECE"/>
            </w:tcBorders>
            <w:shd w:val="clear" w:color="auto" w:fill="D0CECE"/>
          </w:tcPr>
          <w:p>
            <w:pPr>
              <w:jc w:val="center"/>
              <w:ind w:right="570"/>
              <w:spacing w:after="0"/>
              <w:rPr>
                <w:sz w:val="20"/>
                <w:szCs w:val="20"/>
                <w:color w:val="auto"/>
              </w:rPr>
            </w:pPr>
            <w:r>
              <w:rPr>
                <w:rFonts w:ascii="Times New Roman" w:cs="Times New Roman" w:eastAsia="Times New Roman" w:hAnsi="Times New Roman"/>
                <w:sz w:val="18"/>
                <w:szCs w:val="18"/>
                <w:color w:val="auto"/>
              </w:rPr>
              <w:t>Committee Chair</w:t>
            </w:r>
          </w:p>
        </w:tc>
        <w:tc>
          <w:tcPr>
            <w:tcW w:w="3420" w:type="dxa"/>
            <w:vAlign w:val="bottom"/>
            <w:tcBorders>
              <w:bottom w:val="single" w:sz="8" w:color="D0CECE"/>
              <w:right w:val="single" w:sz="8" w:color="auto"/>
            </w:tcBorders>
            <w:shd w:val="clear" w:color="auto" w:fill="D0CECE"/>
          </w:tcPr>
          <w:p>
            <w:pPr>
              <w:spacing w:after="0"/>
              <w:rPr>
                <w:sz w:val="24"/>
                <w:szCs w:val="24"/>
                <w:color w:val="auto"/>
              </w:rPr>
            </w:pPr>
          </w:p>
        </w:tc>
      </w:tr>
      <w:tr>
        <w:trPr>
          <w:trHeight w:val="237"/>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Audit and Risk Committee</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w:t>
            </w:r>
          </w:p>
        </w:tc>
      </w:tr>
      <w:tr>
        <w:trPr>
          <w:trHeight w:val="41"/>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7"/>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 Talent and Culture Committee</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7"/>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Strategy and Finance Committee</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14"/>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Governance and Corporate Responsibility</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r>
      <w:tr>
        <w:trPr>
          <w:trHeight w:val="23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7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82"/>
        </w:trPr>
        <w:tc>
          <w:tcPr>
            <w:tcW w:w="4080" w:type="dxa"/>
            <w:vAlign w:val="bottom"/>
            <w:tcBorders>
              <w:left w:val="single" w:sz="8" w:color="auto"/>
              <w:bottom w:val="single" w:sz="8" w:color="D0CECE"/>
              <w:right w:val="single" w:sz="8" w:color="D0CECE"/>
            </w:tcBorders>
            <w:shd w:val="clear" w:color="auto" w:fill="D0CECE"/>
          </w:tcPr>
          <w:p>
            <w:pPr>
              <w:spacing w:after="0"/>
              <w:rPr>
                <w:sz w:val="24"/>
                <w:szCs w:val="24"/>
                <w:color w:val="auto"/>
              </w:rPr>
            </w:pPr>
          </w:p>
        </w:tc>
        <w:tc>
          <w:tcPr>
            <w:tcW w:w="3760" w:type="dxa"/>
            <w:vAlign w:val="bottom"/>
            <w:tcBorders>
              <w:bottom w:val="single" w:sz="8" w:color="D0CECE"/>
              <w:right w:val="single" w:sz="8" w:color="D0CECE"/>
            </w:tcBorders>
            <w:shd w:val="clear" w:color="auto" w:fill="D0CECE"/>
          </w:tcPr>
          <w:p>
            <w:pPr>
              <w:jc w:val="center"/>
              <w:ind w:right="570"/>
              <w:spacing w:after="0"/>
              <w:rPr>
                <w:sz w:val="20"/>
                <w:szCs w:val="20"/>
                <w:color w:val="auto"/>
              </w:rPr>
            </w:pPr>
            <w:r>
              <w:rPr>
                <w:rFonts w:ascii="Times New Roman" w:cs="Times New Roman" w:eastAsia="Times New Roman" w:hAnsi="Times New Roman"/>
                <w:sz w:val="18"/>
                <w:szCs w:val="18"/>
                <w:color w:val="auto"/>
              </w:rPr>
              <w:t>Committee Member</w:t>
            </w:r>
          </w:p>
        </w:tc>
        <w:tc>
          <w:tcPr>
            <w:tcW w:w="3420" w:type="dxa"/>
            <w:vAlign w:val="bottom"/>
            <w:tcBorders>
              <w:bottom w:val="single" w:sz="8" w:color="D0CECE"/>
              <w:right w:val="single" w:sz="8" w:color="auto"/>
            </w:tcBorders>
            <w:shd w:val="clear" w:color="auto" w:fill="D0CECE"/>
          </w:tcPr>
          <w:p>
            <w:pPr>
              <w:spacing w:after="0"/>
              <w:rPr>
                <w:sz w:val="24"/>
                <w:szCs w:val="24"/>
                <w:color w:val="auto"/>
              </w:rPr>
            </w:pPr>
          </w:p>
        </w:tc>
      </w:tr>
      <w:tr>
        <w:trPr>
          <w:trHeight w:val="237"/>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Audit and Risk Committee</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41"/>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7"/>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 Talent and Culture Committee</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37"/>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Strategy and Finance Committee</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14"/>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Governance and Corporate Responsibility</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w:t>
            </w:r>
          </w:p>
        </w:tc>
      </w:tr>
      <w:tr>
        <w:trPr>
          <w:trHeight w:val="23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76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282"/>
        </w:trPr>
        <w:tc>
          <w:tcPr>
            <w:tcW w:w="4080" w:type="dxa"/>
            <w:vAlign w:val="bottom"/>
            <w:tcBorders>
              <w:left w:val="single" w:sz="8" w:color="auto"/>
              <w:bottom w:val="single" w:sz="8" w:color="D0CECE"/>
              <w:right w:val="single" w:sz="8" w:color="D0CECE"/>
            </w:tcBorders>
            <w:shd w:val="clear" w:color="auto" w:fill="D0CECE"/>
          </w:tcPr>
          <w:p>
            <w:pPr>
              <w:spacing w:after="0"/>
              <w:rPr>
                <w:sz w:val="24"/>
                <w:szCs w:val="24"/>
                <w:color w:val="auto"/>
              </w:rPr>
            </w:pPr>
          </w:p>
        </w:tc>
        <w:tc>
          <w:tcPr>
            <w:tcW w:w="3760" w:type="dxa"/>
            <w:vAlign w:val="bottom"/>
            <w:tcBorders>
              <w:bottom w:val="single" w:sz="8" w:color="D0CECE"/>
              <w:right w:val="single" w:sz="8" w:color="D0CECE"/>
            </w:tcBorders>
            <w:shd w:val="clear" w:color="auto" w:fill="D0CECE"/>
          </w:tcPr>
          <w:p>
            <w:pPr>
              <w:jc w:val="center"/>
              <w:ind w:right="570"/>
              <w:spacing w:after="0"/>
              <w:rPr>
                <w:sz w:val="20"/>
                <w:szCs w:val="20"/>
                <w:color w:val="auto"/>
              </w:rPr>
            </w:pPr>
            <w:r>
              <w:rPr>
                <w:rFonts w:ascii="Times New Roman" w:cs="Times New Roman" w:eastAsia="Times New Roman" w:hAnsi="Times New Roman"/>
                <w:sz w:val="18"/>
                <w:szCs w:val="18"/>
                <w:color w:val="auto"/>
              </w:rPr>
              <w:t>Annual Compensation</w:t>
            </w:r>
          </w:p>
        </w:tc>
        <w:tc>
          <w:tcPr>
            <w:tcW w:w="3420" w:type="dxa"/>
            <w:vAlign w:val="bottom"/>
            <w:tcBorders>
              <w:bottom w:val="single" w:sz="8" w:color="D0CECE"/>
              <w:right w:val="single" w:sz="8" w:color="auto"/>
            </w:tcBorders>
            <w:shd w:val="clear" w:color="auto" w:fill="D0CECE"/>
          </w:tcPr>
          <w:p>
            <w:pPr>
              <w:spacing w:after="0"/>
              <w:rPr>
                <w:sz w:val="24"/>
                <w:szCs w:val="24"/>
                <w:color w:val="auto"/>
              </w:rPr>
            </w:pPr>
          </w:p>
        </w:tc>
      </w:tr>
      <w:tr>
        <w:trPr>
          <w:trHeight w:val="237"/>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Annual Cash Retainer</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3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$90,000</w:t>
            </w:r>
          </w:p>
        </w:tc>
      </w:tr>
      <w:tr>
        <w:trPr>
          <w:trHeight w:val="40"/>
        </w:trPr>
        <w:tc>
          <w:tcPr>
            <w:tcW w:w="40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r>
      <w:tr>
        <w:trPr>
          <w:trHeight w:val="183"/>
        </w:trPr>
        <w:tc>
          <w:tcPr>
            <w:tcW w:w="408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Annual Restricted Stock Units (non-Lead</w:t>
            </w:r>
          </w:p>
        </w:tc>
        <w:tc>
          <w:tcPr>
            <w:tcW w:w="37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$210,000</w:t>
            </w:r>
          </w:p>
        </w:tc>
        <w:tc>
          <w:tcPr>
            <w:tcW w:w="34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$230,000</w:t>
            </w:r>
          </w:p>
        </w:tc>
      </w:tr>
      <w:tr>
        <w:trPr>
          <w:trHeight w:val="23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9"/>
                <w:szCs w:val="9"/>
                <w:b w:val="1"/>
                <w:bCs w:val="1"/>
                <w:color w:val="auto"/>
              </w:rPr>
              <w:t>(2)</w:t>
            </w:r>
          </w:p>
        </w:tc>
        <w:tc>
          <w:tcPr>
            <w:tcW w:w="376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77"/>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Annual Restricted Stock Units (Lead Director) </w:t>
            </w:r>
            <w:r>
              <w:rPr>
                <w:rFonts w:ascii="Times New Roman" w:cs="Times New Roman" w:eastAsia="Times New Roman" w:hAnsi="Times New Roman"/>
                <w:sz w:val="9"/>
                <w:szCs w:val="9"/>
                <w:b w:val="1"/>
                <w:bCs w:val="1"/>
                <w:color w:val="auto"/>
              </w:rPr>
              <w:t>(2)</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$260,000</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$290,000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8"/>
        <w:spacing w:after="0" w:line="23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Board term commences on May 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xml:space="preserve"> of the then-current year and concludes on April 30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of the following year. Accordingly, retainer fees are paid and restricted stock units are granted on May 1</w:t>
      </w:r>
      <w:r>
        <w:rPr>
          <w:rFonts w:ascii="Times New Roman" w:cs="Times New Roman" w:eastAsia="Times New Roman" w:hAnsi="Times New Roman"/>
          <w:sz w:val="9"/>
          <w:szCs w:val="9"/>
          <w:color w:val="auto"/>
        </w:rPr>
        <w:t>st</w:t>
      </w:r>
      <w:r>
        <w:rPr>
          <w:rFonts w:ascii="Times New Roman" w:cs="Times New Roman" w:eastAsia="Times New Roman" w:hAnsi="Times New Roman"/>
          <w:sz w:val="18"/>
          <w:szCs w:val="18"/>
          <w:color w:val="auto"/>
        </w:rPr>
        <w:t xml:space="preserve"> of each year. Restricted stock units vest on the first anniversary of the grant date. Awards are prorated and vesting schedules adjusted for new directors joining in advance of the Annual Shareholders’ Meeting.</w:t>
      </w:r>
    </w:p>
    <w:p>
      <w:pPr>
        <w:spacing w:after="0" w:line="158" w:lineRule="exact"/>
        <w:rPr>
          <w:rFonts w:ascii="Times New Roman" w:cs="Times New Roman" w:eastAsia="Times New Roman" w:hAnsi="Times New Roman"/>
          <w:sz w:val="18"/>
          <w:szCs w:val="18"/>
          <w:color w:val="auto"/>
        </w:rPr>
      </w:pPr>
    </w:p>
    <w:p>
      <w:pPr>
        <w:ind w:right="300" w:firstLine="8"/>
        <w:spacing w:after="0" w:line="237"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of the restricted stock units is based on the closing price of MSCI Inc.’s common stock as reported by the New York Stock Exchange on the date prior to the date of grant.</w:t>
      </w:r>
    </w:p>
    <w:p>
      <w:pPr>
        <w:spacing w:after="0" w:line="172"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Members of the Board of Directors are subject to the Non-Employee Director Stock Ownership Guidelines, which are described in the MSCI Inc. Corporate Governance Policies available on the Investor Relations section of MSCI website’s (</w:t>
      </w:r>
      <w:r>
        <w:rPr>
          <w:rFonts w:ascii="Times New Roman" w:cs="Times New Roman" w:eastAsia="Times New Roman" w:hAnsi="Times New Roman"/>
          <w:sz w:val="18"/>
          <w:szCs w:val="18"/>
          <w:i w:val="1"/>
          <w:iCs w:val="1"/>
          <w:color w:val="auto"/>
        </w:rPr>
        <w:t>http://ir.msci.com</w:t>
      </w:r>
      <w:r>
        <w:rPr>
          <w:rFonts w:ascii="Times New Roman" w:cs="Times New Roman" w:eastAsia="Times New Roman" w:hAnsi="Times New Roman"/>
          <w:sz w:val="18"/>
          <w:szCs w:val="18"/>
          <w:color w:val="auto"/>
        </w:rPr>
        <w:t>). Information contained on our website is not deemed part of or incorporated by reference into this Annual Report on Form 10-K or any other report filed with the SEC. Additional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MSCI Inc.’s non-employee director compensation program is available in its proxy statement for its annual meeting of shareholders.</w:t>
      </w:r>
    </w:p>
    <w:p>
      <w:pPr>
        <w:sectPr>
          <w:pgSz w:w="11900" w:h="16838" w:orient="portrait"/>
          <w:cols w:equalWidth="0" w:num="1">
            <w:col w:w="11260"/>
          </w:cols>
          <w:pgMar w:left="320" w:top="1400" w:right="319" w:bottom="1440" w:gutter="0" w:footer="0" w:header="0"/>
        </w:sectPr>
      </w:pPr>
    </w:p>
    <w:bookmarkStart w:id="110" w:name="page111"/>
    <w:bookmarkEnd w:id="110"/>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1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Non-Employee Director Stock Ownership Guidelines</w:t>
      </w:r>
    </w:p>
    <w:p>
      <w:pPr>
        <w:spacing w:after="0" w:line="158" w:lineRule="exact"/>
        <w:rPr>
          <w:sz w:val="20"/>
          <w:szCs w:val="20"/>
          <w:color w:val="auto"/>
        </w:rPr>
      </w:pPr>
    </w:p>
    <w:p>
      <w:pPr>
        <w:ind w:right="980"/>
        <w:spacing w:after="0" w:line="260"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MSCI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these Non-Employee Director Stock Ownership Guidelines (“</w:t>
      </w:r>
      <w:r>
        <w:rPr>
          <w:rFonts w:ascii="Times New Roman" w:cs="Times New Roman" w:eastAsia="Times New Roman" w:hAnsi="Times New Roman"/>
          <w:sz w:val="18"/>
          <w:szCs w:val="18"/>
          <w:b w:val="1"/>
          <w:bCs w:val="1"/>
          <w:color w:val="auto"/>
        </w:rPr>
        <w:t>Ownership Guidelines</w:t>
      </w:r>
      <w:r>
        <w:rPr>
          <w:rFonts w:ascii="Times New Roman" w:cs="Times New Roman" w:eastAsia="Times New Roman" w:hAnsi="Times New Roman"/>
          <w:sz w:val="18"/>
          <w:szCs w:val="18"/>
          <w:color w:val="auto"/>
        </w:rPr>
        <w:t>”) to further align the interests of the Company’s non-employee directors of the Board with those of the Company’s stockholders and thereby help to promote sound corporate governance.</w:t>
      </w:r>
    </w:p>
    <w:p>
      <w:pPr>
        <w:spacing w:after="0" w:line="137"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Commencing on January 27,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each non-employee director of the Board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is required, within five years following the Effective Date (or, if later, his or her first election or appointment to the Board), to own a target number of shares of the Company’s common stock, par value $0.01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having an aggregate value equal to seven times the Company’s annual cash retainer for non-employee directors for service on the Board. For purposes of these Ownership Guidelines, “annual cash retainer” excludes any committee chair or member fees, lead independent director fees, meeting fees or other additional cash compensation. Each Director is subject to these Ownership Guidelines for as long as he or she continues to serve on the Board.</w:t>
      </w:r>
    </w:p>
    <w:p>
      <w:pPr>
        <w:spacing w:after="0" w:line="13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Prior to entering into any transaction to dispose of Shares, each Director shall certify in writing to the Company that he or she is in compliance with these Ownership Guidelines.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count towards satisfaction of the target level of Share ownership under these Ownership Guidelines consist of the following:</w:t>
      </w:r>
    </w:p>
    <w:p>
      <w:pPr>
        <w:spacing w:after="0" w:line="279" w:lineRule="exact"/>
        <w:rPr>
          <w:sz w:val="20"/>
          <w:szCs w:val="20"/>
          <w:color w:val="auto"/>
        </w:rPr>
      </w:pPr>
    </w:p>
    <w:p>
      <w:pPr>
        <w:ind w:left="720" w:right="600" w:hanging="415"/>
        <w:spacing w:after="0" w:line="281" w:lineRule="auto"/>
        <w:tabs>
          <w:tab w:leader="none" w:pos="7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individually, either directly or indirectly (including any Shares beneficially owned as a result of an election to receive a retainer (or any portion thereof) in Shares);</w:t>
      </w:r>
    </w:p>
    <w:p>
      <w:pPr>
        <w:spacing w:after="0" w:line="1" w:lineRule="exact"/>
        <w:rPr>
          <w:rFonts w:ascii="Times New Roman" w:cs="Times New Roman" w:eastAsia="Times New Roman" w:hAnsi="Times New Roman"/>
          <w:sz w:val="18"/>
          <w:szCs w:val="18"/>
          <w:color w:val="auto"/>
        </w:rPr>
      </w:pPr>
    </w:p>
    <w:p>
      <w:pPr>
        <w:ind w:left="720" w:right="800" w:hanging="415"/>
        <w:spacing w:after="0" w:line="276" w:lineRule="auto"/>
        <w:tabs>
          <w:tab w:leader="none" w:pos="7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jointly with, or separately, by immediate family members residing in the same household, either directly or indirectly;</w:t>
      </w:r>
    </w:p>
    <w:p>
      <w:pPr>
        <w:spacing w:after="0" w:line="1" w:lineRule="exact"/>
        <w:rPr>
          <w:rFonts w:ascii="Times New Roman" w:cs="Times New Roman" w:eastAsia="Times New Roman" w:hAnsi="Times New Roman"/>
          <w:sz w:val="18"/>
          <w:szCs w:val="18"/>
          <w:color w:val="auto"/>
        </w:rPr>
      </w:pPr>
    </w:p>
    <w:p>
      <w:pPr>
        <w:ind w:left="700" w:hanging="396"/>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vested and unvested RSUs granted under the MSCI Inc. 2025 Omnibus Incentive Plan; and</w:t>
      </w:r>
    </w:p>
    <w:p>
      <w:pPr>
        <w:spacing w:after="0" w:line="17" w:lineRule="exact"/>
        <w:rPr>
          <w:rFonts w:ascii="Times New Roman" w:cs="Times New Roman" w:eastAsia="Times New Roman" w:hAnsi="Times New Roman"/>
          <w:sz w:val="18"/>
          <w:szCs w:val="18"/>
          <w:color w:val="auto"/>
        </w:rPr>
      </w:pPr>
    </w:p>
    <w:p>
      <w:pPr>
        <w:ind w:left="720" w:right="560" w:hanging="415"/>
        <w:spacing w:after="0" w:line="313" w:lineRule="auto"/>
        <w:tabs>
          <w:tab w:leader="none" w:pos="7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for which receipt has been deferred (including any Shares held through the MSCI Inc. Independent Directors Deferral Plan or any other deferred compensation plan maintained by the Company).</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It is intended that these Ownership Guidelines be flexible. As such, the Compensation, Talent and Culture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may, in its discretion, modify or waive these Ownership Guidelines, or develop an alternative stock ownership plan, in each case, taking into account individual, Company and market circumstances, as appropriate.</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Directors are subject to applicable federal and state laws and Company policy restricting trading on material non-public or “inside” information. These laws and rules may also limit the ability of a Director to buy or sell Shares from time to time. Affiliates of the Company may also be subject to reporting obligations and potential matching liability under Section 16 of the Securities Exchange Act of 1934, as amended. Any resales of Shares by an affiliate must typically be made in accordance with the volume, manner of sale, notice and other requirements of Rule 144 of the Securities Act of 1933, as amended.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these Ownership Guidelines is in addition to, not in lieu of, compliance with any other applicable laws or Company policies.</w:t>
      </w:r>
    </w:p>
    <w:p>
      <w:pPr>
        <w:spacing w:after="0" w:line="2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Compliance with the Ownership Guidelines will be measured for each Director on an annual basis on a date to be determined by the Committee. Compliance will be calculated using the closing price of a Share as reported on the principal stock market or exchange on which the Shares are quoted or traded on the last trading day of the first fiscal quarter of the calendar year immediately preceding the applicable compliance</w:t>
      </w:r>
    </w:p>
    <w:p>
      <w:pPr>
        <w:sectPr>
          <w:pgSz w:w="11900" w:h="16838" w:orient="portrait"/>
          <w:cols w:equalWidth="0" w:num="1">
            <w:col w:w="11140"/>
          </w:cols>
          <w:pgMar w:left="420" w:top="1440" w:right="339" w:bottom="1440" w:gutter="0" w:footer="0" w:header="0"/>
        </w:sectPr>
      </w:pPr>
    </w:p>
    <w:bookmarkStart w:id="111" w:name="page112"/>
    <w:bookmarkEnd w:id="111"/>
    <w:p>
      <w:pPr>
        <w:spacing w:after="0" w:line="3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measurement date. The Committee may take into consideration decreases in stock prices in determining whether a Director is in compliance with these Ownership Guidelines.</w:t>
      </w:r>
    </w:p>
    <w:p>
      <w:pPr>
        <w:spacing w:after="0" w:line="200" w:lineRule="exact"/>
        <w:rPr>
          <w:sz w:val="20"/>
          <w:szCs w:val="20"/>
          <w:color w:val="auto"/>
        </w:rPr>
      </w:pPr>
    </w:p>
    <w:p>
      <w:pPr>
        <w:spacing w:after="0" w:line="20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Adopted by the Board of Directors on April 27, 2016</w:t>
      </w:r>
    </w:p>
    <w:p>
      <w:pPr>
        <w:spacing w:after="0" w:line="1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(As Amended and Restated October 27, 2022 and January 27, 2026)</w:t>
      </w:r>
    </w:p>
    <w:p>
      <w:pPr>
        <w:sectPr>
          <w:pgSz w:w="11900" w:h="16838" w:orient="portrait"/>
          <w:cols w:equalWidth="0" w:num="1">
            <w:col w:w="11140"/>
          </w:cols>
          <w:pgMar w:left="420" w:top="144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2026 AWARD AGREEMENT</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FOR RESTRICTED STOCK UNITS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FOR EMPLOYEES</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MSCI INC. 2025 OMNIBUS INCENTIVE PLAN</w:t>
      </w:r>
    </w:p>
    <w:p>
      <w:pPr>
        <w:spacing w:after="0" w:line="2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MSCI Inc. (“</w:t>
      </w:r>
      <w:r>
        <w:rPr>
          <w:rFonts w:ascii="Times New Roman" w:cs="Times New Roman" w:eastAsia="Times New Roman" w:hAnsi="Times New Roman"/>
          <w:sz w:val="18"/>
          <w:szCs w:val="18"/>
          <w:b w:val="1"/>
          <w:bCs w:val="1"/>
          <w:color w:val="auto"/>
        </w:rPr>
        <w:t>MSCI</w:t>
      </w:r>
      <w:r>
        <w:rPr>
          <w:rFonts w:ascii="Times New Roman" w:cs="Times New Roman" w:eastAsia="Times New Roman" w:hAnsi="Times New Roman"/>
          <w:sz w:val="18"/>
          <w:szCs w:val="18"/>
          <w:color w:val="auto"/>
        </w:rPr>
        <w:t>,” together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you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as described below. This Award is granted under the MSCI Inc. 2025 Omnibus Incentive Plan (as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Target Number of RSUs Granted:</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Performance Modifier Goal: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RSUs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60" w:space="720"/>
            <w:col w:w="6860"/>
          </w:cols>
          <w:pgMar w:left="320" w:top="1413" w:right="339" w:bottom="1440" w:gutter="0" w:footer="0" w:header="0"/>
          <w:type w:val="continuous"/>
        </w:sectPr>
      </w:pP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Your RSUs may be subject to forfeiture or recoupment upon your Termination of Service or your failure to comply with the Notice Requirements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as set forth in the Plan and this Restricted Stock Unit Award Agreement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attached hereto, as applicable,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By accepting this Award and the benefits provided to you under this Award Agreement, you are hereby deemed to have accepted and otherwise be bound by the terms and conditions of this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you are a Managing Director as of the Grant Date, you must affirmatively accept the terms of this Award Agreement by [●]. The failure by a Managing Director to affirmatively accept this Award Agreement by such date may result in the forfeiture of the RSUs granted under this Award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agree that this Award is governed by the terms and conditions of the Plan and this Award Agreement. You also agree that, to the extent you are or become covered by such policies, the RSUs granted to you pursuant to this Award Agreement and any Shares issued in settlement or satisfaction thereof shall be subject to (i) the MSCI Inc. Financial Statement Compensation Recoupment Policy and/or the MSCI Inc. Executive Committee Compensation Recoupment Policy, as applicable, and any other clawback policy adopted by the Company (collectively, the “</w:t>
      </w:r>
      <w:r>
        <w:rPr>
          <w:rFonts w:ascii="Times New Roman" w:cs="Times New Roman" w:eastAsia="Times New Roman" w:hAnsi="Times New Roman"/>
          <w:sz w:val="18"/>
          <w:szCs w:val="18"/>
          <w:b w:val="1"/>
          <w:bCs w:val="1"/>
          <w:color w:val="auto"/>
        </w:rPr>
        <w:t>Clawback Policies</w:t>
      </w:r>
      <w:r>
        <w:rPr>
          <w:rFonts w:ascii="Times New Roman" w:cs="Times New Roman" w:eastAsia="Times New Roman" w:hAnsi="Times New Roman"/>
          <w:sz w:val="18"/>
          <w:szCs w:val="18"/>
          <w:color w:val="auto"/>
        </w:rPr>
        <w:t>”) and (ii) any stock ownership guidelines of MSCI (including applicable retention requirements thereunder) (collectively, the “</w:t>
      </w:r>
      <w:r>
        <w:rPr>
          <w:rFonts w:ascii="Times New Roman" w:cs="Times New Roman" w:eastAsia="Times New Roman" w:hAnsi="Times New Roman"/>
          <w:sz w:val="18"/>
          <w:szCs w:val="18"/>
          <w:b w:val="1"/>
          <w:bCs w:val="1"/>
          <w:color w:val="auto"/>
        </w:rPr>
        <w:t>Ownership Guidelines</w:t>
      </w:r>
      <w:r>
        <w:rPr>
          <w:rFonts w:ascii="Times New Roman" w:cs="Times New Roman" w:eastAsia="Times New Roman" w:hAnsi="Times New Roman"/>
          <w:sz w:val="18"/>
          <w:szCs w:val="18"/>
          <w:color w:val="auto"/>
        </w:rPr>
        <w:t>”), in each case, as may be in effect from time to time, the terms of which shall be deemed incorporated herein by reference and made part of this Award Agreement.</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MSCI has duly executed and delivered this Award Agreement as of the Grant Date.</w:t>
      </w:r>
    </w:p>
    <w:p>
      <w:pPr>
        <w:spacing w:after="0" w:line="5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448310</wp:posOffset>
            </wp:positionV>
            <wp:extent cx="23317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413" w:right="339"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2026 RESTRICTED STOCK UNIT AWARD AGREEMENT</w:t>
      </w:r>
    </w:p>
    <w:p>
      <w:pPr>
        <w:spacing w:after="0" w:line="200" w:lineRule="exact"/>
        <w:rPr>
          <w:sz w:val="20"/>
          <w:szCs w:val="20"/>
          <w:color w:val="auto"/>
        </w:rPr>
      </w:pPr>
    </w:p>
    <w:p>
      <w:pPr>
        <w:spacing w:after="0" w:line="23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RSUs Generally</w:t>
      </w:r>
      <w:r>
        <w:rPr>
          <w:rFonts w:ascii="Times New Roman" w:cs="Times New Roman" w:eastAsia="Times New Roman" w:hAnsi="Times New Roman"/>
          <w:sz w:val="18"/>
          <w:szCs w:val="18"/>
          <w:color w:val="auto"/>
        </w:rPr>
        <w:t>. MSCI has awarded you RSUs as an incentive for you to continue to provide services to the Company and to align your interests with those of the Company. As such, you will earn your RSUs only if you remain in continuous employment with the Company through</w:t>
      </w:r>
    </w:p>
    <w:p>
      <w:pPr>
        <w:spacing w:after="0" w:line="205" w:lineRule="auto"/>
        <w:rPr>
          <w:sz w:val="20"/>
          <w:szCs w:val="20"/>
          <w:color w:val="auto"/>
        </w:rPr>
      </w:pPr>
      <w:r>
        <w:rPr>
          <w:rFonts w:ascii="Times New Roman" w:cs="Times New Roman" w:eastAsia="Times New Roman" w:hAnsi="Times New Roman"/>
          <w:sz w:val="18"/>
          <w:szCs w:val="18"/>
          <w:color w:val="auto"/>
        </w:rPr>
        <w:t>the Vesting Date, or as otherwise set forth below. Each RSU corresponds to one share of MSCI common stock, par 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Each RSU constitutes a contingent and unsecured promise by MSCI to deliver one Share on the conversion date for such RSU.</w:t>
      </w:r>
    </w:p>
    <w:p>
      <w:pPr>
        <w:spacing w:after="0" w:line="16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 Performance Modifier, Conversion and HSR Act</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660" w:right="60" w:firstLine="838"/>
        <w:spacing w:after="0" w:line="225" w:lineRule="auto"/>
        <w:tabs>
          <w:tab w:leader="none" w:pos="19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Your RSUs, as adjusted pursuant to Section 2(b), shall vest [●]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provided that, subject to Section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Section 5, you continue to be employed by the Company on such Vesting Date; provided, further, that you have complied with all applicable provisions of the HSR Act. For purposes of this Award Agreement, the [●] vesting period between the Grant Date and the Vesting Date shall be referred to herein as the “</w:t>
      </w:r>
      <w:r>
        <w:rPr>
          <w:rFonts w:ascii="Times New Roman" w:cs="Times New Roman" w:eastAsia="Times New Roman" w:hAnsi="Times New Roman"/>
          <w:sz w:val="18"/>
          <w:szCs w:val="18"/>
          <w:b w:val="1"/>
          <w:bCs w:val="1"/>
          <w:color w:val="auto"/>
        </w:rPr>
        <w:t>Vesting Period</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40" w:firstLine="838"/>
        <w:spacing w:after="0" w:line="216" w:lineRule="auto"/>
        <w:tabs>
          <w:tab w:leader="none" w:pos="19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Modifier</w:t>
      </w:r>
      <w:r>
        <w:rPr>
          <w:rFonts w:ascii="Times New Roman" w:cs="Times New Roman" w:eastAsia="Times New Roman" w:hAnsi="Times New Roman"/>
          <w:sz w:val="18"/>
          <w:szCs w:val="18"/>
          <w:color w:val="auto"/>
        </w:rPr>
        <w:t>. The number of Target RSUs awarded under this Award Agreement shall be adjusted, within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 to [●]% of the number of Target RSUs, after the end of the Modifier Measurement Period based on the achievement of the [●] performance modifier goal set forth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Performance Modifier</w:t>
      </w:r>
      <w:r>
        <w:rPr>
          <w:rFonts w:ascii="Times New Roman" w:cs="Times New Roman" w:eastAsia="Times New Roman" w:hAnsi="Times New Roman"/>
          <w:sz w:val="18"/>
          <w:szCs w:val="18"/>
          <w:color w:val="auto"/>
        </w:rPr>
        <w:t>”). Following the end of the Modifier Measurement Period, (x) management of MSCI shall provide its calculation of the achievement of the Performance Modifier to the Committee and (y) the Committee will review the extent of the achievement of the Performance Modifier and shall certify in writing such achievement (such date of certification, the “</w:t>
      </w:r>
      <w:r>
        <w:rPr>
          <w:rFonts w:ascii="Times New Roman" w:cs="Times New Roman" w:eastAsia="Times New Roman" w:hAnsi="Times New Roman"/>
          <w:sz w:val="18"/>
          <w:szCs w:val="18"/>
          <w:b w:val="1"/>
          <w:bCs w:val="1"/>
          <w:color w:val="auto"/>
        </w:rPr>
        <w:t>Modifier Measurement Date</w:t>
      </w:r>
      <w:r>
        <w:rPr>
          <w:rFonts w:ascii="Times New Roman" w:cs="Times New Roman" w:eastAsia="Times New Roman" w:hAnsi="Times New Roman"/>
          <w:sz w:val="18"/>
          <w:szCs w:val="18"/>
          <w:color w:val="auto"/>
        </w:rPr>
        <w:t xml:space="preserve">”); provided that, in all cases, the Modifier Measurement Date shall occur between [●] and [●] (subject to Section 5(a)). All references to “RSUs” in this Award Agreement shall refer to the number of RSUs finally covered by this Award Agreement, after giving effect to adjustment for the achievement of the Performance Modifier pursuant to this Section 2(b) and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right="360" w:firstLine="838"/>
        <w:spacing w:after="0" w:line="238" w:lineRule="auto"/>
        <w:tabs>
          <w:tab w:leader="none" w:pos="19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Vested RSUs shall convert into Shares on the Vesting Date or as soon as reasonably practicable, but in no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later than 30 days thereafter.</w:t>
      </w:r>
    </w:p>
    <w:p>
      <w:pPr>
        <w:spacing w:after="0" w:line="156" w:lineRule="exact"/>
        <w:rPr>
          <w:rFonts w:ascii="Times New Roman" w:cs="Times New Roman" w:eastAsia="Times New Roman" w:hAnsi="Times New Roman"/>
          <w:sz w:val="18"/>
          <w:szCs w:val="18"/>
          <w:color w:val="auto"/>
        </w:rPr>
      </w:pPr>
    </w:p>
    <w:p>
      <w:pPr>
        <w:ind w:left="660" w:right="140" w:firstLine="838"/>
        <w:spacing w:after="0" w:line="232" w:lineRule="auto"/>
        <w:tabs>
          <w:tab w:leader="none" w:pos="19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If unvested RSUs would have vested pursuant to this Section 2, Section 4 or Section 5(b), but did not vest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you were not in compliance with all applicable provisions of the HSR Act, subject to Section 409A, the vesting date for such RSUs shall occur on the first date following the date on which you have complied with all applicable provisions of the HSR Act.</w:t>
      </w:r>
    </w:p>
    <w:p>
      <w:pPr>
        <w:spacing w:after="0" w:line="155" w:lineRule="exact"/>
        <w:rPr>
          <w:rFonts w:ascii="Times New Roman" w:cs="Times New Roman" w:eastAsia="Times New Roman" w:hAnsi="Times New Roman"/>
          <w:sz w:val="18"/>
          <w:szCs w:val="18"/>
          <w:color w:val="auto"/>
        </w:rPr>
      </w:pPr>
    </w:p>
    <w:p>
      <w:pPr>
        <w:ind w:left="660" w:right="100" w:firstLine="838"/>
        <w:spacing w:after="0" w:line="216" w:lineRule="auto"/>
        <w:tabs>
          <w:tab w:leader="none" w:pos="19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Guidelines and Retention Requirements</w:t>
      </w:r>
      <w:r>
        <w:rPr>
          <w:rFonts w:ascii="Times New Roman" w:cs="Times New Roman" w:eastAsia="Times New Roman" w:hAnsi="Times New Roman"/>
          <w:sz w:val="18"/>
          <w:szCs w:val="18"/>
          <w:color w:val="auto"/>
        </w:rPr>
        <w:t>. To the extent that you are subject to the Ownership Guidelines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the Shares (or any applicable portion thereof) issuable to you upon the settlement of the RSUs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settlement of the RSUs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2(d).</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Until your RSUs convert to Shares, if MSCI pays a dividend on Shares, you will be entitled to a</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dividend equivalent payment in the same amount as the dividend you would have received if you held Shares for your vested and unvested RSUs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22" w:lineRule="auto"/>
        <w:rPr>
          <w:sz w:val="20"/>
          <w:szCs w:val="20"/>
          <w:color w:val="auto"/>
        </w:rPr>
      </w:pPr>
      <w:r>
        <w:rPr>
          <w:rFonts w:ascii="Times New Roman" w:cs="Times New Roman" w:eastAsia="Times New Roman" w:hAnsi="Times New Roman"/>
          <w:sz w:val="18"/>
          <w:szCs w:val="18"/>
          <w:color w:val="auto"/>
        </w:rPr>
        <w:t>to the record date. Assuming you hold RSUs on the record date, MSCI will credit the dividend equivalent payments when it pays the corresponding dividend on its Shares. Your dividend equivalents will vest and be paid at the same time as, and subject to the same vesting and cancellation provisions set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forth in this Award Agreement with respect to, your RSUs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21, the dividend equivalents may be paid following the scheduled conversion date on the next administratively practicable payroll date). No dividend equivalents will be paid to you with respect to any canceled or forfeited RSUs. MSCI will decide on the form of payment and may pay dividend equivalents in Shares, in cash or in a combination thereof, unless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provided in Exhibit C.</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the terms of this Award Agreement (including, without limitation, Sections 5, 6 and 7, upon your Termination of Service with the Company prior to the Vesting Date pursuant to this Section 4, the following special vesting and payment terms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your unvested RSUs:</w:t>
      </w:r>
    </w:p>
    <w:p>
      <w:pPr>
        <w:spacing w:after="0" w:line="163" w:lineRule="exact"/>
        <w:rPr>
          <w:sz w:val="20"/>
          <w:szCs w:val="20"/>
          <w:color w:val="auto"/>
        </w:rPr>
      </w:pPr>
    </w:p>
    <w:p>
      <w:pPr>
        <w:ind w:left="660" w:right="220" w:firstLine="838"/>
        <w:spacing w:after="0" w:line="229" w:lineRule="auto"/>
        <w:tabs>
          <w:tab w:leader="none" w:pos="1945"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Service Due to Death or Disability</w:t>
      </w:r>
      <w:r>
        <w:rPr>
          <w:rFonts w:ascii="Times New Roman" w:cs="Times New Roman" w:eastAsia="Times New Roman" w:hAnsi="Times New Roman"/>
          <w:sz w:val="17"/>
          <w:szCs w:val="17"/>
          <w:color w:val="auto"/>
        </w:rPr>
        <w:t>. In the event of your Termination of Service due to death or Disability,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Vesting Date, but on or after the Modifier Measurement Date, your RSUs (as adjusted in accordance with Section 2(b)) will immediately vest and convert into Shares on the date of your Termination of Service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or within 30 days thereafter and</w:t>
      </w:r>
    </w:p>
    <w:p>
      <w:pPr>
        <w:spacing w:after="0" w:line="2" w:lineRule="exact"/>
        <w:rPr>
          <w:rFonts w:ascii="Times New Roman" w:cs="Times New Roman" w:eastAsia="Times New Roman" w:hAnsi="Times New Roman"/>
          <w:sz w:val="17"/>
          <w:szCs w:val="17"/>
          <w:color w:val="auto"/>
        </w:rPr>
      </w:pPr>
    </w:p>
    <w:p>
      <w:pPr>
        <w:ind w:left="660" w:right="480" w:hanging="4"/>
        <w:spacing w:after="0" w:line="223" w:lineRule="auto"/>
        <w:tabs>
          <w:tab w:leader="none" w:pos="9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Modifier Measurement Date, your RSUs will remain outstanding and be eligible to be adjusted subject to achievement of the Performance Modifier, and will vest and convert into Shares, as so adjusted, within 30 days of the Modifier Measurement Date. Upon your Termination of Service due to death, such Shares shall be delivered in accordance with Section 10.</w:t>
      </w:r>
    </w:p>
    <w:p>
      <w:pPr>
        <w:spacing w:after="0" w:line="157" w:lineRule="exact"/>
        <w:rPr>
          <w:rFonts w:ascii="Times New Roman" w:cs="Times New Roman" w:eastAsia="Times New Roman" w:hAnsi="Times New Roman"/>
          <w:sz w:val="18"/>
          <w:szCs w:val="18"/>
          <w:color w:val="auto"/>
        </w:rPr>
      </w:pPr>
    </w:p>
    <w:p>
      <w:pPr>
        <w:ind w:left="660" w:right="20" w:firstLine="838"/>
        <w:spacing w:after="0" w:line="213" w:lineRule="auto"/>
        <w:tabs>
          <w:tab w:leader="none" w:pos="195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of Service Prior to 62/10 Retirement Eligibility</w:t>
      </w:r>
      <w:r>
        <w:rPr>
          <w:rFonts w:ascii="Times New Roman" w:cs="Times New Roman" w:eastAsia="Times New Roman" w:hAnsi="Times New Roman"/>
          <w:sz w:val="18"/>
          <w:szCs w:val="18"/>
          <w:color w:val="auto"/>
        </w:rPr>
        <w:t>. In the event of your involuntary Termination of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the Company without Cause prior to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(provided that in accordance with Section 6, the non-compete shall apply only to those Participants who are (x) Retirement Eligible Participants or (y) Managing Directors) within 60 days following the Termination Date, then you will be entitled to receive a pro-rated portion of your unvested RSUs equal to the product of (i) the total number of RSUs granted to you pursuant to this Award Agreement (as adjusted in accordance with Section 2(b)) multiplied by (ii) the quotient of (A) the total number of days you were employed by the Company during the Vesting Period, inclusive of the Grant Date and the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days in the Vesting Period, inclusive of the Grant Date and the last day in the Vesting Period (for the avoidance of doubt, if the Termination Date occurs prior to the Modifier Measurement Date, then the number of RSUs eligible to vest pursuant to this Section 4(b) shall nonetheless be determined based on the achievement of the Performance Modifier). Such pro-rated RSUs (rounded up to the nearest whole number for this purpose) will vest and convert into Shares on the Vesting Date in accordance with Section 2. Any unvested RSUs that do not vest and convert into Shares in accordance with this Section 4(b) shall be forfeited in their entirety. Notwithstanding anything to the contrary herein, in the event of your Termination of Service as described in this Section 4(b), pursuant to Section 6, you may still be bound by, and must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w:t>
      </w:r>
    </w:p>
    <w:p>
      <w:pPr>
        <w:spacing w:after="0" w:line="168" w:lineRule="exact"/>
        <w:rPr>
          <w:rFonts w:ascii="Times New Roman" w:cs="Times New Roman" w:eastAsia="Times New Roman" w:hAnsi="Times New Roman"/>
          <w:sz w:val="18"/>
          <w:szCs w:val="18"/>
          <w:color w:val="auto"/>
        </w:rPr>
      </w:pPr>
    </w:p>
    <w:p>
      <w:pPr>
        <w:ind w:left="660" w:right="100" w:firstLine="838"/>
        <w:spacing w:after="0" w:line="216" w:lineRule="auto"/>
        <w:tabs>
          <w:tab w:leader="none" w:pos="194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of Service Following 62/10 Retirement Eligibility</w:t>
      </w:r>
      <w:r>
        <w:rPr>
          <w:rFonts w:ascii="Times New Roman" w:cs="Times New Roman" w:eastAsia="Times New Roman" w:hAnsi="Times New Roman"/>
          <w:sz w:val="18"/>
          <w:szCs w:val="18"/>
          <w:color w:val="auto"/>
        </w:rPr>
        <w:t>. In the event of your involuntary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by the Company without Cause following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(provided that in accordance with Section 6, the non-compete shall apply only to those Participants who are (x) Retirement Eligible Participants or (y) Managing Directors) within 60 days following the Termination Date, then your unvested RSUs (as adjusted in accordance with Section 2(b)) will fully vest and convert into Shares on the Vesting Date in accordance with Section 2. Notwithstanding anything to the contrary herein, in the event of your Termination of Service as described in this Section 4(c), pursuant to Section 6, you may still be bound by, and must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w:t>
      </w:r>
    </w:p>
    <w:p>
      <w:pPr>
        <w:spacing w:after="0" w:line="156" w:lineRule="exact"/>
        <w:rPr>
          <w:rFonts w:ascii="Times New Roman" w:cs="Times New Roman" w:eastAsia="Times New Roman" w:hAnsi="Times New Roman"/>
          <w:sz w:val="18"/>
          <w:szCs w:val="18"/>
          <w:color w:val="auto"/>
        </w:rPr>
      </w:pPr>
    </w:p>
    <w:p>
      <w:pPr>
        <w:ind w:left="660" w:right="180" w:firstLine="838"/>
        <w:spacing w:after="0" w:line="232" w:lineRule="auto"/>
        <w:tabs>
          <w:tab w:leader="none" w:pos="195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Terminations</w:t>
      </w:r>
      <w:r>
        <w:rPr>
          <w:rFonts w:ascii="Times New Roman" w:cs="Times New Roman" w:eastAsia="Times New Roman" w:hAnsi="Times New Roman"/>
          <w:sz w:val="18"/>
          <w:szCs w:val="18"/>
          <w:color w:val="auto"/>
        </w:rPr>
        <w:t>. In the event of your applicable Retirement Termination, your unvested RSUs shall be eligible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treatment specified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you are in compliance with the Notice Requirements and all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 each case, as of the Vesting Date and (y) you execute and do not revoke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04" w:right="339" w:bottom="1440" w:gutter="0" w:footer="0" w:header="0"/>
        </w:sectPr>
      </w:pPr>
    </w:p>
    <w:bookmarkStart w:id="115" w:name="page116"/>
    <w:bookmarkEnd w:id="115"/>
    <w:p>
      <w:pPr>
        <w:ind w:left="660" w:right="40"/>
        <w:spacing w:after="0" w:line="237" w:lineRule="auto"/>
        <w:rPr>
          <w:sz w:val="20"/>
          <w:szCs w:val="20"/>
          <w:color w:val="auto"/>
        </w:rPr>
      </w:pPr>
      <w:r>
        <w:rPr>
          <w:rFonts w:ascii="Times New Roman" w:cs="Times New Roman" w:eastAsia="Times New Roman" w:hAnsi="Times New Roman"/>
          <w:sz w:val="18"/>
          <w:szCs w:val="18"/>
          <w:color w:val="auto"/>
        </w:rPr>
        <w:t xml:space="preserve">agreement and release of claims satisfactory to the Company, which will contain restrictive covenants substantially in the form as those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within 60 days following the Termination Date.</w:t>
      </w:r>
    </w:p>
    <w:p>
      <w:pPr>
        <w:spacing w:after="0" w:line="172" w:lineRule="exact"/>
        <w:rPr>
          <w:sz w:val="20"/>
          <w:szCs w:val="20"/>
          <w:color w:val="auto"/>
        </w:rPr>
      </w:pPr>
    </w:p>
    <w:p>
      <w:pPr>
        <w:jc w:val="both"/>
        <w:ind w:left="1300" w:right="20" w:firstLine="976"/>
        <w:spacing w:after="0" w:line="217" w:lineRule="auto"/>
        <w:tabs>
          <w:tab w:leader="none" w:pos="25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your Legacy Retirement Termination or 55/10 Retirement Termination, you will be entitled to receive a pro-rated portion of your unvested RSUs equal to the product of (x) the total number of RSUs granted to you pursuant to this Award Agreement (as adjusted in accordance with Section 2(b))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quotient of (A) the total number of days you were employed by the Company during the Vesting Period, inclusive of the Grant Date and the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days in the Vesting Period, inclusive of the Grant Date and the last day in the Vesting Period (for the avoidance of doubt, if the Termination Date occurs prior to the Modifier Measurement Date, then the number of RSUs eligible to vest pursuant to this Section 4(d)</w:t>
      </w:r>
    </w:p>
    <w:p>
      <w:pPr>
        <w:spacing w:after="0" w:line="4" w:lineRule="exact"/>
        <w:rPr>
          <w:rFonts w:ascii="Times New Roman" w:cs="Times New Roman" w:eastAsia="Times New Roman" w:hAnsi="Times New Roman"/>
          <w:sz w:val="18"/>
          <w:szCs w:val="18"/>
          <w:color w:val="auto"/>
        </w:rPr>
      </w:pPr>
    </w:p>
    <w:p>
      <w:pPr>
        <w:jc w:val="both"/>
        <w:ind w:left="1300" w:right="20" w:firstLine="4"/>
        <w:spacing w:after="0" w:line="223" w:lineRule="auto"/>
        <w:tabs>
          <w:tab w:leader="none" w:pos="15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nonetheless be determined based on the achievement of the Performance Modifier). Such pro-rated RSUs (rounded up to the nearest whole number for this purpose) will vest and convert into Shares on the Vesting Date in accordance with Section 2. Any unvested RSUs that do not vest and convert into Shares in accordance with this Section 4(d)(i) shall be forfeited in their entirety</w:t>
      </w:r>
    </w:p>
    <w:p>
      <w:pPr>
        <w:spacing w:after="0" w:line="159" w:lineRule="exact"/>
        <w:rPr>
          <w:rFonts w:ascii="Times New Roman" w:cs="Times New Roman" w:eastAsia="Times New Roman" w:hAnsi="Times New Roman"/>
          <w:sz w:val="18"/>
          <w:szCs w:val="18"/>
          <w:color w:val="auto"/>
        </w:rPr>
      </w:pPr>
    </w:p>
    <w:p>
      <w:pPr>
        <w:ind w:left="1300" w:right="40" w:firstLine="976"/>
        <w:spacing w:after="0" w:line="250" w:lineRule="auto"/>
        <w:tabs>
          <w:tab w:leader="none" w:pos="258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62/10 Retirement Termination, your unvested RSUs (as adjusted in accordance with Section 2(b)) will fully vest and convert into Shares on the Vesting Date in accordance with Section 2.</w:t>
      </w:r>
    </w:p>
    <w:p>
      <w:pPr>
        <w:spacing w:after="0" w:line="149" w:lineRule="exact"/>
        <w:rPr>
          <w:rFonts w:ascii="Times New Roman" w:cs="Times New Roman" w:eastAsia="Times New Roman" w:hAnsi="Times New Roman"/>
          <w:sz w:val="18"/>
          <w:szCs w:val="18"/>
          <w:color w:val="auto"/>
        </w:rPr>
      </w:pPr>
    </w:p>
    <w:p>
      <w:pPr>
        <w:ind w:left="1300" w:right="20" w:firstLine="976"/>
        <w:spacing w:after="0" w:line="237" w:lineRule="auto"/>
        <w:tabs>
          <w:tab w:leader="none" w:pos="25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of the treatment of your unvested RSUs upon your Retirement Termination as set forth in this Section 4(d), you agree to be bound by, and to comply with, all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w:t>
      </w:r>
    </w:p>
    <w:p>
      <w:pPr>
        <w:spacing w:after="0" w:line="171" w:lineRule="exact"/>
        <w:rPr>
          <w:rFonts w:ascii="Times New Roman" w:cs="Times New Roman" w:eastAsia="Times New Roman" w:hAnsi="Times New Roman"/>
          <w:sz w:val="18"/>
          <w:szCs w:val="18"/>
          <w:color w:val="auto"/>
        </w:rPr>
      </w:pPr>
    </w:p>
    <w:p>
      <w:pPr>
        <w:jc w:val="both"/>
        <w:ind w:left="1300" w:right="20" w:firstLine="976"/>
        <w:spacing w:after="0" w:line="226" w:lineRule="auto"/>
        <w:tabs>
          <w:tab w:leader="none" w:pos="258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provides a summary overview of the treatment of your awards upon a Retirement Termination, as set forth in Sections 4(d)(i) and (ii). This summary chart is qualified in its entirety by the terms of Sections 4(d)(i) and (ii). In the event of any inconsistency between the terms of the below chart and Sections 4(d)(i) and (ii), the terms of Sections 4(d)(i) and (ii) shall prevail.</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26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 and Service Requirements</w:t>
            </w:r>
          </w:p>
        </w:tc>
        <w:tc>
          <w:tcPr>
            <w:tcW w:w="308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Date on Which Age and Service</w:t>
            </w:r>
          </w:p>
        </w:tc>
        <w:tc>
          <w:tcPr>
            <w:tcW w:w="4920" w:type="dxa"/>
            <w:vAlign w:val="bottom"/>
            <w:tcBorders>
              <w:top w:val="single" w:sz="8" w:color="auto"/>
              <w:right w:val="single" w:sz="8" w:color="auto"/>
            </w:tcBorders>
            <w:vMerge w:val="restart"/>
            <w:shd w:val="clear" w:color="auto" w:fill="D9D9D9"/>
          </w:tcPr>
          <w:p>
            <w:pPr>
              <w:ind w:left="204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bottom w:val="single" w:sz="8" w:color="auto"/>
              <w:right w:val="single" w:sz="8" w:color="auto"/>
            </w:tcBorders>
            <w:vMerge w:val="continue"/>
            <w:shd w:val="clear" w:color="auto" w:fill="D9D9D9"/>
          </w:tcPr>
          <w:p>
            <w:pPr>
              <w:spacing w:after="0"/>
              <w:rPr>
                <w:sz w:val="21"/>
                <w:szCs w:val="21"/>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Requirements Must be Satisfied</w:t>
            </w:r>
          </w:p>
        </w:tc>
        <w:tc>
          <w:tcPr>
            <w:tcW w:w="4920" w:type="dxa"/>
            <w:vAlign w:val="bottom"/>
            <w:tcBorders>
              <w:bottom w:val="single" w:sz="8" w:color="auto"/>
              <w:right w:val="single" w:sz="8" w:color="auto"/>
            </w:tcBorders>
            <w:vMerge w:val="continue"/>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Legacy Retirement Eligibility</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7, 2019</w:t>
            </w: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“Legacy Retirement</w:t>
            </w:r>
          </w:p>
        </w:tc>
        <w:tc>
          <w:tcPr>
            <w:tcW w:w="30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prorated portion of your unvested RSUs will vest as follows: (i)</w:t>
            </w:r>
          </w:p>
        </w:tc>
        <w:tc>
          <w:tcPr>
            <w:tcW w:w="0" w:type="dxa"/>
            <w:vAlign w:val="bottom"/>
          </w:tcPr>
          <w:p>
            <w:pPr>
              <w:spacing w:after="0"/>
              <w:rPr>
                <w:sz w:val="1"/>
                <w:szCs w:val="1"/>
                <w:color w:val="auto"/>
              </w:rPr>
            </w:pPr>
          </w:p>
        </w:tc>
      </w:tr>
      <w:tr>
        <w:trPr>
          <w:trHeight w:val="135"/>
        </w:trPr>
        <w:tc>
          <w:tcPr>
            <w:tcW w:w="3260" w:type="dxa"/>
            <w:vAlign w:val="bottom"/>
            <w:tcBorders>
              <w:left w:val="single" w:sz="8" w:color="auto"/>
              <w:right w:val="single" w:sz="8" w:color="auto"/>
            </w:tcBorders>
            <w:vMerge w:val="continue"/>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total number of RSUs granted to you pursuant to this Award</w:t>
            </w:r>
          </w:p>
        </w:tc>
        <w:tc>
          <w:tcPr>
            <w:tcW w:w="0" w:type="dxa"/>
            <w:vAlign w:val="bottom"/>
          </w:tcPr>
          <w:p>
            <w:pPr>
              <w:spacing w:after="0"/>
              <w:rPr>
                <w:sz w:val="1"/>
                <w:szCs w:val="1"/>
                <w:color w:val="auto"/>
              </w:rPr>
            </w:pPr>
          </w:p>
        </w:tc>
      </w:tr>
      <w:tr>
        <w:trPr>
          <w:trHeight w:val="81"/>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vMerge w:val="continue"/>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Agreement (as adjusted in accordance with Section 2(b))</w:t>
            </w:r>
          </w:p>
        </w:tc>
        <w:tc>
          <w:tcPr>
            <w:tcW w:w="0" w:type="dxa"/>
            <w:vAlign w:val="bottom"/>
          </w:tcPr>
          <w:p>
            <w:pPr>
              <w:spacing w:after="0"/>
              <w:rPr>
                <w:sz w:val="1"/>
                <w:szCs w:val="1"/>
                <w:color w:val="auto"/>
              </w:rPr>
            </w:pPr>
          </w:p>
        </w:tc>
      </w:tr>
      <w:tr>
        <w:trPr>
          <w:trHeight w:val="61"/>
        </w:trPr>
        <w:tc>
          <w:tcPr>
            <w:tcW w:w="3260" w:type="dxa"/>
            <w:vAlign w:val="bottom"/>
            <w:tcBorders>
              <w:left w:val="single" w:sz="8" w:color="auto"/>
              <w:right w:val="single" w:sz="8" w:color="auto"/>
            </w:tcBorders>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quotient of (a) the total number of days you</w:t>
            </w:r>
          </w:p>
        </w:tc>
        <w:tc>
          <w:tcPr>
            <w:tcW w:w="0" w:type="dxa"/>
            <w:vAlign w:val="bottom"/>
          </w:tcPr>
          <w:p>
            <w:pPr>
              <w:spacing w:after="0"/>
              <w:rPr>
                <w:sz w:val="1"/>
                <w:szCs w:val="1"/>
                <w:color w:val="auto"/>
              </w:rPr>
            </w:pPr>
          </w:p>
        </w:tc>
      </w:tr>
      <w:tr>
        <w:trPr>
          <w:trHeight w:val="214"/>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were employed by the Company during the Vesting Period,</w:t>
            </w: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inclusive of the Grant Date and the Termination Date, </w:t>
            </w:r>
            <w:r>
              <w:rPr>
                <w:rFonts w:ascii="Times New Roman" w:cs="Times New Roman" w:eastAsia="Times New Roman" w:hAnsi="Times New Roman"/>
                <w:sz w:val="18"/>
                <w:szCs w:val="18"/>
                <w:i w:val="1"/>
                <w:iCs w:val="1"/>
                <w:color w:val="auto"/>
              </w:rPr>
              <w:t>divided by</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 the total number of days in the Vesting Period, inclusive of</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Grant Date and the last day in the Vesting Period. The pro-</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rated RSUs (rounded up to the nearest whole number for this</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purpose) will vest and convert into Shares on the Vesting Date in</w:t>
            </w:r>
          </w:p>
        </w:tc>
        <w:tc>
          <w:tcPr>
            <w:tcW w:w="0" w:type="dxa"/>
            <w:vAlign w:val="bottom"/>
          </w:tcPr>
          <w:p>
            <w:pPr>
              <w:spacing w:after="0"/>
              <w:rPr>
                <w:sz w:val="1"/>
                <w:szCs w:val="1"/>
                <w:color w:val="auto"/>
              </w:rPr>
            </w:pPr>
          </w:p>
        </w:tc>
      </w:tr>
      <w:tr>
        <w:trPr>
          <w:trHeight w:val="86"/>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3080" w:type="dxa"/>
            <w:vAlign w:val="bottom"/>
            <w:tcBorders>
              <w:bottom w:val="single" w:sz="8" w:color="auto"/>
              <w:right w:val="single" w:sz="8" w:color="auto"/>
            </w:tcBorders>
          </w:tcPr>
          <w:p>
            <w:pPr>
              <w:spacing w:after="0"/>
              <w:rPr>
                <w:sz w:val="7"/>
                <w:szCs w:val="7"/>
                <w:color w:val="auto"/>
              </w:rPr>
            </w:pP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accordance with Section 2.</w:t>
            </w:r>
          </w:p>
        </w:tc>
        <w:tc>
          <w:tcPr>
            <w:tcW w:w="0" w:type="dxa"/>
            <w:vAlign w:val="bottom"/>
          </w:tcPr>
          <w:p>
            <w:pPr>
              <w:spacing w:after="0"/>
              <w:rPr>
                <w:sz w:val="1"/>
                <w:szCs w:val="1"/>
                <w:color w:val="auto"/>
              </w:rPr>
            </w:pPr>
          </w:p>
        </w:tc>
      </w:tr>
      <w:tr>
        <w:trPr>
          <w:trHeight w:val="129"/>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Age 55 and 10 years of service</w:t>
            </w: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49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3080" w:type="dxa"/>
            <w:vAlign w:val="bottom"/>
            <w:tcBorders>
              <w:right w:val="single" w:sz="8" w:color="auto"/>
            </w:tcBorders>
            <w:vMerge w:val="continue"/>
          </w:tcPr>
          <w:p>
            <w:pPr>
              <w:spacing w:after="0"/>
              <w:rPr>
                <w:sz w:val="9"/>
                <w:szCs w:val="9"/>
                <w:color w:val="auto"/>
              </w:rPr>
            </w:pPr>
          </w:p>
        </w:tc>
        <w:tc>
          <w:tcPr>
            <w:tcW w:w="4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“55/10 Retirement</w:t>
            </w:r>
          </w:p>
        </w:tc>
        <w:tc>
          <w:tcPr>
            <w:tcW w:w="30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remaining unvested RSUs shall be forfeited.</w:t>
            </w:r>
          </w:p>
        </w:tc>
        <w:tc>
          <w:tcPr>
            <w:tcW w:w="0" w:type="dxa"/>
            <w:vAlign w:val="bottom"/>
          </w:tcPr>
          <w:p>
            <w:pPr>
              <w:spacing w:after="0"/>
              <w:rPr>
                <w:sz w:val="1"/>
                <w:szCs w:val="1"/>
                <w:color w:val="auto"/>
              </w:rPr>
            </w:pPr>
          </w:p>
        </w:tc>
      </w:tr>
      <w:tr>
        <w:trPr>
          <w:trHeight w:val="90"/>
        </w:trPr>
        <w:tc>
          <w:tcPr>
            <w:tcW w:w="3260" w:type="dxa"/>
            <w:vAlign w:val="bottom"/>
            <w:tcBorders>
              <w:left w:val="single" w:sz="8" w:color="auto"/>
              <w:right w:val="single" w:sz="8" w:color="auto"/>
            </w:tcBorders>
            <w:vMerge w:val="continue"/>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62 and 10 years of service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Vesting Date</w:t>
            </w: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of your unvested RSUs (as adjusted in accordance with</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Section 2(b)) will vest and convert into Shares on the Vesting</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(see definition of “62/10 Retirement</w:t>
            </w:r>
          </w:p>
        </w:tc>
        <w:tc>
          <w:tcPr>
            <w:tcW w:w="308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Date in accordance with Section 2.</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60"/>
          </w:cols>
          <w:pgMar w:left="320" w:top="1404" w:right="319" w:bottom="1440" w:gutter="0" w:footer="0" w:header="0"/>
        </w:sectPr>
      </w:pPr>
    </w:p>
    <w:bookmarkStart w:id="116" w:name="page117"/>
    <w:bookmarkEnd w:id="116"/>
    <w:p>
      <w:pPr>
        <w:ind w:left="1940" w:hanging="442"/>
        <w:spacing w:after="0"/>
        <w:tabs>
          <w:tab w:leader="none" w:pos="19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Resignations from Employment</w:t>
      </w:r>
      <w:r>
        <w:rPr>
          <w:rFonts w:ascii="Times New Roman" w:cs="Times New Roman" w:eastAsia="Times New Roman" w:hAnsi="Times New Roman"/>
          <w:sz w:val="18"/>
          <w:szCs w:val="18"/>
          <w:color w:val="auto"/>
        </w:rPr>
        <w:t>. All other resignations from employment must comply with the Notice Requirements.</w:t>
      </w:r>
    </w:p>
    <w:p>
      <w:pPr>
        <w:spacing w:after="0" w:line="213" w:lineRule="exact"/>
        <w:rPr>
          <w:rFonts w:ascii="Times New Roman" w:cs="Times New Roman" w:eastAsia="Times New Roman" w:hAnsi="Times New Roman"/>
          <w:sz w:val="18"/>
          <w:szCs w:val="18"/>
          <w:color w:val="auto"/>
        </w:rPr>
      </w:pPr>
    </w:p>
    <w:p>
      <w:pPr>
        <w:jc w:val="both"/>
        <w:ind w:left="1300" w:firstLine="976"/>
        <w:spacing w:after="0" w:line="231" w:lineRule="auto"/>
        <w:tabs>
          <w:tab w:leader="none" w:pos="259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Service as a result of your resignation from employment with the Company under circumstances which are not in accordance with the provisions above in this Section 4, you will forfeit any RSUs that have not vested as of your last day of employment with the Company; and</w:t>
      </w:r>
    </w:p>
    <w:p>
      <w:pPr>
        <w:spacing w:after="0" w:line="158" w:lineRule="exact"/>
        <w:rPr>
          <w:rFonts w:ascii="Times New Roman" w:cs="Times New Roman" w:eastAsia="Times New Roman" w:hAnsi="Times New Roman"/>
          <w:sz w:val="18"/>
          <w:szCs w:val="18"/>
          <w:color w:val="auto"/>
        </w:rPr>
      </w:pPr>
    </w:p>
    <w:p>
      <w:pPr>
        <w:jc w:val="both"/>
        <w:ind w:left="1300" w:firstLine="976"/>
        <w:spacing w:after="0" w:line="224" w:lineRule="auto"/>
        <w:tabs>
          <w:tab w:leader="none" w:pos="258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a Vesting Date, you give MSCI notice of your intention to resign from your employment with the Company as of a date following such Vesting Date, your RSUs will vest and settle in accordance with Section 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you do not subsequently comply with the Notice Requirements, the Committee may, in its discretion, require that the gross cash value of the RSUs delivered to you in accordance with this Section 4(e)(ii) be subject to recoupment or payback.</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RSUs may be forfeited upon your Termination of Service and (B) if, after you have given notice of your intention to resign or retire, as applicable, from your employment with the Company, and you experience a Termination of Service by the Company without Cause prior to the expiration of your notice period, your outstanding RSUs will be treated in accordance with Section 4(b) or 4(c), as applicable.</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unvested RSUs shall only vest pursuant to this Section 4 provided that you have complied with all applicable provisions of the HSR Act.</w:t>
      </w:r>
    </w:p>
    <w:p>
      <w:pPr>
        <w:spacing w:after="0" w:line="146" w:lineRule="exact"/>
        <w:rPr>
          <w:sz w:val="20"/>
          <w:szCs w:val="20"/>
          <w:color w:val="auto"/>
        </w:rPr>
      </w:pPr>
    </w:p>
    <w:p>
      <w:pPr>
        <w:ind w:left="660" w:right="60" w:firstLine="838"/>
        <w:spacing w:after="0" w:line="215" w:lineRule="auto"/>
        <w:tabs>
          <w:tab w:leader="none" w:pos="19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Unless otherwise provided in this Section 4 or Section 5(b), your employment relationship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terminated as of the Termination Date and such date will not be extended by any notice period (i.e., your period of employment or service would not include any contractual notice period or any period of “garden leave” or similar period mandated under employment laws in the jurisdiction where you are employed or the terms of your employment agreement, if any). For the avoidance of doubt, the Committee shall have the exclusive discretion to determine whether and when you incur a Termination of Service for all purposes of your RSUs (including, without limitation, for purposes of this Section 4 and determining whether you are a Retirement Eligible Participant), including whether a Termination of Service will be deemed to occur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Service for purposes of your RSUs).</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right="20" w:firstLine="838"/>
        <w:spacing w:after="0" w:line="215" w:lineRule="auto"/>
        <w:tabs>
          <w:tab w:leader="none" w:pos="19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the event of a Change in Control, the Committee, in its sole discretion, may provide for (i) the continuation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or substitution or replacement, of your outstanding RSUs under (and in accordance with the terms of) the Plan by the Company (if it is the surviving corporation) or by the surviving corporation or its parent, in which case your RSUs will continue to be subject to the same (or substantially the same) terms of this Award Agreement, or (ii) the lapse of restrictions relating to and the settlement of your outstanding RSUs immediately prior to such Change in Control upon the failure of the successor or surviving entity to continue or assume, or substitute or replace, the RSUs, in each case as determined by the Committee in accordance with the terms of the Plan; provided, however, in each case, that if the date of a Change in Control occurs prior to the Modifier Measurement Date, then the Performance Modifier will be deemed to have been achieved at the greater of (x) the actual level of achievement of the Performance Modifier (which, if the date of the Change in Control occurs prior to [●], shall be based on the period (A) commencing on the first day of the Modifier Measurement Period and (B) ending on the date immediately prior to such Change in Control) and (y) [●]. Following a Change in Control in which your outstanding RSUs are continued or assumed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15"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substituted or replaced pursuant to clause (i) above, such RSUs may be settled in cash, Shares or a combination thereof.</w:t>
      </w:r>
    </w:p>
    <w:p>
      <w:pPr>
        <w:spacing w:after="0" w:line="183" w:lineRule="exact"/>
        <w:rPr>
          <w:sz w:val="20"/>
          <w:szCs w:val="20"/>
          <w:color w:val="auto"/>
        </w:rPr>
      </w:pPr>
    </w:p>
    <w:p>
      <w:pPr>
        <w:ind w:left="660" w:right="180" w:firstLine="838"/>
        <w:spacing w:after="0" w:line="218" w:lineRule="auto"/>
        <w:tabs>
          <w:tab w:leader="none" w:pos="19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In the event of a Qualifying Termination (as defined below), your RSUs will vest and convert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within 60 days following such Qualifying Termination. If such 60-day period begins in one taxable year and ends in a subsequent taxable year, such vesting and conversion shall occur in the second taxable year.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your Termination of Service by the Company without Cause or by you for Good Reason (which shall be deemed an involuntary Termination of Service by the Company without Cause), in each case within 24 months following the effective date of the Change in Control pursuant to Section 5(a)(i) above. Notwithstanding anything to the contrary contained herein, the unvested RSUs shall only vest pursuant to this Section 5(b) provided that you have complied with all applicable provisions of the HSR Act.</w:t>
      </w:r>
    </w:p>
    <w:p>
      <w:pPr>
        <w:spacing w:after="0" w:line="17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right="20" w:firstLine="838"/>
        <w:spacing w:after="0" w:line="214" w:lineRule="auto"/>
        <w:tabs>
          <w:tab w:leader="none" w:pos="19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Managing Directors and Retirement Eligible Participants</w:t>
      </w:r>
      <w:r>
        <w:rPr>
          <w:rFonts w:ascii="Times New Roman" w:cs="Times New Roman" w:eastAsia="Times New Roman" w:hAnsi="Times New Roman"/>
          <w:sz w:val="18"/>
          <w:szCs w:val="18"/>
          <w:color w:val="auto"/>
        </w:rPr>
        <w:t>. This Section 6(a) is only applicable to Participants who are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Retirement Eligible Participants (as defined below) who experience a Termination of Service pursuant to Section 4(c) or Section 4(d), as applicable, or (y) Managing Directors as of the Grant Date, including those who are terminated pursuant to any of the termination events described in Section 4.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the event you violate any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prior to or on the Vesting Date, you will forfeit the RSUs outstanding as of the date of such violation or (b) after the final Vesting Date, but prior to or on the expiry date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extent applicable.</w:t>
      </w:r>
    </w:p>
    <w:p>
      <w:pPr>
        <w:spacing w:after="0" w:line="161" w:lineRule="exact"/>
        <w:rPr>
          <w:rFonts w:ascii="Times New Roman" w:cs="Times New Roman" w:eastAsia="Times New Roman" w:hAnsi="Times New Roman"/>
          <w:sz w:val="18"/>
          <w:szCs w:val="18"/>
          <w:color w:val="auto"/>
        </w:rPr>
      </w:pPr>
    </w:p>
    <w:p>
      <w:pPr>
        <w:ind w:left="660" w:firstLine="838"/>
        <w:spacing w:after="0" w:line="215" w:lineRule="auto"/>
        <w:tabs>
          <w:tab w:leader="none" w:pos="19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Participants</w:t>
      </w:r>
      <w:r>
        <w:rPr>
          <w:rFonts w:ascii="Times New Roman" w:cs="Times New Roman" w:eastAsia="Times New Roman" w:hAnsi="Times New Roman"/>
          <w:sz w:val="18"/>
          <w:szCs w:val="18"/>
          <w:color w:val="auto"/>
        </w:rPr>
        <w:t>. In the case of all Participants other than those described in Section 6(a), in consideration of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RSUs under this Award Agreement, as well as all other awards granted by the Company to you under the Plan, and in consideration of the economic benefits derivable by you therefrom, you agree to be bound by, and to comply with, the restrictive covenants set forth in Sections 1, 3 and 4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the event you violate any of the restrictive covenants set forth in Sections 1, 3 or 4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prior to or on the Vesting Date, you will forfeit the RSUs outstanding as of the date of such violation or (b) after the final Vesting Date, but prior to or on the expiry date of the restrictive covenants set forth in Sections 1, 3 and 4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Sections 1, 3 or 4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extent applicable.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Cancellation of Awards</w:t>
      </w:r>
      <w:r>
        <w:rPr>
          <w:rFonts w:ascii="Times New Roman" w:cs="Times New Roman" w:eastAsia="Times New Roman" w:hAnsi="Times New Roman"/>
          <w:sz w:val="18"/>
          <w:szCs w:val="18"/>
          <w:color w:val="auto"/>
        </w:rPr>
        <w:t>. Notwithstanding any other terms of this Award Agreement, your RSUs will be canceled prior to</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and Section 5(b), upon your Termination of Service for any reason, any of your RSUs that have not vested pursuant to Section 2 as of the Termination Date will be canceled and forfeited in full as of such date.</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Tax and Other Withholding Obligations</w:t>
      </w:r>
      <w:r>
        <w:rPr>
          <w:rFonts w:ascii="Times New Roman" w:cs="Times New Roman" w:eastAsia="Times New Roman" w:hAnsi="Times New Roman"/>
          <w:sz w:val="18"/>
          <w:szCs w:val="18"/>
          <w:color w:val="auto"/>
        </w:rPr>
        <w:t>. Pursuant to Section 15(d) of the Plan and the rules and procedures that the Committee may establish from time to time, tax or other withholding obligations arising upon vesting and conversion (as applicable) of your RSUs may be satisfied, in the Committee’s sole discretion, by having MSCI withhold Shares, tendering Shares or by having MSCI withhold cash if MSCI provides for a cash</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withholding option, in each case in an amount necessary to satisfy the tax or other withholding obligations. Shares withheld or tendered will be valued using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404" w:right="339" w:bottom="1440" w:gutter="0" w:footer="0" w:header="0"/>
        </w:sectPr>
      </w:pPr>
    </w:p>
    <w:bookmarkStart w:id="118" w:name="page119"/>
    <w:bookmarkEnd w:id="118"/>
    <w:p>
      <w:pPr>
        <w:jc w:val="both"/>
        <w:spacing w:after="0" w:line="222" w:lineRule="auto"/>
        <w:rPr>
          <w:sz w:val="20"/>
          <w:szCs w:val="20"/>
          <w:color w:val="auto"/>
        </w:rPr>
      </w:pPr>
      <w:r>
        <w:rPr>
          <w:rFonts w:ascii="Times New Roman" w:cs="Times New Roman" w:eastAsia="Times New Roman" w:hAnsi="Times New Roman"/>
          <w:sz w:val="18"/>
          <w:szCs w:val="18"/>
          <w:color w:val="auto"/>
        </w:rPr>
        <w:t>Market Value of the Shares on the date your RSUs convert. In order to comply with applicable accounting standards or the Company’s policies in effect from time to time, the Committee may limit the amount of Shares that you may have withheld or that you may tender. You acknowledge that, if you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subject to Tax-Related Items (as defined below) in more than one jurisdiction, the Company (including any former employer) may be required to withhold or account for Tax-Related Items in more than one jurisdiction.</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Transfer your RSUs, or the Shares underlying your RSUs (or rights to the foregoing) (including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Covered Award Share Retention Requirements set forth therein, as in effect as of the Grant Date), including with respect to shares subject to the retention requirements under the Stock Ownership Guidelines, other than as provided in Section 10 or by will or the laws of descent and distribution or otherwise as provided for by the Committee.</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Designation of a Beneficiary</w:t>
      </w:r>
      <w:r>
        <w:rPr>
          <w:rFonts w:ascii="Times New Roman" w:cs="Times New Roman" w:eastAsia="Times New Roman" w:hAnsi="Times New Roman"/>
          <w:sz w:val="18"/>
          <w:szCs w:val="18"/>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law rules.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Ownership and Possession</w:t>
      </w:r>
      <w:r>
        <w:rPr>
          <w:rFonts w:ascii="Times New Roman" w:cs="Times New Roman" w:eastAsia="Times New Roman" w:hAnsi="Times New Roman"/>
          <w:sz w:val="18"/>
          <w:szCs w:val="18"/>
          <w:color w:val="auto"/>
        </w:rPr>
        <w:t>. Except as set forth herein, you will not have any rights as a stockholder in the Shares corresponding to your RSUs prior to conversion of your RSUs.</w:t>
      </w:r>
    </w:p>
    <w:p>
      <w:pPr>
        <w:spacing w:after="0" w:line="15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Securities Law Compliance Matters</w:t>
      </w:r>
      <w:r>
        <w:rPr>
          <w:rFonts w:ascii="Times New Roman" w:cs="Times New Roman" w:eastAsia="Times New Roman" w:hAnsi="Times New Roman"/>
          <w:sz w:val="18"/>
          <w:szCs w:val="18"/>
          <w:color w:val="auto"/>
        </w:rPr>
        <w:t>. MSCI may, if it determines it is appropriate, affix any legend to the stock certificates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representing Shares issued upon conversion of your RSUs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Any sale, assignment, transfer, pledge, mortgage, encumbrance or other disposition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issued upon conversion of your RSUs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federal regulatory body.</w:t>
      </w:r>
    </w:p>
    <w:p>
      <w:pPr>
        <w:spacing w:after="0" w:line="16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No Entitlements</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660" w:right="20" w:firstLine="838"/>
        <w:spacing w:after="0" w:line="253" w:lineRule="auto"/>
        <w:tabs>
          <w:tab w:leader="none" w:pos="19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Continued Employment</w:t>
      </w:r>
      <w:r>
        <w:rPr>
          <w:rFonts w:ascii="Times New Roman" w:cs="Times New Roman" w:eastAsia="Times New Roman" w:hAnsi="Times New Roman"/>
          <w:sz w:val="18"/>
          <w:szCs w:val="18"/>
          <w:color w:val="auto"/>
        </w:rPr>
        <w:t>. This RSU Award is not an employment agreement, and nothing in this Award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shall alter your status as an “at-will” employee of the Company.</w:t>
      </w:r>
    </w:p>
    <w:p>
      <w:pPr>
        <w:spacing w:after="0" w:line="144" w:lineRule="exact"/>
        <w:rPr>
          <w:rFonts w:ascii="Times New Roman" w:cs="Times New Roman" w:eastAsia="Times New Roman" w:hAnsi="Times New Roman"/>
          <w:sz w:val="18"/>
          <w:szCs w:val="18"/>
          <w:color w:val="auto"/>
        </w:rPr>
      </w:pPr>
    </w:p>
    <w:p>
      <w:pPr>
        <w:ind w:left="660" w:right="60" w:firstLine="838"/>
        <w:spacing w:after="0" w:line="225" w:lineRule="auto"/>
        <w:tabs>
          <w:tab w:leader="none" w:pos="1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Future Awards</w:t>
      </w:r>
      <w:r>
        <w:rPr>
          <w:rFonts w:ascii="Times New Roman" w:cs="Times New Roman" w:eastAsia="Times New Roman" w:hAnsi="Times New Roman"/>
          <w:sz w:val="18"/>
          <w:szCs w:val="18"/>
          <w:color w:val="auto"/>
        </w:rPr>
        <w:t>. This Award, and all other awards of RSUs and other equity-based awards, are discretionary.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does not confer on you any right or entitlement to receive another award of RSUs or any other equity-based award at any time in the future or in respect of any future period. You agree that any release required under Section 4 of this Award Agreement is in exchange for the grant of RSUs hereunder, for which you have no current entitlement.</w:t>
      </w:r>
    </w:p>
    <w:p>
      <w:pPr>
        <w:spacing w:after="0" w:line="155" w:lineRule="exact"/>
        <w:rPr>
          <w:rFonts w:ascii="Times New Roman" w:cs="Times New Roman" w:eastAsia="Times New Roman" w:hAnsi="Times New Roman"/>
          <w:sz w:val="18"/>
          <w:szCs w:val="18"/>
          <w:color w:val="auto"/>
        </w:rPr>
      </w:pPr>
    </w:p>
    <w:p>
      <w:pPr>
        <w:ind w:left="660" w:right="20" w:firstLine="838"/>
        <w:spacing w:after="0" w:line="225" w:lineRule="auto"/>
        <w:tabs>
          <w:tab w:leader="none" w:pos="19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Future Employment Compensation</w:t>
      </w:r>
      <w:r>
        <w:rPr>
          <w:rFonts w:ascii="Times New Roman" w:cs="Times New Roman" w:eastAsia="Times New Roman" w:hAnsi="Times New Roman"/>
          <w:sz w:val="18"/>
          <w:szCs w:val="18"/>
          <w:color w:val="auto"/>
        </w:rPr>
        <w:t>. MSCI has made this Award to you in its sole discretion. This Award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confer 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55" w:lineRule="exact"/>
        <w:rPr>
          <w:rFonts w:ascii="Times New Roman" w:cs="Times New Roman" w:eastAsia="Times New Roman" w:hAnsi="Times New Roman"/>
          <w:sz w:val="18"/>
          <w:szCs w:val="18"/>
          <w:color w:val="auto"/>
        </w:rPr>
      </w:pPr>
    </w:p>
    <w:p>
      <w:pPr>
        <w:jc w:val="both"/>
        <w:ind w:left="660" w:right="100" w:firstLine="838"/>
        <w:spacing w:after="0" w:line="225" w:lineRule="auto"/>
        <w:tabs>
          <w:tab w:leader="none" w:pos="1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Clawback Policies</w:t>
      </w:r>
      <w:r>
        <w:rPr>
          <w:rFonts w:ascii="Times New Roman" w:cs="Times New Roman" w:eastAsia="Times New Roman" w:hAnsi="Times New Roman"/>
          <w:sz w:val="18"/>
          <w:szCs w:val="18"/>
          <w:color w:val="auto"/>
        </w:rPr>
        <w:t>. In consideration of the grant of RSUs under this Award Agreement, you hereby agree that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you become covered by any of the Clawback Policies, any compensation provided to you (including any compensation granted, paid or provided to or earned by you before on or following the date hereof) that is covered by any such applicable Clawback Policies shall be subject to the recoupment and/or forfeiture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04" w:right="339" w:bottom="1440" w:gutter="0" w:footer="0" w:header="0"/>
        </w:sectPr>
      </w:pPr>
    </w:p>
    <w:bookmarkStart w:id="119" w:name="page120"/>
    <w:bookmarkEnd w:id="119"/>
    <w:p>
      <w:pPr>
        <w:ind w:left="660" w:right="180"/>
        <w:spacing w:after="0" w:line="236" w:lineRule="auto"/>
        <w:rPr>
          <w:sz w:val="20"/>
          <w:szCs w:val="20"/>
          <w:color w:val="auto"/>
        </w:rPr>
      </w:pPr>
      <w:r>
        <w:rPr>
          <w:rFonts w:ascii="Times New Roman" w:cs="Times New Roman" w:eastAsia="Times New Roman" w:hAnsi="Times New Roman"/>
          <w:sz w:val="17"/>
          <w:szCs w:val="17"/>
          <w:color w:val="auto"/>
        </w:rPr>
        <w:t>thereof, and (ii) such applicable Clawback Policies shall be deemed to amend (on both a retroactive and prospective basis) the terms of any employment, compensation or similar agreement to which you are a party, and the terms of any compensation plan, program or agreement under</w:t>
      </w:r>
    </w:p>
    <w:p>
      <w:pPr>
        <w:ind w:left="660" w:right="100"/>
        <w:spacing w:after="0" w:line="208" w:lineRule="auto"/>
        <w:rPr>
          <w:sz w:val="20"/>
          <w:szCs w:val="20"/>
          <w:color w:val="auto"/>
        </w:rPr>
      </w:pPr>
      <w:r>
        <w:rPr>
          <w:rFonts w:ascii="Times New Roman" w:cs="Times New Roman" w:eastAsia="Times New Roman" w:hAnsi="Times New Roman"/>
          <w:sz w:val="18"/>
          <w:szCs w:val="18"/>
          <w:color w:val="auto"/>
        </w:rPr>
        <w:t>which any incentive-based compensation has been or may be granted, awarded, earned or paid to you (including without limitation, award agreement evidencing an award granted to you under the Plan). In the event it is determined that any amounts granted, awarded, earned or paid to you must be forfeited or reimbursed to the Company pursuant to any such Clawback Policies, you agree that you will promptly take any action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necessary to effectuate such forfeiture and/or reimbursement.</w:t>
      </w:r>
    </w:p>
    <w:p>
      <w:pPr>
        <w:spacing w:after="0" w:line="16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your participation in the Plan, or your acquisition or sale of the underlying Shares. You are hereby advised to consult with your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personal tax, legal and financial advisors regarding your participation in the Plan before taking any action related to the Plan.</w:t>
      </w:r>
    </w:p>
    <w:p>
      <w:pPr>
        <w:spacing w:after="0" w:line="16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Consents under Local Law</w:t>
      </w:r>
      <w:r>
        <w:rPr>
          <w:rFonts w:ascii="Times New Roman" w:cs="Times New Roman" w:eastAsia="Times New Roman" w:hAnsi="Times New Roman"/>
          <w:sz w:val="18"/>
          <w:szCs w:val="18"/>
          <w:color w:val="auto"/>
        </w:rPr>
        <w:t>. Your Award is conditioned upon the making of all filings and the receipt of all consents or authorizations required to comply with, or to be obtained under, applicable local law.</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Award Modification and Section 409A</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660" w:right="40" w:firstLine="838"/>
        <w:spacing w:after="0" w:line="216" w:lineRule="auto"/>
        <w:tabs>
          <w:tab w:leader="none" w:pos="19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w:t>
      </w:r>
      <w:r>
        <w:rPr>
          <w:rFonts w:ascii="Times New Roman" w:cs="Times New Roman" w:eastAsia="Times New Roman" w:hAnsi="Times New Roman"/>
          <w:sz w:val="18"/>
          <w:szCs w:val="18"/>
          <w:color w:val="auto"/>
        </w:rPr>
        <w:t>. MSCI reserves the right to modify or amend unilaterally the terms and conditions of your RSUs, without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asking your consent, or to waive any terms and conditions that operate in favor of MSCI. MSCI may not modify your RSUs in a manner that would materially impair your rights in your RSUs without your consent; provided, however, that MSCI may, without your consent, amend or modify your RSUs in any manner that MSCI considers necessary or advisable to comply with applicable law, stock market or exchange rules and regulations or accounting or tax rules and regulations or to ensure that your RSUs are not subject to tax prior to payment. MSCI will notify you of any amendment of your RSUs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59" w:lineRule="exact"/>
        <w:rPr>
          <w:rFonts w:ascii="Times New Roman" w:cs="Times New Roman" w:eastAsia="Times New Roman" w:hAnsi="Times New Roman"/>
          <w:sz w:val="18"/>
          <w:szCs w:val="18"/>
          <w:color w:val="auto"/>
        </w:rPr>
      </w:pPr>
    </w:p>
    <w:p>
      <w:pPr>
        <w:ind w:left="1960" w:hanging="462"/>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1300" w:firstLine="976"/>
        <w:spacing w:after="0" w:line="223" w:lineRule="auto"/>
        <w:tabs>
          <w:tab w:leader="none" w:pos="25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58" w:lineRule="exact"/>
        <w:rPr>
          <w:rFonts w:ascii="Times New Roman" w:cs="Times New Roman" w:eastAsia="Times New Roman" w:hAnsi="Times New Roman"/>
          <w:sz w:val="18"/>
          <w:szCs w:val="18"/>
          <w:color w:val="auto"/>
        </w:rPr>
      </w:pPr>
    </w:p>
    <w:p>
      <w:pPr>
        <w:jc w:val="both"/>
        <w:ind w:left="1300" w:firstLine="976"/>
        <w:spacing w:after="0" w:line="213" w:lineRule="auto"/>
        <w:tabs>
          <w:tab w:leader="none" w:pos="25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Award Agreement to the contrary, to the extent that MSCI determines it necessary to comply with Section 409A, if MSCI considers you to be one of its “specified employees” at the time of your “separation from service” (as such terms are defined in Section 409A) from the Company, and any amount hereunder constitutes “deferred compensation” subject to Section 409A, then any distribution of such amount (including the conversion of the RSUs into Shares) that otherwise would be made to you as a result of such “separation from service” shall not be made until the expiration of the six-month period measured from the date of your separation from service from the Company (such period, the “</w:t>
      </w:r>
      <w:r>
        <w:rPr>
          <w:rFonts w:ascii="Times New Roman" w:cs="Times New Roman" w:eastAsia="Times New Roman" w:hAnsi="Times New Roman"/>
          <w:sz w:val="18"/>
          <w:szCs w:val="18"/>
          <w:b w:val="1"/>
          <w:bCs w:val="1"/>
          <w:color w:val="auto"/>
        </w:rPr>
        <w:t>Specified Employee Period</w:t>
      </w:r>
      <w:r>
        <w:rPr>
          <w:rFonts w:ascii="Times New Roman" w:cs="Times New Roman" w:eastAsia="Times New Roman" w:hAnsi="Times New Roman"/>
          <w:sz w:val="18"/>
          <w:szCs w:val="18"/>
          <w:color w:val="auto"/>
        </w:rPr>
        <w:t xml:space="preserve">”), except to the extent that earlier distribution would not result in you incurring interest or additional tax under Section 409A. Any conversion of such RSUs into Shares that would have occurred during the Specified Employee Period but for the immediately preceding sentence shall be satisfied either by (A) conversion of such RSUs into Shares on the first business day following the Specified Employee Period or (B) a cash payment on the first business day following the Specified Employee Period equal to the value of such RSUs on the scheduled conversion date (based on the value of the Shares on such date) plus accrued interest as determined by MSCI;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404" w:right="339" w:bottom="1440" w:gutter="0" w:footer="0" w:header="0"/>
        </w:sectPr>
      </w:pPr>
    </w:p>
    <w:bookmarkStart w:id="120" w:name="page121"/>
    <w:bookmarkEnd w:id="120"/>
    <w:p>
      <w:pPr>
        <w:jc w:val="both"/>
        <w:ind w:left="1300"/>
        <w:spacing w:after="0" w:line="222" w:lineRule="auto"/>
        <w:rPr>
          <w:sz w:val="20"/>
          <w:szCs w:val="20"/>
          <w:color w:val="auto"/>
        </w:rPr>
      </w:pPr>
      <w:r>
        <w:rPr>
          <w:rFonts w:ascii="Times New Roman" w:cs="Times New Roman" w:eastAsia="Times New Roman" w:hAnsi="Times New Roman"/>
          <w:sz w:val="18"/>
          <w:szCs w:val="18"/>
          <w:color w:val="auto"/>
        </w:rPr>
        <w:t>the extent this Section 17(b)(ii) is applicable, in the event of your death after the date of your separation from service from the Company, any conversion or payment delayed pursuant to this Section 17(b)(ii) shall occur or be made immediately. For the avoidance of doubt,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any determination as to form of payment provided in this Section 17(b)(ii) will be in the sole discretion of MSCI.</w:t>
      </w:r>
    </w:p>
    <w:p>
      <w:pPr>
        <w:spacing w:after="0" w:line="165" w:lineRule="exact"/>
        <w:rPr>
          <w:sz w:val="20"/>
          <w:szCs w:val="20"/>
          <w:color w:val="auto"/>
        </w:rPr>
      </w:pPr>
    </w:p>
    <w:p>
      <w:pPr>
        <w:jc w:val="both"/>
        <w:ind w:left="1300" w:firstLine="976"/>
        <w:spacing w:after="0" w:line="231" w:lineRule="auto"/>
        <w:tabs>
          <w:tab w:leader="none" w:pos="2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provision of this Award Agreement providing for the payment of any amounts of nonqualified deferred compensation upon or following a Termination of Service from the Company, references to your Termination of Service (and corollary terms) shall be construed to refer to your “separation from service” from the Company.</w:t>
      </w:r>
    </w:p>
    <w:p>
      <w:pPr>
        <w:spacing w:after="0" w:line="158" w:lineRule="exact"/>
        <w:rPr>
          <w:rFonts w:ascii="Times New Roman" w:cs="Times New Roman" w:eastAsia="Times New Roman" w:hAnsi="Times New Roman"/>
          <w:sz w:val="18"/>
          <w:szCs w:val="18"/>
          <w:color w:val="auto"/>
        </w:rPr>
      </w:pPr>
    </w:p>
    <w:p>
      <w:pPr>
        <w:jc w:val="both"/>
        <w:ind w:left="1300" w:firstLine="976"/>
        <w:spacing w:after="0" w:line="231" w:lineRule="auto"/>
        <w:tabs>
          <w:tab w:leader="none" w:pos="25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reserves the right to modify the terms of this Award Agreement, including, without limitation, the payment provisions applicable to your RSUs, to the extent necessary or advisable to comply with Section 409A and reserves the right to make any changes to your RSU Award so that it does not become subject to Section 409A or become subject to a Specified Employee Period.</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Award Agreement will be construed and enforced as if the provision had not been included in this Award Agreement as of the date such provision was determined to cause you to be in constructive receipt of any portion of your Award.</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The RSU grant and the provisions of this Award Agreement are governed by, and subject to, the laws of the State of Delaware, United States of America, without regard to the conflict of law provisions, as provided in the Plan. For purposes of litigating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any 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Rule of Construction for Timing of Conversion</w:t>
      </w:r>
      <w:r>
        <w:rPr>
          <w:rFonts w:ascii="Times New Roman" w:cs="Times New Roman" w:eastAsia="Times New Roman" w:hAnsi="Times New Roman"/>
          <w:sz w:val="18"/>
          <w:szCs w:val="18"/>
          <w:color w:val="auto"/>
        </w:rPr>
        <w:t>. With respect to each provision of this Award Agreement that provides for your RSUs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a</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conversion or payment, and the Company shall have no liability to you (or to any of your beneficiaries or your estate) in respect of any such delay, as long as payment is made by December 31 of the year in which the Vesting Date or such other specified event or date occurs, or if later, by March 15th of the year following such specified event or date.</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Non-U.S. Participants</w:t>
      </w:r>
      <w:r>
        <w:rPr>
          <w:rFonts w:ascii="Times New Roman" w:cs="Times New Roman" w:eastAsia="Times New Roman" w:hAnsi="Times New Roman"/>
          <w:sz w:val="18"/>
          <w:szCs w:val="18"/>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application of such terms and conditions is necessary or advisable for tax, legal or administrative reasons.</w:t>
      </w:r>
    </w:p>
    <w:p>
      <w:pPr>
        <w:spacing w:after="0" w:line="165" w:lineRule="exact"/>
        <w:rPr>
          <w:sz w:val="20"/>
          <w:szCs w:val="20"/>
          <w:color w:val="auto"/>
        </w:rPr>
      </w:pPr>
    </w:p>
    <w:p>
      <w:pPr>
        <w:ind w:left="1940" w:hanging="442"/>
        <w:spacing w:after="0"/>
        <w:tabs>
          <w:tab w:leader="none" w:pos="1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2" w:lineRule="exact"/>
        <w:rPr>
          <w:rFonts w:ascii="Times New Roman" w:cs="Times New Roman" w:eastAsia="Times New Roman" w:hAnsi="Times New Roman"/>
          <w:sz w:val="18"/>
          <w:szCs w:val="18"/>
          <w:color w:val="auto"/>
        </w:rPr>
      </w:pPr>
    </w:p>
    <w:p>
      <w:pPr>
        <w:ind w:left="660" w:right="120" w:firstLine="838"/>
        <w:spacing w:after="0" w:line="220" w:lineRule="auto"/>
        <w:tabs>
          <w:tab w:leader="none" w:pos="19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and Other Withholding Obligations</w:t>
      </w:r>
      <w:r>
        <w:rPr>
          <w:rFonts w:ascii="Times New Roman" w:cs="Times New Roman" w:eastAsia="Times New Roman" w:hAnsi="Times New Roman"/>
          <w:sz w:val="18"/>
          <w:szCs w:val="18"/>
          <w:color w:val="auto"/>
        </w:rPr>
        <w:t>. You acknowledge that, regardless of any action taken by the Company,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all income tax, social insurance, payroll tax, fringe benefits tax, payment on account or other tax-related items related to your participation in the Plan and legally applicable or deemed applicable to you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is and remains your responsibility and may exceed the amount, if any, actually withheld by the Company. You further acknowledge that the Company (i) makes no representations or undertaking regarding the treatment of any Tax-Related Items in connection with any aspect of the RSUs or the underlying Shares, including, but not limited to, the grant, vesting or settlement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240"/>
          </w:cols>
          <w:pgMar w:left="320" w:top="1404" w:right="339" w:bottom="1440" w:gutter="0" w:footer="0" w:header="0"/>
        </w:sectPr>
      </w:pPr>
    </w:p>
    <w:bookmarkStart w:id="121" w:name="page122"/>
    <w:bookmarkEnd w:id="121"/>
    <w:p>
      <w:pPr>
        <w:ind w:left="660" w:right="60"/>
        <w:spacing w:after="0" w:line="236" w:lineRule="auto"/>
        <w:rPr>
          <w:sz w:val="20"/>
          <w:szCs w:val="20"/>
          <w:color w:val="auto"/>
        </w:rPr>
      </w:pPr>
      <w:r>
        <w:rPr>
          <w:rFonts w:ascii="Times New Roman" w:cs="Times New Roman" w:eastAsia="Times New Roman" w:hAnsi="Times New Roman"/>
          <w:sz w:val="17"/>
          <w:szCs w:val="17"/>
          <w:color w:val="auto"/>
        </w:rPr>
        <w:t>RSUs, the subsequent sale of Shares acquired pursuant to such settlement and the receipt of any dividend equivalents and/or dividends; and (ii) does not commit to and is under no obligation to structure the terms of the grant or any aspect of the RSUs to reduce or eliminate your liability for</w:t>
      </w:r>
    </w:p>
    <w:p>
      <w:pPr>
        <w:ind w:left="660"/>
        <w:spacing w:after="0"/>
        <w:rPr>
          <w:sz w:val="20"/>
          <w:szCs w:val="20"/>
          <w:color w:val="auto"/>
        </w:rPr>
      </w:pPr>
      <w:r>
        <w:rPr>
          <w:rFonts w:ascii="Times New Roman" w:cs="Times New Roman" w:eastAsia="Times New Roman" w:hAnsi="Times New Roman"/>
          <w:sz w:val="18"/>
          <w:szCs w:val="18"/>
          <w:color w:val="auto"/>
        </w:rPr>
        <w:t>Tax-Related Items or achieve any particular tax result.</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 (and you acknowledge for the avoidance of doubt that the method for such withholding may involve the issuance of Shares to you or for your benefit followed by the taking of such Shares back into treasury by MSCI in satisfaction of the Tax-Related Items).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withholding in and/or tendering Shares is problematic under applicable tax or securities law or has materially adverse accounting consequences, by your acceptance of the RSUs,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tax authorities. In the event of under-withholding, you may be required to pay any additional Tax-Related Items directly to the applicable tax authority or to the Company and/or your employer.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64" w:lineRule="exact"/>
        <w:rPr>
          <w:sz w:val="20"/>
          <w:szCs w:val="20"/>
          <w:color w:val="auto"/>
        </w:rPr>
      </w:pPr>
    </w:p>
    <w:p>
      <w:pPr>
        <w:ind w:left="1940" w:hanging="442"/>
        <w:spacing w:after="0"/>
        <w:tabs>
          <w:tab w:leader="none" w:pos="19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Grant</w:t>
      </w:r>
      <w:r>
        <w:rPr>
          <w:rFonts w:ascii="Times New Roman" w:cs="Times New Roman" w:eastAsia="Times New Roman" w:hAnsi="Times New Roman"/>
          <w:sz w:val="18"/>
          <w:szCs w:val="18"/>
          <w:color w:val="auto"/>
        </w:rPr>
        <w:t>. In accepting the RSUs, you acknowledge, understand and agree that:</w:t>
      </w:r>
    </w:p>
    <w:p>
      <w:pPr>
        <w:spacing w:after="0" w:line="186" w:lineRule="exact"/>
        <w:rPr>
          <w:rFonts w:ascii="Times New Roman" w:cs="Times New Roman" w:eastAsia="Times New Roman" w:hAnsi="Times New Roman"/>
          <w:sz w:val="18"/>
          <w:szCs w:val="18"/>
          <w:color w:val="auto"/>
        </w:rPr>
      </w:pPr>
    </w:p>
    <w:p>
      <w:pPr>
        <w:ind w:left="1300" w:firstLine="976"/>
        <w:spacing w:after="0" w:line="250" w:lineRule="auto"/>
        <w:tabs>
          <w:tab w:leader="none" w:pos="25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MSCI, it is discretionary in nature and it may be modified, amended, suspended or terminated by MSCI at any time, to the extent permitted by the Plan;</w:t>
      </w:r>
    </w:p>
    <w:p>
      <w:pPr>
        <w:spacing w:after="0" w:line="149" w:lineRule="exact"/>
        <w:rPr>
          <w:rFonts w:ascii="Times New Roman" w:cs="Times New Roman" w:eastAsia="Times New Roman" w:hAnsi="Times New Roman"/>
          <w:sz w:val="18"/>
          <w:szCs w:val="18"/>
          <w:color w:val="auto"/>
        </w:rPr>
      </w:pPr>
    </w:p>
    <w:p>
      <w:pPr>
        <w:jc w:val="both"/>
        <w:ind w:left="1300" w:right="20" w:firstLine="976"/>
        <w:spacing w:after="0" w:line="231" w:lineRule="auto"/>
        <w:tabs>
          <w:tab w:leader="none" w:pos="25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58" w:lineRule="exact"/>
        <w:rPr>
          <w:rFonts w:ascii="Times New Roman" w:cs="Times New Roman" w:eastAsia="Times New Roman" w:hAnsi="Times New Roman"/>
          <w:sz w:val="18"/>
          <w:szCs w:val="18"/>
          <w:color w:val="auto"/>
        </w:rPr>
      </w:pPr>
    </w:p>
    <w:p>
      <w:pPr>
        <w:jc w:val="both"/>
        <w:ind w:left="1300" w:firstLine="976"/>
        <w:spacing w:after="0" w:line="220" w:lineRule="auto"/>
        <w:tabs>
          <w:tab w:leader="none" w:pos="25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all other awards of RSUs and other equity-based awards, are exceptional, discretionary, voluntary and occasional. This Award does not confer on you any contractual or other right or entitlement to receive another award of RSUs, any other equity-based award or benefits in lieu of RSUs at any time in the future or in respect of any future period. You agree that any release required under Section 4 of this Award Agreement is in exchange for the grant of RSUs hereunder, for which you have no current entitlement;</w:t>
      </w:r>
    </w:p>
    <w:p>
      <w:pPr>
        <w:spacing w:after="0" w:line="171" w:lineRule="exact"/>
        <w:rPr>
          <w:rFonts w:ascii="Times New Roman" w:cs="Times New Roman" w:eastAsia="Times New Roman" w:hAnsi="Times New Roman"/>
          <w:sz w:val="18"/>
          <w:szCs w:val="18"/>
          <w:color w:val="auto"/>
        </w:rPr>
      </w:pPr>
    </w:p>
    <w:p>
      <w:pPr>
        <w:jc w:val="both"/>
        <w:ind w:left="1300" w:firstLine="976"/>
        <w:spacing w:after="0" w:line="224" w:lineRule="auto"/>
        <w:tabs>
          <w:tab w:leader="none" w:pos="25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has made this award to you in its sole discretion and only MSCI is a party to this Award Agreement. All decisions with respect to future RSU or other grants, if any, will be at the sole discretion of MSCI; accordingly, any rights you may have under this Award Agreement may be raised only against MSCI but not any Subsidiary or Affiliate (including, but not limited to, your employing entity);</w:t>
      </w:r>
    </w:p>
    <w:p>
      <w:pPr>
        <w:spacing w:after="0" w:line="158" w:lineRule="exact"/>
        <w:rPr>
          <w:rFonts w:ascii="Times New Roman" w:cs="Times New Roman" w:eastAsia="Times New Roman" w:hAnsi="Times New Roman"/>
          <w:sz w:val="18"/>
          <w:szCs w:val="18"/>
          <w:color w:val="auto"/>
        </w:rPr>
      </w:pPr>
    </w:p>
    <w:p>
      <w:pPr>
        <w:ind w:left="2600" w:hanging="324"/>
        <w:spacing w:after="0"/>
        <w:tabs>
          <w:tab w:leader="none" w:pos="26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A-9</w:t>
      </w:r>
    </w:p>
    <w:p>
      <w:pPr>
        <w:sectPr>
          <w:pgSz w:w="11900" w:h="16838" w:orient="portrait"/>
          <w:cols w:equalWidth="0" w:num="1">
            <w:col w:w="11240"/>
          </w:cols>
          <w:pgMar w:left="320" w:top="1404" w:right="339" w:bottom="1440" w:gutter="0" w:footer="0" w:header="0"/>
        </w:sectPr>
      </w:pPr>
    </w:p>
    <w:bookmarkStart w:id="122" w:name="page123"/>
    <w:bookmarkEnd w:id="122"/>
    <w:p>
      <w:pPr>
        <w:ind w:left="640" w:right="20" w:firstLine="976"/>
        <w:spacing w:after="0" w:line="237" w:lineRule="auto"/>
        <w:tabs>
          <w:tab w:leader="none" w:pos="19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RSUs and the Shares subject to the RSUs, and the income from and value of the same, are not intended to replace any pension rights or compensation;</w:t>
      </w:r>
    </w:p>
    <w:p>
      <w:pPr>
        <w:spacing w:after="0" w:line="172" w:lineRule="exact"/>
        <w:rPr>
          <w:sz w:val="20"/>
          <w:szCs w:val="20"/>
          <w:color w:val="auto"/>
        </w:rPr>
      </w:pPr>
    </w:p>
    <w:p>
      <w:pPr>
        <w:jc w:val="both"/>
        <w:ind w:left="640" w:firstLine="972"/>
        <w:spacing w:after="0" w:line="216" w:lineRule="auto"/>
        <w:rPr>
          <w:sz w:val="20"/>
          <w:szCs w:val="20"/>
          <w:color w:val="auto"/>
        </w:rPr>
      </w:pPr>
      <w:r>
        <w:rPr>
          <w:rFonts w:ascii="Times New Roman" w:cs="Times New Roman" w:eastAsia="Times New Roman" w:hAnsi="Times New Roman"/>
          <w:sz w:val="18"/>
          <w:szCs w:val="18"/>
          <w:color w:val="auto"/>
        </w:rPr>
        <w:t>(vii)this award does not confer on you any right or entitlement to receive compensation in any specific amount. In addition, the RSUs and the Shares subject to the RSUs, and the income from and value of the same, are not part of normal or expected compensation for purposes of, including but not limited to, calculating any severance, resignation, termination, redundancy, dismissal,</w:t>
      </w:r>
    </w:p>
    <w:p>
      <w:pPr>
        <w:spacing w:after="0" w:line="1" w:lineRule="exact"/>
        <w:rPr>
          <w:sz w:val="20"/>
          <w:szCs w:val="20"/>
          <w:color w:val="auto"/>
        </w:rPr>
      </w:pPr>
    </w:p>
    <w:p>
      <w:pPr>
        <w:jc w:val="both"/>
        <w:ind w:left="640"/>
        <w:spacing w:after="0" w:line="218" w:lineRule="auto"/>
        <w:rPr>
          <w:sz w:val="20"/>
          <w:szCs w:val="20"/>
          <w:color w:val="auto"/>
        </w:rPr>
      </w:pPr>
      <w:r>
        <w:rPr>
          <w:rFonts w:ascii="Times New Roman" w:cs="Times New Roman" w:eastAsia="Times New Roman" w:hAnsi="Times New Roman"/>
          <w:sz w:val="18"/>
          <w:szCs w:val="18"/>
          <w:color w:val="auto"/>
        </w:rPr>
        <w:t>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72" w:lineRule="exact"/>
        <w:rPr>
          <w:sz w:val="20"/>
          <w:szCs w:val="20"/>
          <w:color w:val="auto"/>
        </w:rPr>
      </w:pPr>
    </w:p>
    <w:p>
      <w:pPr>
        <w:jc w:val="both"/>
        <w:ind w:left="640" w:firstLine="976"/>
        <w:spacing w:after="0" w:line="226" w:lineRule="auto"/>
        <w:tabs>
          <w:tab w:leader="none" w:pos="257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MSCI in writing, the RSUs and the Shares subject to the RSUs, and the income from and value of the same, are not granted as consideration for, or in connection with, the service you may provide as a director of a Subsidiary;</w:t>
      </w:r>
    </w:p>
    <w:p>
      <w:pPr>
        <w:spacing w:after="0" w:line="171" w:lineRule="exact"/>
        <w:rPr>
          <w:rFonts w:ascii="Times New Roman" w:cs="Times New Roman" w:eastAsia="Times New Roman" w:hAnsi="Times New Roman"/>
          <w:sz w:val="18"/>
          <w:szCs w:val="18"/>
          <w:color w:val="auto"/>
        </w:rPr>
      </w:pPr>
    </w:p>
    <w:p>
      <w:pPr>
        <w:ind w:left="1920" w:hanging="304"/>
        <w:spacing w:after="0"/>
        <w:tabs>
          <w:tab w:leader="none" w:pos="19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cannot be predicted with certainty;</w:t>
      </w:r>
    </w:p>
    <w:p>
      <w:pPr>
        <w:spacing w:after="0" w:line="184" w:lineRule="exact"/>
        <w:rPr>
          <w:rFonts w:ascii="Times New Roman" w:cs="Times New Roman" w:eastAsia="Times New Roman" w:hAnsi="Times New Roman"/>
          <w:sz w:val="18"/>
          <w:szCs w:val="18"/>
          <w:color w:val="auto"/>
        </w:rPr>
      </w:pPr>
    </w:p>
    <w:p>
      <w:pPr>
        <w:jc w:val="both"/>
        <w:ind w:left="640" w:firstLine="976"/>
        <w:spacing w:after="0" w:line="231" w:lineRule="auto"/>
        <w:tabs>
          <w:tab w:leader="none" w:pos="193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RSUs resulting from your Termination of Service (for any reason whatsoever, whether or not later found to be invalid or in breach of employment laws in the jurisdiction where you are employed or the terms of your employment agreement, if any); and</w:t>
      </w:r>
    </w:p>
    <w:p>
      <w:pPr>
        <w:spacing w:after="0" w:line="158" w:lineRule="exact"/>
        <w:rPr>
          <w:rFonts w:ascii="Times New Roman" w:cs="Times New Roman" w:eastAsia="Times New Roman" w:hAnsi="Times New Roman"/>
          <w:sz w:val="18"/>
          <w:szCs w:val="18"/>
          <w:color w:val="auto"/>
        </w:rPr>
      </w:pPr>
    </w:p>
    <w:p>
      <w:pPr>
        <w:jc w:val="both"/>
        <w:ind w:left="640" w:firstLine="976"/>
        <w:spacing w:after="0" w:line="231" w:lineRule="auto"/>
        <w:tabs>
          <w:tab w:leader="none" w:pos="192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Company shall not be liable for any foreign exchange rate fluctuation between your local currency and the U.S. Dollar that may affect the value of the RSU or of any amounts due to you pursuant to the settlement of the RSU or the subsequent sale of any Shares acquired upon settlement.</w:t>
      </w:r>
    </w:p>
    <w:p>
      <w:pPr>
        <w:spacing w:after="0" w:line="156" w:lineRule="exact"/>
        <w:rPr>
          <w:rFonts w:ascii="Times New Roman" w:cs="Times New Roman" w:eastAsia="Times New Roman" w:hAnsi="Times New Roman"/>
          <w:sz w:val="18"/>
          <w:szCs w:val="18"/>
          <w:color w:val="auto"/>
        </w:rPr>
      </w:pPr>
    </w:p>
    <w:p>
      <w:pPr>
        <w:jc w:val="both"/>
        <w:ind w:right="40" w:firstLine="838"/>
        <w:spacing w:after="0" w:line="225" w:lineRule="auto"/>
        <w:tabs>
          <w:tab w:leader="none" w:pos="12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Treatment</w:t>
      </w:r>
      <w:r>
        <w:rPr>
          <w:rFonts w:ascii="Times New Roman" w:cs="Times New Roman" w:eastAsia="Times New Roman" w:hAnsi="Times New Roman"/>
          <w:sz w:val="18"/>
          <w:szCs w:val="18"/>
          <w:color w:val="auto"/>
        </w:rPr>
        <w:t>. Notwithstanding anything to the contrary in this Section 22(d) of this Award Agreement, if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a legal opinion that there has been a legal judgment and/or legal development in your jurisdiction that likely would result in the favorable treatment that applies to the RSUs in the event of your retirement being deemed unlawful and/or discriminatory, the provisions of Section 4 of this Award Agreement regarding the treatment of the RSUs in the event of your Retirement Termination shall not be applicable to you.</w:t>
      </w:r>
    </w:p>
    <w:p>
      <w:pPr>
        <w:spacing w:after="0" w:line="155" w:lineRule="exact"/>
        <w:rPr>
          <w:rFonts w:ascii="Times New Roman" w:cs="Times New Roman" w:eastAsia="Times New Roman" w:hAnsi="Times New Roman"/>
          <w:sz w:val="18"/>
          <w:szCs w:val="18"/>
          <w:color w:val="auto"/>
        </w:rPr>
      </w:pPr>
    </w:p>
    <w:p>
      <w:pPr>
        <w:ind w:left="1280" w:hanging="442"/>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Privacy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98" w:lineRule="exact"/>
        <w:rPr>
          <w:sz w:val="20"/>
          <w:szCs w:val="20"/>
          <w:color w:val="auto"/>
        </w:rPr>
      </w:pPr>
    </w:p>
    <w:p>
      <w:pPr>
        <w:jc w:val="both"/>
        <w:ind w:left="640" w:firstLine="976"/>
        <w:spacing w:after="0" w:line="226" w:lineRule="auto"/>
        <w:tabs>
          <w:tab w:leader="none" w:pos="19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71" w:lineRule="exact"/>
        <w:rPr>
          <w:rFonts w:ascii="Times New Roman" w:cs="Times New Roman" w:eastAsia="Times New Roman" w:hAnsi="Times New Roman"/>
          <w:sz w:val="18"/>
          <w:szCs w:val="18"/>
          <w:color w:val="auto"/>
        </w:rPr>
      </w:pPr>
    </w:p>
    <w:p>
      <w:pPr>
        <w:jc w:val="both"/>
        <w:ind w:left="640" w:firstLine="976"/>
        <w:spacing w:after="0" w:line="226" w:lineRule="auto"/>
        <w:tabs>
          <w:tab w:leader="none" w:pos="19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69" w:lineRule="exact"/>
        <w:rPr>
          <w:rFonts w:ascii="Times New Roman" w:cs="Times New Roman" w:eastAsia="Times New Roman" w:hAnsi="Times New Roman"/>
          <w:sz w:val="18"/>
          <w:szCs w:val="18"/>
          <w:color w:val="auto"/>
        </w:rPr>
      </w:pPr>
    </w:p>
    <w:p>
      <w:pPr>
        <w:ind w:right="40" w:firstLine="838"/>
        <w:spacing w:after="0" w:line="221" w:lineRule="auto"/>
        <w:tabs>
          <w:tab w:leader="none" w:pos="12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Language</w:t>
      </w:r>
      <w:r>
        <w:rPr>
          <w:rFonts w:ascii="Times New Roman" w:cs="Times New Roman" w:eastAsia="Times New Roman" w:hAnsi="Times New Roman"/>
          <w:sz w:val="18"/>
          <w:szCs w:val="18"/>
          <w:color w:val="auto"/>
        </w:rPr>
        <w:t>. If you are a resident in a country where English is not an official language, you acknowledge that you are sufficiently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the Plan and all other documents,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A-10</w:t>
      </w:r>
    </w:p>
    <w:p>
      <w:pPr>
        <w:sectPr>
          <w:pgSz w:w="11900" w:h="16838" w:orient="portrait"/>
          <w:cols w:equalWidth="0" w:num="1">
            <w:col w:w="10580"/>
          </w:cols>
          <w:pgMar w:left="980" w:top="1404" w:right="339" w:bottom="1440" w:gutter="0" w:footer="0" w:header="0"/>
        </w:sectPr>
      </w:pPr>
    </w:p>
    <w:bookmarkStart w:id="123" w:name="page124"/>
    <w:bookmarkEnd w:id="123"/>
    <w:p>
      <w:pPr>
        <w:ind w:left="660" w:right="160"/>
        <w:spacing w:after="0" w:line="236" w:lineRule="auto"/>
        <w:rPr>
          <w:sz w:val="20"/>
          <w:szCs w:val="20"/>
          <w:color w:val="auto"/>
        </w:rPr>
      </w:pPr>
      <w:r>
        <w:rPr>
          <w:rFonts w:ascii="Times New Roman" w:cs="Times New Roman" w:eastAsia="Times New Roman" w:hAnsi="Times New Roman"/>
          <w:sz w:val="17"/>
          <w:szCs w:val="17"/>
          <w:color w:val="auto"/>
        </w:rPr>
        <w:t>and legal proceedings entered into, given or instituted pursuant to the RSUs be written in English. If you have received this Award Agreement or any other document related to the Plan translated into a language other than English and if the meaning of the translated version is different than</w:t>
      </w:r>
    </w:p>
    <w:p>
      <w:pPr>
        <w:ind w:left="660"/>
        <w:spacing w:after="0"/>
        <w:rPr>
          <w:sz w:val="20"/>
          <w:szCs w:val="20"/>
          <w:color w:val="auto"/>
        </w:rPr>
      </w:pPr>
      <w:r>
        <w:rPr>
          <w:rFonts w:ascii="Times New Roman" w:cs="Times New Roman" w:eastAsia="Times New Roman" w:hAnsi="Times New Roman"/>
          <w:sz w:val="18"/>
          <w:szCs w:val="18"/>
          <w:color w:val="auto"/>
        </w:rPr>
        <w:t>the English version, the English version will control, unless otherwise required by applicable law.</w:t>
      </w:r>
    </w:p>
    <w:p>
      <w:pPr>
        <w:spacing w:after="0" w:line="163" w:lineRule="exact"/>
        <w:rPr>
          <w:sz w:val="20"/>
          <w:szCs w:val="20"/>
          <w:color w:val="auto"/>
        </w:rPr>
      </w:pPr>
    </w:p>
    <w:p>
      <w:pPr>
        <w:ind w:left="660" w:right="100" w:firstLine="838"/>
        <w:spacing w:after="0" w:line="232" w:lineRule="auto"/>
        <w:tabs>
          <w:tab w:leader="none" w:pos="19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Delivery and Participation</w:t>
      </w:r>
      <w:r>
        <w:rPr>
          <w:rFonts w:ascii="Times New Roman" w:cs="Times New Roman" w:eastAsia="Times New Roman" w:hAnsi="Times New Roman"/>
          <w:sz w:val="18"/>
          <w:szCs w:val="18"/>
          <w:color w:val="auto"/>
        </w:rPr>
        <w:t>. MSCI may, in its sole discretion, decide to deliver any documents related to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55" w:lineRule="exact"/>
        <w:rPr>
          <w:rFonts w:ascii="Times New Roman" w:cs="Times New Roman" w:eastAsia="Times New Roman" w:hAnsi="Times New Roman"/>
          <w:sz w:val="18"/>
          <w:szCs w:val="18"/>
          <w:color w:val="auto"/>
        </w:rPr>
      </w:pPr>
    </w:p>
    <w:p>
      <w:pPr>
        <w:ind w:left="660" w:right="220" w:firstLine="838"/>
        <w:spacing w:after="0" w:line="225" w:lineRule="auto"/>
        <w:tabs>
          <w:tab w:leader="none" w:pos="19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Notwithstanding any provisions in this Award Agreement, the RSUs shall be subject to any additional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 Moreover, if you relocate to one of the jurisdictions included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additional terms and conditions for such jurisdiction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constitutes part of this Award Agreement.</w:t>
      </w:r>
    </w:p>
    <w:p>
      <w:pPr>
        <w:spacing w:after="0" w:line="155" w:lineRule="exact"/>
        <w:rPr>
          <w:rFonts w:ascii="Times New Roman" w:cs="Times New Roman" w:eastAsia="Times New Roman" w:hAnsi="Times New Roman"/>
          <w:sz w:val="18"/>
          <w:szCs w:val="18"/>
          <w:color w:val="auto"/>
        </w:rPr>
      </w:pPr>
    </w:p>
    <w:p>
      <w:pPr>
        <w:ind w:left="660" w:right="40" w:firstLine="838"/>
        <w:spacing w:after="0" w:line="215" w:lineRule="auto"/>
        <w:tabs>
          <w:tab w:leader="none" w:pos="19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Restrictions/Market Abuse Laws</w:t>
      </w:r>
      <w:r>
        <w:rPr>
          <w:rFonts w:ascii="Times New Roman" w:cs="Times New Roman" w:eastAsia="Times New Roman" w:hAnsi="Times New Roman"/>
          <w:sz w:val="18"/>
          <w:szCs w:val="18"/>
          <w:color w:val="auto"/>
        </w:rPr>
        <w:t>. By accepting the RSUs, you acknowledge that you are bound by all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(e.g., RSUs)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60" w:lineRule="exact"/>
        <w:rPr>
          <w:rFonts w:ascii="Times New Roman" w:cs="Times New Roman" w:eastAsia="Times New Roman" w:hAnsi="Times New Roman"/>
          <w:sz w:val="18"/>
          <w:szCs w:val="18"/>
          <w:color w:val="auto"/>
        </w:rPr>
      </w:pPr>
    </w:p>
    <w:p>
      <w:pPr>
        <w:ind w:left="660" w:firstLine="838"/>
        <w:spacing w:after="0" w:line="218" w:lineRule="auto"/>
        <w:tabs>
          <w:tab w:leader="none" w:pos="19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Asset/Account, Exchange Control Reporting</w:t>
      </w:r>
      <w:r>
        <w:rPr>
          <w:rFonts w:ascii="Times New Roman" w:cs="Times New Roman" w:eastAsia="Times New Roman" w:hAnsi="Times New Roman"/>
          <w:sz w:val="18"/>
          <w:szCs w:val="18"/>
          <w:color w:val="auto"/>
        </w:rPr>
        <w:t>. Your country may have certain exchange control and/or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For purposes of this Award Agreement, the following terms shall have the meanings set forth below:</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Eligibility</w:t>
      </w:r>
      <w:r>
        <w:rPr>
          <w:rFonts w:ascii="Times New Roman" w:cs="Times New Roman" w:eastAsia="Times New Roman" w:hAnsi="Times New Roman"/>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A-11</w:t>
      </w:r>
    </w:p>
    <w:p>
      <w:pPr>
        <w:sectPr>
          <w:pgSz w:w="11900" w:h="16838" w:orient="portrait"/>
          <w:cols w:equalWidth="0" w:num="1">
            <w:col w:w="11240"/>
          </w:cols>
          <w:pgMar w:left="320" w:top="1404" w:right="339" w:bottom="1440" w:gutter="0" w:footer="0" w:header="0"/>
        </w:sectPr>
      </w:pPr>
    </w:p>
    <w:bookmarkStart w:id="124" w:name="page125"/>
    <w:bookmarkEnd w:id="124"/>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Eligibility</w:t>
      </w:r>
      <w:r>
        <w:rPr>
          <w:rFonts w:ascii="Times New Roman" w:cs="Times New Roman" w:eastAsia="Times New Roman" w:hAnsi="Times New Roman"/>
          <w:sz w:val="18"/>
          <w:szCs w:val="18"/>
          <w:color w:val="auto"/>
        </w:rPr>
        <w:t>” means your attainment, at any time prior to the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4(c)) on or after the date that you attain 62/10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Cancellation Event</w:t>
      </w:r>
      <w:r>
        <w:rPr>
          <w:rFonts w:ascii="Times New Roman" w:cs="Times New Roman" w:eastAsia="Times New Roman" w:hAnsi="Times New Roman"/>
          <w:sz w:val="18"/>
          <w:szCs w:val="18"/>
          <w:color w:val="auto"/>
        </w:rPr>
        <w:t>” will be deemed to have occurred under any one of the following circumstances:</w:t>
      </w:r>
    </w:p>
    <w:p>
      <w:pPr>
        <w:spacing w:after="0" w:line="216" w:lineRule="exact"/>
        <w:rPr>
          <w:sz w:val="20"/>
          <w:szCs w:val="20"/>
          <w:color w:val="auto"/>
        </w:rPr>
      </w:pPr>
    </w:p>
    <w:p>
      <w:pPr>
        <w:ind w:left="660" w:right="20" w:firstLine="838"/>
        <w:spacing w:after="0" w:line="237" w:lineRule="auto"/>
        <w:tabs>
          <w:tab w:leader="none" w:pos="19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misuse of Confidential Information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 or failure to comply with your obligations under MSCI’s Code of Conduct or otherwise with respect to Confidential Information, as applicable;</w:t>
      </w:r>
    </w:p>
    <w:p>
      <w:pPr>
        <w:spacing w:after="0" w:line="171" w:lineRule="exact"/>
        <w:rPr>
          <w:rFonts w:ascii="Times New Roman" w:cs="Times New Roman" w:eastAsia="Times New Roman" w:hAnsi="Times New Roman"/>
          <w:sz w:val="18"/>
          <w:szCs w:val="18"/>
          <w:color w:val="auto"/>
        </w:rPr>
      </w:pPr>
    </w:p>
    <w:p>
      <w:pPr>
        <w:ind w:left="660" w:right="80" w:firstLine="838"/>
        <w:spacing w:after="0" w:line="237" w:lineRule="auto"/>
        <w:tabs>
          <w:tab w:leader="none" w:pos="19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from the Company for Cause (or a later determination that you could have been terminated for Cause; provided that such determination is made within six months of termination);</w:t>
      </w:r>
    </w:p>
    <w:p>
      <w:pPr>
        <w:spacing w:after="0" w:line="158" w:lineRule="exact"/>
        <w:rPr>
          <w:rFonts w:ascii="Times New Roman" w:cs="Times New Roman" w:eastAsia="Times New Roman" w:hAnsi="Times New Roman"/>
          <w:sz w:val="18"/>
          <w:szCs w:val="18"/>
          <w:color w:val="auto"/>
        </w:rPr>
      </w:pPr>
    </w:p>
    <w:p>
      <w:pPr>
        <w:ind w:left="660" w:right="440" w:firstLine="838"/>
        <w:spacing w:after="0" w:line="250" w:lineRule="auto"/>
        <w:tabs>
          <w:tab w:leader="none" w:pos="19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fraudulent act or participation in misconduct which leads to a material restatement of the Company’s financial statements;</w:t>
      </w:r>
    </w:p>
    <w:p>
      <w:pPr>
        <w:spacing w:after="0" w:line="149" w:lineRule="exact"/>
        <w:rPr>
          <w:rFonts w:ascii="Times New Roman" w:cs="Times New Roman" w:eastAsia="Times New Roman" w:hAnsi="Times New Roman"/>
          <w:sz w:val="18"/>
          <w:szCs w:val="18"/>
          <w:color w:val="auto"/>
        </w:rPr>
      </w:pPr>
    </w:p>
    <w:p>
      <w:pPr>
        <w:ind w:left="660" w:right="100" w:firstLine="838"/>
        <w:spacing w:after="0" w:line="237" w:lineRule="auto"/>
        <w:tabs>
          <w:tab w:leader="none" w:pos="19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employees who are Managing Directors as of the Grant Date, your failure to affirmatively accept the terms of this Award Agreement by [●];</w:t>
      </w:r>
    </w:p>
    <w:p>
      <w:pPr>
        <w:spacing w:after="0" w:line="171" w:lineRule="exact"/>
        <w:rPr>
          <w:rFonts w:ascii="Times New Roman" w:cs="Times New Roman" w:eastAsia="Times New Roman" w:hAnsi="Times New Roman"/>
          <w:sz w:val="18"/>
          <w:szCs w:val="18"/>
          <w:color w:val="auto"/>
        </w:rPr>
      </w:pPr>
    </w:p>
    <w:p>
      <w:pPr>
        <w:ind w:left="660" w:right="60" w:firstLine="838"/>
        <w:spacing w:after="0" w:line="237" w:lineRule="auto"/>
        <w:tabs>
          <w:tab w:leader="none" w:pos="19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employees who are not (x) Retirement Eligible Participants or (y) Managing Directors as of the Grant Date, any of the following without the consent of MSCI:</w:t>
      </w:r>
    </w:p>
    <w:p>
      <w:pPr>
        <w:spacing w:after="0" w:line="158" w:lineRule="exact"/>
        <w:rPr>
          <w:rFonts w:ascii="Times New Roman" w:cs="Times New Roman" w:eastAsia="Times New Roman" w:hAnsi="Times New Roman"/>
          <w:sz w:val="18"/>
          <w:szCs w:val="18"/>
          <w:color w:val="auto"/>
        </w:rPr>
      </w:pPr>
    </w:p>
    <w:p>
      <w:pPr>
        <w:jc w:val="both"/>
        <w:ind w:left="1300" w:firstLine="976"/>
        <w:spacing w:after="0" w:line="224" w:lineRule="auto"/>
        <w:tabs>
          <w:tab w:leader="none" w:pos="25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hire or solicit, recruit, induce, entice, influence or encourage any Company employee to leave the Company or become hired or engaged by another company; or</w:t>
      </w:r>
    </w:p>
    <w:p>
      <w:pPr>
        <w:spacing w:after="0" w:line="172" w:lineRule="exact"/>
        <w:rPr>
          <w:rFonts w:ascii="Times New Roman" w:cs="Times New Roman" w:eastAsia="Times New Roman" w:hAnsi="Times New Roman"/>
          <w:sz w:val="18"/>
          <w:szCs w:val="18"/>
          <w:color w:val="auto"/>
        </w:rPr>
      </w:pPr>
    </w:p>
    <w:p>
      <w:pPr>
        <w:jc w:val="both"/>
        <w:ind w:left="1300" w:firstLine="976"/>
        <w:spacing w:after="0" w:line="217" w:lineRule="auto"/>
        <w:tabs>
          <w:tab w:leader="none" w:pos="25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solicit or entice away or in any manner attempt to persuade any client or customer, or prospective client or customer, of the Company (A) to discontinue or diminish his, her or its relationship or prospective relationship with the Company or (B) to otherwise provide his, her or its business to any person, corporation, partnership or other business entity which engages in any line of business in which the Company is engaged (other than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58" w:lineRule="auto"/>
        <w:tabs>
          <w:tab w:leader="none" w:pos="10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 or failure to act on your part shall be deemed willful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A-12</w:t>
      </w:r>
    </w:p>
    <w:p>
      <w:pPr>
        <w:sectPr>
          <w:pgSz w:w="11900" w:h="16838" w:orient="portrait"/>
          <w:cols w:equalWidth="0" w:num="1">
            <w:col w:w="11240"/>
          </w:cols>
          <w:pgMar w:left="320" w:top="14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done or omitted to be done by you not in good faith and without reasonable belief that your action or omission was in the best interest of the Company;</w:t>
      </w:r>
    </w:p>
    <w:p>
      <w:pPr>
        <w:spacing w:after="0" w:line="225" w:lineRule="exact"/>
        <w:rPr>
          <w:sz w:val="20"/>
          <w:szCs w:val="20"/>
          <w:color w:val="auto"/>
        </w:rPr>
      </w:pPr>
    </w:p>
    <w:p>
      <w:pPr>
        <w:jc w:val="both"/>
        <w:ind w:firstLine="656"/>
        <w:spacing w:after="0" w:line="266" w:lineRule="auto"/>
        <w:tabs>
          <w:tab w:leader="none" w:pos="109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73" w:lineRule="exact"/>
        <w:rPr>
          <w:rFonts w:ascii="Times New Roman" w:cs="Times New Roman" w:eastAsia="Times New Roman" w:hAnsi="Times New Roman"/>
          <w:sz w:val="18"/>
          <w:szCs w:val="18"/>
          <w:color w:val="auto"/>
        </w:rPr>
      </w:pPr>
    </w:p>
    <w:p>
      <w:pPr>
        <w:ind w:right="20" w:firstLine="656"/>
        <w:spacing w:after="0" w:line="284" w:lineRule="auto"/>
        <w:tabs>
          <w:tab w:leader="none" w:pos="10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or conviction of a felony under the laws of the United States or any state thereof or any other plea or confession of a similar crime in a jurisdiction in which the Company conducts business; or</w:t>
      </w:r>
    </w:p>
    <w:p>
      <w:pPr>
        <w:spacing w:after="0" w:line="160"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fraudulent act or participation in misconduct which leads to a material restatement of the Company’s financial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has the meaning ascribed to such term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of any of the following without your prior written consent:</w:t>
      </w:r>
    </w:p>
    <w:p>
      <w:pPr>
        <w:spacing w:after="0" w:line="229" w:lineRule="exact"/>
        <w:rPr>
          <w:sz w:val="20"/>
          <w:szCs w:val="20"/>
          <w:color w:val="auto"/>
        </w:rPr>
      </w:pPr>
    </w:p>
    <w:p>
      <w:pPr>
        <w:jc w:val="both"/>
        <w:ind w:firstLine="656"/>
        <w:spacing w:after="0" w:line="266" w:lineRule="auto"/>
        <w:tabs>
          <w:tab w:leader="none" w:pos="10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8"/>
          <w:szCs w:val="18"/>
          <w:b w:val="1"/>
          <w:bCs w:val="1"/>
          <w:color w:val="auto"/>
        </w:rPr>
        <w:t>Equity Value</w:t>
      </w:r>
      <w:r>
        <w:rPr>
          <w:rFonts w:ascii="Times New Roman" w:cs="Times New Roman" w:eastAsia="Times New Roman" w:hAnsi="Times New Roman"/>
          <w:sz w:val="18"/>
          <w:szCs w:val="18"/>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A-13</w:t>
      </w:r>
    </w:p>
    <w:p>
      <w:pPr>
        <w:sectPr>
          <w:pgSz w:w="11900" w:h="16838" w:orient="portrait"/>
          <w:cols w:equalWidth="0" w:num="1">
            <w:col w:w="11240"/>
          </w:cols>
          <w:pgMar w:left="320" w:top="14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extraordinary and nonrecurring equity-based incentive compensation awards or arrangements from the calculation of Equity Value for purposes hereunder;</w:t>
      </w:r>
    </w:p>
    <w:p>
      <w:pPr>
        <w:spacing w:after="0" w:line="225" w:lineRule="exact"/>
        <w:rPr>
          <w:sz w:val="20"/>
          <w:szCs w:val="20"/>
          <w:color w:val="auto"/>
        </w:rPr>
      </w:pPr>
    </w:p>
    <w:p>
      <w:pPr>
        <w:ind w:left="1040" w:hanging="384"/>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more than 25 miles from the location of your principal job or office location prior to a Change in Control; or</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inaction that constitutes a material breach by the Company of any agreement pursuant to which you provide services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Good Reason shall not be deemed to exist unless (x) you provide the Company with written notice of your intent to terminate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for Good Reason within 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 expiration of the cure period descried in clause (y).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Eligibility</w:t>
      </w:r>
      <w:r>
        <w:rPr>
          <w:rFonts w:ascii="Times New Roman" w:cs="Times New Roman" w:eastAsia="Times New Roman" w:hAnsi="Times New Roman"/>
          <w:sz w:val="18"/>
          <w:szCs w:val="18"/>
          <w:color w:val="auto"/>
        </w:rPr>
        <w:t>” means your attainment, at any time on or prior to February 7, 2019, of any of the following criteria:</w:t>
      </w:r>
    </w:p>
    <w:p>
      <w:pPr>
        <w:spacing w:after="0" w:line="229" w:lineRule="exact"/>
        <w:rPr>
          <w:sz w:val="20"/>
          <w:szCs w:val="20"/>
          <w:color w:val="auto"/>
        </w:rPr>
      </w:pPr>
    </w:p>
    <w:p>
      <w:pPr>
        <w:ind w:left="1040" w:hanging="384"/>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and 12 years of service with the Company as a Managing Director or comparable officer;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50 and 15 years as an officer of the Company;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with five years of service with the Company and age plus years of service equals or exceeds 65;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years of service with the Company;</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this definition, service with the Company will include any period of service with the following entities and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predecessors:</w:t>
      </w:r>
    </w:p>
    <w:p>
      <w:pPr>
        <w:spacing w:after="0" w:line="160" w:lineRule="exact"/>
        <w:rPr>
          <w:sz w:val="20"/>
          <w:szCs w:val="20"/>
          <w:color w:val="auto"/>
        </w:rPr>
      </w:pPr>
    </w:p>
    <w:p>
      <w:pPr>
        <w:ind w:left="1660" w:hanging="356"/>
        <w:spacing w:after="0"/>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Barra Inc. and its subsidiaries, prior to the acquisition by the Company;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International Perspectives S.A., prior to the acquisition by the Company;</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w:t>
      </w:r>
    </w:p>
    <w:p>
      <w:pPr>
        <w:spacing w:after="0" w:line="22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Group Inc. and its subsidiaries (“</w:t>
      </w:r>
      <w:r>
        <w:rPr>
          <w:rFonts w:ascii="Times New Roman" w:cs="Times New Roman" w:eastAsia="Times New Roman" w:hAnsi="Times New Roman"/>
          <w:sz w:val="18"/>
          <w:szCs w:val="18"/>
          <w:b w:val="1"/>
          <w:bCs w:val="1"/>
          <w:color w:val="auto"/>
        </w:rPr>
        <w:t>MS Group</w:t>
      </w:r>
      <w:r>
        <w:rPr>
          <w:rFonts w:ascii="Times New Roman" w:cs="Times New Roman" w:eastAsia="Times New Roman" w:hAnsi="Times New Roman"/>
          <w:sz w:val="18"/>
          <w:szCs w:val="18"/>
          <w:color w:val="auto"/>
        </w:rPr>
        <w:t>”) prior to the merger with and into Dean Witter, Discover &amp; Co.;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73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Witter, Discover &amp; Co. and its subsidiaries (“</w:t>
      </w:r>
      <w:r>
        <w:rPr>
          <w:rFonts w:ascii="Times New Roman" w:cs="Times New Roman" w:eastAsia="Times New Roman" w:hAnsi="Times New Roman"/>
          <w:sz w:val="18"/>
          <w:szCs w:val="18"/>
          <w:b w:val="1"/>
          <w:bCs w:val="1"/>
          <w:color w:val="auto"/>
        </w:rPr>
        <w:t>DWD</w:t>
      </w:r>
      <w:r>
        <w:rPr>
          <w:rFonts w:ascii="Times New Roman" w:cs="Times New Roman" w:eastAsia="Times New Roman" w:hAnsi="Times New Roman"/>
          <w:sz w:val="18"/>
          <w:szCs w:val="18"/>
          <w:color w:val="auto"/>
        </w:rPr>
        <w:t xml:space="preserve">”) prior to the merger of Morgan Stanley Group Inc. with and into Dean Witter, Discover &amp; 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A-14</w:t>
      </w:r>
    </w:p>
    <w:p>
      <w:pPr>
        <w:sectPr>
          <w:pgSz w:w="11900" w:h="16838" w:orient="portrait"/>
          <w:cols w:equalWidth="0" w:num="1">
            <w:col w:w="11240"/>
          </w:cols>
          <w:pgMar w:left="320" w:top="1417" w:right="339" w:bottom="1440" w:gutter="0" w:footer="0" w:header="0"/>
        </w:sectPr>
      </w:pPr>
    </w:p>
    <w:bookmarkStart w:id="127" w:name="page128"/>
    <w:bookmarkEnd w:id="1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Requirements</w:t>
      </w:r>
      <w:r>
        <w:rPr>
          <w:rFonts w:ascii="Times New Roman" w:cs="Times New Roman" w:eastAsia="Times New Roman" w:hAnsi="Times New Roman"/>
          <w:sz w:val="18"/>
          <w:szCs w:val="18"/>
          <w:color w:val="auto"/>
        </w:rPr>
        <w:t>” means prior written notice to MSCI of at least:</w:t>
      </w:r>
    </w:p>
    <w:p>
      <w:pPr>
        <w:spacing w:after="0" w:line="229" w:lineRule="exact"/>
        <w:rPr>
          <w:sz w:val="20"/>
          <w:szCs w:val="20"/>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if you are a member of the MSCI Executive Committee (or a successor or equivalent committee) at the time of notice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if you are a Managing Director of the Company (or equivalent title) at the time of notice of resignation;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if you are an Executive Director of the Company (or equivalent title) at the time of notice of resignation;</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if you are a Vice President of the Company (or equivalent title) at the time of notice of resignation;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days for all other employees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Eligible Participant</w:t>
      </w:r>
      <w:r>
        <w:rPr>
          <w:rFonts w:ascii="Times New Roman" w:cs="Times New Roman" w:eastAsia="Times New Roman" w:hAnsi="Times New Roman"/>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Termination</w:t>
      </w:r>
      <w:r>
        <w:rPr>
          <w:rFonts w:ascii="Times New Roman" w:cs="Times New Roman" w:eastAsia="Times New Roman" w:hAnsi="Times New Roman"/>
          <w:sz w:val="18"/>
          <w:szCs w:val="18"/>
          <w:color w:val="auto"/>
        </w:rPr>
        <w:t>” means a Legacy Retirement Termination, a 55/10 Retirement Termination or a 62/10 Retirement Termination,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A-15</w:t>
      </w:r>
    </w:p>
    <w:p>
      <w:pPr>
        <w:sectPr>
          <w:pgSz w:w="11900" w:h="16838" w:orient="portrait"/>
          <w:cols w:equalWidth="0" w:num="1">
            <w:col w:w="11240"/>
          </w:cols>
          <w:pgMar w:left="320" w:top="14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APPENDIX 1</w:t>
      </w:r>
    </w:p>
    <w:p>
      <w:pPr>
        <w:spacing w:after="0" w:line="23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MODIFIER</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Appendix 1-1</w:t>
      </w:r>
    </w:p>
    <w:p>
      <w:pPr>
        <w:sectPr>
          <w:pgSz w:w="11900" w:h="16838" w:orient="portrait"/>
          <w:cols w:equalWidth="0" w:num="1">
            <w:col w:w="10120"/>
          </w:cols>
          <w:pgMar w:left="1440" w:top="1409" w:right="339" w:bottom="1440" w:gutter="0" w:footer="0" w:header="0"/>
        </w:sectPr>
      </w:pPr>
    </w:p>
    <w:bookmarkStart w:id="129" w:name="page130"/>
    <w:bookmarkEnd w:id="12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All Participants are subject to the provisions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may be applicable to them pursuant to the Award Agreement. Capitalized terms</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used and not otherwise defined herein shall have the meanings ascribed to them in the Award Agreement.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subject to any additional terms and conditions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Confidential Information; Assignment of Inventions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prohibit you from disclosing Confidential Information if such disclosure is required by law, governmental process or valid legal process.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232" w:lineRule="exact"/>
        <w:rPr>
          <w:rFonts w:ascii="Times New Roman" w:cs="Times New Roman" w:eastAsia="Times New Roman" w:hAnsi="Times New Roman"/>
          <w:sz w:val="18"/>
          <w:szCs w:val="18"/>
          <w:color w:val="auto"/>
        </w:rPr>
      </w:pPr>
    </w:p>
    <w:p>
      <w:pPr>
        <w:jc w:val="both"/>
        <w:ind w:firstLine="1304"/>
        <w:spacing w:after="0" w:line="244" w:lineRule="auto"/>
        <w:tabs>
          <w:tab w:leader="none" w:pos="17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21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Without limiting the generality of the foregoing, nothing in this Award Agreement (including with respect to confidential</w:t>
      </w:r>
    </w:p>
    <w:p>
      <w:pPr>
        <w:spacing w:after="0" w:line="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information, trade secrets, and other obligations) precludes or otherwise limits your ability to </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 xml:space="preserve">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any other federal, state or local governmental agency or commission (“</w:t>
      </w:r>
      <w:r>
        <w:rPr>
          <w:rFonts w:ascii="Times New Roman" w:cs="Times New Roman" w:eastAsia="Times New Roman" w:hAnsi="Times New Roman"/>
          <w:sz w:val="18"/>
          <w:szCs w:val="18"/>
          <w:b w:val="1"/>
          <w:bCs w:val="1"/>
          <w:color w:val="auto"/>
        </w:rPr>
        <w:t>Government Agency</w:t>
      </w:r>
      <w:r>
        <w:rPr>
          <w:rFonts w:ascii="Times New Roman" w:cs="Times New Roman" w:eastAsia="Times New Roman" w:hAnsi="Times New Roman"/>
          <w:sz w:val="18"/>
          <w:szCs w:val="18"/>
          <w:color w:val="auto"/>
        </w:rPr>
        <w:t>”) or self-regulatory organization regarding possible legal</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violations, without disclosure to the Company, or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disclose information which is required to be disclosed by applicable law, regulation, or order or requirement (including without limitation, by deposition, interrogatory, requests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color w:val="auto"/>
        </w:rPr>
        <w:t>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 requires you to waive any monetary award or other payment that you might become entitled to from the SEC or any other Government Agency.</w:t>
      </w:r>
    </w:p>
    <w:p>
      <w:pPr>
        <w:spacing w:after="0" w:line="224" w:lineRule="exact"/>
        <w:rPr>
          <w:sz w:val="20"/>
          <w:szCs w:val="20"/>
          <w:color w:val="auto"/>
        </w:rPr>
      </w:pPr>
    </w:p>
    <w:p>
      <w:pPr>
        <w:jc w:val="both"/>
        <w:ind w:firstLine="1304"/>
        <w:spacing w:after="0" w:line="234" w:lineRule="auto"/>
        <w:tabs>
          <w:tab w:leader="none" w:pos="181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w:t>
      </w:r>
    </w:p>
    <w:p>
      <w:pPr>
        <w:spacing w:after="0" w:line="1" w:lineRule="exact"/>
        <w:rPr>
          <w:rFonts w:ascii="Times New Roman" w:cs="Times New Roman" w:eastAsia="Times New Roman" w:hAnsi="Times New Roman"/>
          <w:sz w:val="22"/>
          <w:szCs w:val="22"/>
          <w:color w:val="auto"/>
        </w:rPr>
      </w:pPr>
    </w:p>
    <w:p>
      <w:pPr>
        <w:jc w:val="both"/>
        <w:ind w:firstLine="8"/>
        <w:spacing w:after="0" w:line="254" w:lineRule="auto"/>
        <w:tabs>
          <w:tab w:leader="none" w:pos="25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is made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 xml:space="preserve"> in confidence to a federal, State, or local government official, either directly or indirectly, or to an attorney and </w:t>
      </w:r>
      <w:r>
        <w:rPr>
          <w:rFonts w:ascii="Times New Roman" w:cs="Times New Roman" w:eastAsia="Times New Roman" w:hAnsi="Times New Roman"/>
          <w:sz w:val="21"/>
          <w:szCs w:val="21"/>
          <w:color w:val="auto"/>
        </w:rPr>
        <w:t>(B)</w:t>
      </w:r>
      <w:r>
        <w:rPr>
          <w:rFonts w:ascii="Times New Roman" w:cs="Times New Roman" w:eastAsia="Times New Roman" w:hAnsi="Times New Roman"/>
          <w:sz w:val="18"/>
          <w:szCs w:val="18"/>
          <w:color w:val="auto"/>
        </w:rPr>
        <w:t xml:space="preserve"> solely for the purpose of reporting or investigating a suspected violation of law; or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8"/>
          <w:szCs w:val="18"/>
          <w:b w:val="1"/>
          <w:bCs w:val="1"/>
          <w:color w:val="auto"/>
        </w:rPr>
        <w:t>Non-Compete Restricted Period</w:t>
      </w:r>
      <w:r>
        <w:rPr>
          <w:rFonts w:ascii="Times New Roman" w:cs="Times New Roman" w:eastAsia="Times New Roman" w:hAnsi="Times New Roman"/>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Non-Solicit and No-Hire</w:t>
      </w:r>
      <w:r>
        <w:rPr>
          <w:rFonts w:ascii="Times New Roman" w:cs="Times New Roman" w:eastAsia="Times New Roman" w:hAnsi="Times New Roman"/>
          <w:sz w:val="18"/>
          <w:szCs w:val="18"/>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8"/>
          <w:szCs w:val="18"/>
          <w:b w:val="1"/>
          <w:bCs w:val="1"/>
          <w:color w:val="auto"/>
        </w:rPr>
        <w:t>Non-Solicit Restricted Period</w:t>
      </w:r>
      <w:r>
        <w:rPr>
          <w:rFonts w:ascii="Times New Roman" w:cs="Times New Roman" w:eastAsia="Times New Roman" w:hAnsi="Times New Roman"/>
          <w:sz w:val="18"/>
          <w:szCs w:val="18"/>
          <w:color w:val="auto"/>
        </w:rPr>
        <w:t>”), you shall not, directly or indirectly,</w:t>
      </w:r>
    </w:p>
    <w:p>
      <w:pPr>
        <w:jc w:val="both"/>
        <w:ind w:firstLine="8"/>
        <w:spacing w:after="0" w:line="250" w:lineRule="auto"/>
        <w:tabs>
          <w:tab w:leader="none" w:pos="2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employee of the Company to terminate his or her employment with the Company, (b) hire or otherwise engage any employee of the Company prior to the date on which such person has not been employed by the Company or any of its Subsidiaries for a period of at least one year or</w:t>
      </w:r>
    </w:p>
    <w:p>
      <w:pPr>
        <w:jc w:val="both"/>
        <w:ind w:firstLine="8"/>
        <w:spacing w:after="0" w:line="255" w:lineRule="auto"/>
        <w:tabs>
          <w:tab w:leader="none" w:pos="2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Subject to your rights pursuant to Sections 1(e) and 1(f) above,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 xml:space="preserve">. You acknowledge that the terms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ectPr>
          <w:pgSz w:w="11900" w:h="16838" w:orient="portrait"/>
          <w:cols w:equalWidth="0" w:num="1">
            <w:col w:w="11240"/>
          </w:cols>
          <w:pgMar w:left="320" w:top="1417"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u w:val="single" w:color="auto"/>
          <w:color w:val="auto"/>
        </w:rPr>
        <w:t xml:space="preserve"> Exhibit B </w:t>
      </w:r>
      <w:r>
        <w:rPr>
          <w:rFonts w:ascii="Times New Roman" w:cs="Times New Roman" w:eastAsia="Times New Roman" w:hAnsi="Times New Roman"/>
          <w:sz w:val="17"/>
          <w:szCs w:val="17"/>
          <w:color w:val="auto"/>
        </w:rPr>
        <w:t>and the Award Agreement, the following terms shall have the following meanings:</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person, entity or business that is engaged in, or that owns a significant equity, voting, financial or other interest in an entity that is engaged in, one or more Competing Businesses.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means any business or activity that competes with the MSCI Business or is reasonably anticipated to compete with the MSCI Business.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 Information shall in no event include (x) any Confidential Information which was generally available to the public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ectPr>
          <w:pgSz w:w="11900" w:h="16838" w:orient="portrait"/>
          <w:cols w:equalWidth="0" w:num="1">
            <w:col w:w="11240"/>
          </w:cols>
          <w:pgMar w:left="320" w:top="1417" w:right="339" w:bottom="1440" w:gutter="0" w:footer="0" w:header="0"/>
        </w:sectPr>
      </w:pPr>
    </w:p>
    <w:bookmarkStart w:id="132" w:name="page133"/>
    <w:bookmarkEnd w:id="132"/>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MSCI Business</w:t>
      </w:r>
      <w:r>
        <w:rPr>
          <w:rFonts w:ascii="Times New Roman" w:cs="Times New Roman" w:eastAsia="Times New Roman" w:hAnsi="Times New Roman"/>
          <w:sz w:val="18"/>
          <w:szCs w:val="18"/>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Services</w:t>
      </w:r>
      <w:r>
        <w:rPr>
          <w:rFonts w:ascii="Times New Roman" w:cs="Times New Roman" w:eastAsia="Times New Roman" w:hAnsi="Times New Roman"/>
          <w:sz w:val="18"/>
          <w:szCs w:val="18"/>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B-4</w:t>
      </w:r>
    </w:p>
    <w:p>
      <w:pPr>
        <w:sectPr>
          <w:pgSz w:w="11900" w:h="16838" w:orient="portrait"/>
          <w:cols w:equalWidth="0" w:num="1">
            <w:col w:w="11240"/>
          </w:cols>
          <w:pgMar w:left="320" w:top="141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JURISDICTION-SPECIFIC TERMS AND CONDITIONS</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C-1</w:t>
      </w:r>
    </w:p>
    <w:p>
      <w:pPr>
        <w:sectPr>
          <w:pgSz w:w="11900" w:h="16838" w:orient="portrait"/>
          <w:cols w:equalWidth="0" w:num="1">
            <w:col w:w="10120"/>
          </w:cols>
          <w:pgMar w:left="1440" w:top="1413"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2026 ANNUAL PERFORMANCE AWARD AGREEMENT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PERFORMANCE STOCK 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MANAGING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MSCI INC. 2025 OMNIBUS INCENTIVE PLAN</w:t>
      </w: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7"/>
          <w:szCs w:val="17"/>
          <w:color w:val="auto"/>
        </w:rPr>
        <w:t>MSCI Inc. (“</w:t>
      </w:r>
      <w:r>
        <w:rPr>
          <w:rFonts w:ascii="Times New Roman" w:cs="Times New Roman" w:eastAsia="Times New Roman" w:hAnsi="Times New Roman"/>
          <w:sz w:val="17"/>
          <w:szCs w:val="17"/>
          <w:b w:val="1"/>
          <w:bCs w:val="1"/>
          <w:color w:val="auto"/>
        </w:rPr>
        <w:t>MSCI</w:t>
      </w:r>
      <w:r>
        <w:rPr>
          <w:rFonts w:ascii="Times New Roman" w:cs="Times New Roman" w:eastAsia="Times New Roman" w:hAnsi="Times New Roman"/>
          <w:sz w:val="17"/>
          <w:szCs w:val="17"/>
          <w:color w:val="auto"/>
        </w:rPr>
        <w:t>,” and together with its Subsidiaries,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grants to you Performance Stock Units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as described below. This Award is being granted under the MSCI Inc. 2025 Omnibus Incentive Plan (as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29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[Name]</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PSUs Granted:</w:t>
            </w:r>
          </w:p>
        </w:tc>
        <w:tc>
          <w:tcPr>
            <w:tcW w:w="29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8"/>
              </w:rPr>
              <w:t>[#] PSUs (the “</w:t>
            </w:r>
            <w:r>
              <w:rPr>
                <w:rFonts w:ascii="Times New Roman" w:cs="Times New Roman" w:eastAsia="Times New Roman" w:hAnsi="Times New Roman"/>
                <w:sz w:val="17"/>
                <w:szCs w:val="17"/>
                <w:b w:val="1"/>
                <w:bCs w:val="1"/>
                <w:color w:val="auto"/>
                <w:w w:val="98"/>
              </w:rPr>
              <w:t>Target PSUs</w:t>
            </w:r>
            <w:r>
              <w:rPr>
                <w:rFonts w:ascii="Times New Roman" w:cs="Times New Roman" w:eastAsia="Times New Roman" w:hAnsi="Times New Roman"/>
                <w:sz w:val="17"/>
                <w:szCs w:val="17"/>
                <w:color w:val="auto"/>
                <w:w w:val="98"/>
              </w:rPr>
              <w:t>”)</w:t>
            </w:r>
          </w:p>
        </w:tc>
      </w:tr>
      <w:tr>
        <w:trPr>
          <w:trHeight w:val="233"/>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2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Performance Period:</w:t>
            </w:r>
          </w:p>
        </w:tc>
        <w:tc>
          <w:tcPr>
            <w:tcW w:w="2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Schedule:</w:t>
            </w:r>
          </w:p>
        </w:tc>
        <w:tc>
          <w:tcPr>
            <w:tcW w:w="2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2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Post-Vest Holding Period:</w:t>
            </w:r>
          </w:p>
        </w:tc>
        <w:tc>
          <w:tcPr>
            <w:tcW w:w="2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PSUs may be subject to forfeiture or recoupment upon your Termination of Service or your failure to affirmatively accept the terms of this Award</w:t>
      </w:r>
    </w:p>
    <w:p>
      <w:pPr>
        <w:spacing w:after="0" w:line="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Agreement by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or to comply with the Notice Requirements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as set forth in the Plan and this Performance Stock Unit Award Agreement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agree that this Award is governed by the terms and conditions of the Plan and this Award Agreement. You also agree that, to the extent you are or become covered by such policies, the PSUs granted to you pursuant to this Award Agreement and any Shares issued in settlement or satisfaction thereof shall be subject to (i) the MSCI Inc. Financial Statement Compensation Recoupment Policy and/or the MSCI Inc. Executive Committee Compensation Recoupment Policy, as applicable, and any other clawback policy adopted by the Company (collectively, the “</w:t>
      </w:r>
      <w:r>
        <w:rPr>
          <w:rFonts w:ascii="Times New Roman" w:cs="Times New Roman" w:eastAsia="Times New Roman" w:hAnsi="Times New Roman"/>
          <w:sz w:val="18"/>
          <w:szCs w:val="18"/>
          <w:b w:val="1"/>
          <w:bCs w:val="1"/>
          <w:color w:val="auto"/>
        </w:rPr>
        <w:t>Clawback Policies</w:t>
      </w:r>
      <w:r>
        <w:rPr>
          <w:rFonts w:ascii="Times New Roman" w:cs="Times New Roman" w:eastAsia="Times New Roman" w:hAnsi="Times New Roman"/>
          <w:sz w:val="18"/>
          <w:szCs w:val="18"/>
          <w:color w:val="auto"/>
        </w:rPr>
        <w:t>”) and (ii) any stock ownership guidelines of MSCI (including applicable retention requirements thereunder) (collectively, the “</w:t>
      </w:r>
      <w:r>
        <w:rPr>
          <w:rFonts w:ascii="Times New Roman" w:cs="Times New Roman" w:eastAsia="Times New Roman" w:hAnsi="Times New Roman"/>
          <w:sz w:val="18"/>
          <w:szCs w:val="18"/>
          <w:b w:val="1"/>
          <w:bCs w:val="1"/>
          <w:color w:val="auto"/>
        </w:rPr>
        <w:t>Ownership Guidelines</w:t>
      </w:r>
      <w:r>
        <w:rPr>
          <w:rFonts w:ascii="Times New Roman" w:cs="Times New Roman" w:eastAsia="Times New Roman" w:hAnsi="Times New Roman"/>
          <w:sz w:val="18"/>
          <w:szCs w:val="18"/>
          <w:color w:val="auto"/>
        </w:rPr>
        <w:t>”), in each case, as may be in effect from time to time, the terms of which shall be deemed incorporated herein by reference and made part of this Award Agreement.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MSCI has duly executed and delivered this Award Agreement as of the Grant Date.</w:t>
      </w:r>
    </w:p>
    <w:p>
      <w:pPr>
        <w:spacing w:after="0" w:line="200" w:lineRule="exact"/>
        <w:rPr>
          <w:sz w:val="20"/>
          <w:szCs w:val="20"/>
          <w:color w:val="auto"/>
        </w:rPr>
      </w:pPr>
    </w:p>
    <w:p>
      <w:pPr>
        <w:spacing w:after="0" w:line="31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448310</wp:posOffset>
            </wp:positionV>
            <wp:extent cx="23317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08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2026 ANNUAL PERFORMANCE AWARD AGREEMENT</w:t>
      </w:r>
    </w:p>
    <w:p>
      <w:pPr>
        <w:spacing w:after="0" w:line="21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PSUs Generally</w:t>
      </w:r>
      <w:r>
        <w:rPr>
          <w:rFonts w:ascii="Times New Roman" w:cs="Times New Roman" w:eastAsia="Times New Roman" w:hAnsi="Times New Roman"/>
          <w:sz w:val="18"/>
          <w:szCs w:val="18"/>
          <w:color w:val="auto"/>
        </w:rPr>
        <w:t>. MSCI has awarded you PSUs as an incentive for you to continue to provide services to the Company and to align your interests with those of the Company. As such, you will earn your Adjusted PSUs (as defined below) only if you remain in continuous employment with the Company through the Vesting Date, or as otherwise set forth below. Each PSU corresponds to one share of MSCI common stock, par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value $0.01 per share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Each PSU constitutes a contingent and unsecured promise by MSCI to deliver one Share on the conversion date for such PSU.</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Performance Adjustment, Vesting and Conversion Schedule and HSR Act</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850"/>
        <w:spacing w:after="0" w:line="220" w:lineRule="auto"/>
        <w:tabs>
          <w:tab w:leader="none" w:pos="140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Adjustment. </w:t>
      </w:r>
      <w:r>
        <w:rPr>
          <w:rFonts w:ascii="Times New Roman" w:cs="Times New Roman" w:eastAsia="Times New Roman" w:hAnsi="Times New Roman"/>
          <w:sz w:val="18"/>
          <w:szCs w:val="18"/>
          <w:color w:val="auto"/>
        </w:rPr>
        <w:t>The number of Target PSUs awarded under this Award Agreement shall be adjusted, within a range of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 of the number of Target PSUs, after the end of the Performance Period based on the achievement of the [●] performance metric set forth in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Performance Metric</w:t>
      </w:r>
      <w:r>
        <w:rPr>
          <w:rFonts w:ascii="Times New Roman" w:cs="Times New Roman" w:eastAsia="Times New Roman" w:hAnsi="Times New Roman"/>
          <w:sz w:val="18"/>
          <w:szCs w:val="18"/>
          <w:color w:val="auto"/>
        </w:rPr>
        <w:t>”). Following the end of the Performance Period, management of MSCI shall provide its calculation of the Performance Metric to the Committee. The Committee will review the extent of the achievement of the Performance Metric and shall certify in writing such achievement.</w:t>
      </w:r>
    </w:p>
    <w:p>
      <w:pPr>
        <w:spacing w:after="0" w:line="170" w:lineRule="exact"/>
        <w:rPr>
          <w:sz w:val="20"/>
          <w:szCs w:val="20"/>
          <w:color w:val="auto"/>
        </w:rPr>
      </w:pPr>
    </w:p>
    <w:p>
      <w:pPr>
        <w:ind w:firstLine="179"/>
        <w:spacing w:after="0" w:line="286" w:lineRule="auto"/>
        <w:rPr>
          <w:sz w:val="20"/>
          <w:szCs w:val="20"/>
          <w:color w:val="auto"/>
        </w:rPr>
      </w:pPr>
      <w:r>
        <w:rPr>
          <w:rFonts w:ascii="Times New Roman" w:cs="Times New Roman" w:eastAsia="Times New Roman" w:hAnsi="Times New Roman"/>
          <w:sz w:val="18"/>
          <w:szCs w:val="18"/>
          <w:color w:val="auto"/>
        </w:rPr>
        <w:t>The number of PSUs that will be converted into Shares pursuant to Section 2(b), Section 4 or Section 5 (the “</w:t>
      </w:r>
      <w:r>
        <w:rPr>
          <w:rFonts w:ascii="Times New Roman" w:cs="Times New Roman" w:eastAsia="Times New Roman" w:hAnsi="Times New Roman"/>
          <w:sz w:val="18"/>
          <w:szCs w:val="18"/>
          <w:b w:val="1"/>
          <w:bCs w:val="1"/>
          <w:color w:val="auto"/>
        </w:rPr>
        <w:t>Adjusted PSUs</w:t>
      </w:r>
      <w:r>
        <w:rPr>
          <w:rFonts w:ascii="Times New Roman" w:cs="Times New Roman" w:eastAsia="Times New Roman" w:hAnsi="Times New Roman"/>
          <w:sz w:val="18"/>
          <w:szCs w:val="18"/>
          <w:color w:val="auto"/>
        </w:rPr>
        <w:t>”) will be determined based on the following formula on a date no later than [●] (such date, the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Target PSUs</w:t>
            </w: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32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Adjustment Percentage</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140"/>
        </w:trPr>
        <w:tc>
          <w:tcPr>
            <w:tcW w:w="13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32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(as defined in Appendix 1)</w:t>
            </w:r>
          </w:p>
        </w:tc>
        <w:tc>
          <w:tcPr>
            <w:tcW w:w="1380" w:type="dxa"/>
            <w:vAlign w:val="bottom"/>
            <w:vMerge w:val="continue"/>
          </w:tcPr>
          <w:p>
            <w:pPr>
              <w:spacing w:after="0"/>
              <w:rPr>
                <w:sz w:val="12"/>
                <w:szCs w:val="12"/>
                <w:color w:val="auto"/>
              </w:rPr>
            </w:pPr>
          </w:p>
        </w:tc>
        <w:tc>
          <w:tcPr>
            <w:tcW w:w="1700" w:type="dxa"/>
            <w:vAlign w:val="bottom"/>
            <w:vMerge w:val="restart"/>
          </w:tcPr>
          <w:p>
            <w:pPr>
              <w:jc w:val="center"/>
              <w:ind w:left="510"/>
              <w:spacing w:after="0"/>
              <w:rPr>
                <w:sz w:val="20"/>
                <w:szCs w:val="20"/>
                <w:color w:val="auto"/>
              </w:rPr>
            </w:pPr>
            <w:r>
              <w:rPr>
                <w:rFonts w:ascii="Times New Roman" w:cs="Times New Roman" w:eastAsia="Times New Roman" w:hAnsi="Times New Roman"/>
                <w:sz w:val="18"/>
                <w:szCs w:val="18"/>
                <w:color w:val="auto"/>
              </w:rPr>
              <w:t>Adjusted PSUs</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ind w:firstLine="850"/>
        <w:spacing w:after="0" w:line="225" w:lineRule="auto"/>
        <w:tabs>
          <w:tab w:leader="none" w:pos="14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Conversion</w:t>
      </w:r>
      <w:r>
        <w:rPr>
          <w:rFonts w:ascii="Times New Roman" w:cs="Times New Roman" w:eastAsia="Times New Roman" w:hAnsi="Times New Roman"/>
          <w:sz w:val="18"/>
          <w:szCs w:val="18"/>
          <w:color w:val="auto"/>
        </w:rPr>
        <w:t>. The Target PSUs will vest (as to service) on [●]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subject to adjustment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Section 2(a);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4 and Section 5, you continue to be employed by the Company on the Vesting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you have complied with all applicable provisions of the HSR Act. Vested Adjusted PSUs shall convert into Shares no earlier than [●], and no later than the Adjustment Date.</w:t>
      </w:r>
    </w:p>
    <w:p>
      <w:pPr>
        <w:spacing w:after="0" w:line="157" w:lineRule="exact"/>
        <w:rPr>
          <w:rFonts w:ascii="Times New Roman" w:cs="Times New Roman" w:eastAsia="Times New Roman" w:hAnsi="Times New Roman"/>
          <w:sz w:val="18"/>
          <w:szCs w:val="18"/>
          <w:color w:val="auto"/>
        </w:rPr>
      </w:pPr>
    </w:p>
    <w:p>
      <w:pPr>
        <w:jc w:val="both"/>
        <w:ind w:firstLine="850"/>
        <w:spacing w:after="0" w:line="232" w:lineRule="auto"/>
        <w:tabs>
          <w:tab w:leader="none" w:pos="14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If Adjusted PSUs would have converted pursuant to this Section 2, Section 4 or Section 5(b), but did not convert solely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you were not in compliance with all applicable provisions of the HSR Act, subject to Section 409A, the conversion date for such Adjusted PSUs shall occur on the first date following the date on which you have complied with all applicable provisions of the HSR Act.</w:t>
      </w:r>
    </w:p>
    <w:p>
      <w:pPr>
        <w:spacing w:after="0" w:line="155" w:lineRule="exact"/>
        <w:rPr>
          <w:rFonts w:ascii="Times New Roman" w:cs="Times New Roman" w:eastAsia="Times New Roman" w:hAnsi="Times New Roman"/>
          <w:sz w:val="18"/>
          <w:szCs w:val="18"/>
          <w:color w:val="auto"/>
        </w:rPr>
      </w:pPr>
    </w:p>
    <w:p>
      <w:pPr>
        <w:ind w:right="20" w:firstLine="850"/>
        <w:spacing w:after="0" w:line="216" w:lineRule="auto"/>
        <w:tabs>
          <w:tab w:leader="none" w:pos="140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Post-Vest Holding Period. </w:t>
      </w:r>
      <w:r>
        <w:rPr>
          <w:rFonts w:ascii="Times New Roman" w:cs="Times New Roman" w:eastAsia="Times New Roman" w:hAnsi="Times New Roman"/>
          <w:sz w:val="18"/>
          <w:szCs w:val="18"/>
          <w:color w:val="auto"/>
        </w:rPr>
        <w:t>All Shares issued upon the conversion of the Adjusted PSUs pursuant to this Section 2 shall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Post-Vest Holding Period. During the Post-Vest Holding Period, such Shares (and your rights with respect to such Shares) may not be Transferred. Notwithstanding the foregoing, the Post-Vest Holding Period shall not apply with respect to any Shares (i) required to be withheld or tendered in satisfaction of any tax withholding obligations pursuant to Section 8, (ii) sold to satisfy tax obligations (assuming a tax rate of 50%) that are not met, in whole or in part, by MSCI withholding Shares pursuant to Section 8, if you are subject to tax rules or regulations that do not permit or limit tax withholding upon the conversion of the Adjusted PSUs pursuant to this Section 2, as may be permitted by the Committee in its sole discretion from time to time or (iii) transferred by you for estate planning purposes to any trust or other estate planning vehicle established and controlled by you, as may be permitted by the Committee in its sole discretion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trust or other estate planning vehicle shall remain subject to the terms and conditions of this Award Agreement, including the Post-Vest Holding Period).</w:t>
      </w:r>
    </w:p>
    <w:p>
      <w:pPr>
        <w:spacing w:after="0" w:line="159" w:lineRule="exact"/>
        <w:rPr>
          <w:rFonts w:ascii="Times New Roman" w:cs="Times New Roman" w:eastAsia="Times New Roman" w:hAnsi="Times New Roman"/>
          <w:sz w:val="18"/>
          <w:szCs w:val="18"/>
          <w:color w:val="auto"/>
        </w:rPr>
      </w:pPr>
    </w:p>
    <w:p>
      <w:pPr>
        <w:ind w:right="40" w:firstLine="850"/>
        <w:spacing w:after="0" w:line="220" w:lineRule="auto"/>
        <w:tabs>
          <w:tab w:leader="none" w:pos="14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Guidelines and Retention Requirements</w:t>
      </w:r>
      <w:r>
        <w:rPr>
          <w:rFonts w:ascii="Times New Roman" w:cs="Times New Roman" w:eastAsia="Times New Roman" w:hAnsi="Times New Roman"/>
          <w:sz w:val="18"/>
          <w:szCs w:val="18"/>
          <w:color w:val="auto"/>
        </w:rPr>
        <w:t>. In addition to the Post-Vest Holding Period set forth in Section 2(d) above,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that you are subject to the Ownership Guidelines as of the Grant Date, the Shares (or any applicable portion thereof) issuable to you upon the conversion of the Adjusted PSUs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9" w:right="339" w:bottom="1440" w:gutter="0" w:footer="0" w:header="0"/>
        </w:sectPr>
      </w:pPr>
    </w:p>
    <w:bookmarkStart w:id="136" w:name="page137"/>
    <w:bookmarkEnd w:id="136"/>
    <w:p>
      <w:pPr>
        <w:jc w:val="both"/>
        <w:ind w:right="180"/>
        <w:spacing w:after="0" w:line="222" w:lineRule="auto"/>
        <w:rPr>
          <w:sz w:val="20"/>
          <w:szCs w:val="20"/>
          <w:color w:val="auto"/>
        </w:rPr>
      </w:pPr>
      <w:r>
        <w:rPr>
          <w:rFonts w:ascii="Times New Roman" w:cs="Times New Roman" w:eastAsia="Times New Roman" w:hAnsi="Times New Roman"/>
          <w:sz w:val="18"/>
          <w:szCs w:val="18"/>
          <w:color w:val="auto"/>
        </w:rPr>
        <w:t>foregoing, to the extent you are as of the Grant Date, or become following the Grant Date, subject to the Ownership Guidelines, you agree and acknowledge that the Shares issuable to you upon the conversion of the Adjusted PSUs shall be subject to the other terms and conditions (including other</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2(e).</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Until your PSUs convert into Shares, if MSCI pays a dividend on Shares, you will be credited with a dividend equivalent payment in the same amount as the dividend you would have received if you held Shares for your vested and unvested PSUs immediately prior to the record date (taking into account any adjustments pursuant to Section 2(a) and adjustments provided under the Plan). Assuming you</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hold PSUs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PSUs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20, the dividend equivalents may be paid following the scheduled conversion date on the next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administratively practicable payroll date). No dividend equivalents will be paid to you with respect to any canceled or forfeited PSUs. MSCI will decide on the form of payment and may pay dividend equivalents in Shares, in cash or in a combination thereof, unless otherwise provided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Subject to the terms of this Award Agreement (including, without limitation, Sections 5, 6 and 7, upon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your Termination of Service with the Company prior to the Vesting Date pursuant to this Section 4, the following special vesting and payment terms will apply to your unvested PSUs:</w:t>
      </w:r>
    </w:p>
    <w:p>
      <w:pPr>
        <w:spacing w:after="0" w:line="155" w:lineRule="exact"/>
        <w:rPr>
          <w:sz w:val="20"/>
          <w:szCs w:val="20"/>
          <w:color w:val="auto"/>
        </w:rPr>
      </w:pPr>
    </w:p>
    <w:p>
      <w:pPr>
        <w:jc w:val="both"/>
        <w:ind w:firstLine="850"/>
        <w:spacing w:after="0" w:line="225" w:lineRule="auto"/>
        <w:tabs>
          <w:tab w:leader="none" w:pos="14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Due to Death or Disability</w:t>
      </w:r>
      <w:r>
        <w:rPr>
          <w:rFonts w:ascii="Times New Roman" w:cs="Times New Roman" w:eastAsia="Times New Roman" w:hAnsi="Times New Roman"/>
          <w:sz w:val="18"/>
          <w:szCs w:val="18"/>
          <w:color w:val="auto"/>
        </w:rPr>
        <w:t>. In the event of your Termination of Service due to death or Disability, in each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Vesting Date, your Adjusted PSUs will vest and convert into Shares on the Adjustment Date (even though you are not employed by the Company on the Vesting Date). Upon your Termination of Service due to death, the Adjusted PSUs shall be delivered in accordance with Section 10 and shall not be subject to the Post-Vest Holding Period.</w:t>
      </w:r>
    </w:p>
    <w:p>
      <w:pPr>
        <w:spacing w:after="0" w:line="168"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of Service by the Company.</w:t>
      </w:r>
    </w:p>
    <w:p>
      <w:pPr>
        <w:spacing w:after="0" w:line="184" w:lineRule="exact"/>
        <w:rPr>
          <w:rFonts w:ascii="Times New Roman" w:cs="Times New Roman" w:eastAsia="Times New Roman" w:hAnsi="Times New Roman"/>
          <w:sz w:val="18"/>
          <w:szCs w:val="18"/>
          <w:color w:val="auto"/>
        </w:rPr>
      </w:pPr>
    </w:p>
    <w:p>
      <w:pPr>
        <w:jc w:val="both"/>
        <w:ind w:left="660" w:firstLine="968"/>
        <w:spacing w:after="0" w:line="214" w:lineRule="auto"/>
        <w:tabs>
          <w:tab w:leader="none" w:pos="19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 to 62/10 Retirement Eligibility</w:t>
      </w:r>
      <w:r>
        <w:rPr>
          <w:rFonts w:ascii="Times New Roman" w:cs="Times New Roman" w:eastAsia="Times New Roman" w:hAnsi="Times New Roman"/>
          <w:sz w:val="18"/>
          <w:szCs w:val="18"/>
          <w:color w:val="auto"/>
        </w:rPr>
        <w:t>. In the event of your involuntary Termination of Service by the Company without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within 60 days following the date of your Termination of Service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you will be entitled to receive a pro-rated portion of your Target PSUs equal to the product of (i) the total number of Target PSUs multiplied by (ii) the quotient of (A) the total number of days you were employed by the Company during the Performance Period, inclusive of the Grant Date and the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days during the Performance Period, inclusive of the Grant Date and the last day in the Performance Period. Such pro-rated Target PSUs (rounded up to the nearest whole number for this purpose) will vest and convert into Shares on the Adjustment Date in accordance with Section 2 and shall not be subject to the Post-Vest Holding Period. All other PSUs that do not vest and convert into Shares in accordance with this Section 4(b) shall be forfeited in their entirety. Notwithstanding anything to the contrary herein, in the event of your Termination of Service as described in this Section 4(b)(i), pursuant to Section 6, you may still be bound by, and must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w:t>
      </w:r>
    </w:p>
    <w:p>
      <w:pPr>
        <w:spacing w:after="0" w:line="170" w:lineRule="exact"/>
        <w:rPr>
          <w:rFonts w:ascii="Times New Roman" w:cs="Times New Roman" w:eastAsia="Times New Roman" w:hAnsi="Times New Roman"/>
          <w:sz w:val="18"/>
          <w:szCs w:val="18"/>
          <w:color w:val="auto"/>
        </w:rPr>
      </w:pPr>
    </w:p>
    <w:p>
      <w:pPr>
        <w:jc w:val="both"/>
        <w:ind w:left="660" w:firstLine="968"/>
        <w:spacing w:after="0" w:line="217" w:lineRule="auto"/>
        <w:tabs>
          <w:tab w:leader="none" w:pos="19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Following 62/10 Retirement Eligibility</w:t>
      </w:r>
      <w:r>
        <w:rPr>
          <w:rFonts w:ascii="Times New Roman" w:cs="Times New Roman" w:eastAsia="Times New Roman" w:hAnsi="Times New Roman"/>
          <w:sz w:val="18"/>
          <w:szCs w:val="18"/>
          <w:color w:val="auto"/>
        </w:rPr>
        <w:t>. In the event of your involuntary Termination of Service by the Company without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following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within 60 days following the Termination Date, your Adjusted PSUs will vest and convert into Shares on the Adjustment Date in accordance with Section 2 and shall not be subject to the Post-Vest Holding Period. Notwithstanding anything to the contrary herein, in the event of your Termination of Service as described in this Section 4(b) (ii), pursuant to Section 6, you may still be bound by, and must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04" w:right="339" w:bottom="1440" w:gutter="0" w:footer="0" w:header="0"/>
        </w:sectPr>
      </w:pPr>
    </w:p>
    <w:bookmarkStart w:id="137" w:name="page138"/>
    <w:bookmarkEnd w:id="137"/>
    <w:p>
      <w:pPr>
        <w:jc w:val="both"/>
        <w:ind w:firstLine="850"/>
        <w:spacing w:after="0" w:line="225" w:lineRule="auto"/>
        <w:tabs>
          <w:tab w:leader="none" w:pos="140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Terminations. </w:t>
      </w:r>
      <w:r>
        <w:rPr>
          <w:rFonts w:ascii="Times New Roman" w:cs="Times New Roman" w:eastAsia="Times New Roman" w:hAnsi="Times New Roman"/>
          <w:sz w:val="18"/>
          <w:szCs w:val="18"/>
          <w:color w:val="auto"/>
        </w:rPr>
        <w:t>In the event of your applicable Retirement Termination, your Target PSUs shall be eligible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you are in compliance with the Notice Requirements and all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within 60 days following the Termination Date.</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95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your Legacy Retirement Termination or 55/10 Retirement Termination, you will be entitled to receive a pro-rated portion of your Target PSUs equal to the product of (i) the total number of Target PSUs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quotient of (A) the total number of days you were employed by the Company during the Performance Period, inclusive of the Grant Date and the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 number of days during the Performance Period, inclusive of the Grant Date and the last day in the Performance Period. Such pro-rated Target PSUs (rounded up to the nearest whole number for this purpose) will vest and convert into Shares on the Adjustment Date in accordance with Section 2 and shall not be subject to the Post-Vest Holding Period. All other PSUs that do not vest and convert into Shares in accordance with this Section 4(c)(i) shall be forfeited in their entirety.</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94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62/10 Retirement Termination, your Target PSUs will vest and convert into Shares in accordance with Section 2 and shall not be subject to the Post-Vest Holding Period.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of the treatment of your Target PSUs upon your Retirement Termination as set forth in this Section 4(c), you agree to be bound by, and to comply with, all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provides a summary overview of the treatment of your awards upon a Retirement Termination, as set forth in Sections 4(c)(i) and (ii). This summary chart is qualified in its entirety by the terms of Sections 4(c)(i) and (ii). In the event of any inconsistency between the terms of the below chart and Sections 4(c)(i) and (ii), the terms of Sections 4(c)(i) and (ii)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02" w:right="339" w:bottom="1440" w:gutter="0" w:footer="0" w:header="0"/>
        </w:sectPr>
      </w:pPr>
    </w:p>
    <w:bookmarkStart w:id="138" w:name="page139"/>
    <w:bookmarkEnd w:id="1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26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 and Service Requirements</w:t>
            </w:r>
          </w:p>
        </w:tc>
        <w:tc>
          <w:tcPr>
            <w:tcW w:w="308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Date on Which Age and Service</w:t>
            </w:r>
          </w:p>
        </w:tc>
        <w:tc>
          <w:tcPr>
            <w:tcW w:w="4920" w:type="dxa"/>
            <w:vAlign w:val="bottom"/>
            <w:tcBorders>
              <w:top w:val="single" w:sz="8" w:color="auto"/>
              <w:right w:val="single" w:sz="8" w:color="auto"/>
            </w:tcBorders>
            <w:vMerge w:val="restart"/>
            <w:shd w:val="clear" w:color="auto" w:fill="D9D9D9"/>
          </w:tcPr>
          <w:p>
            <w:pPr>
              <w:ind w:left="204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bottom w:val="single" w:sz="8" w:color="auto"/>
              <w:right w:val="single" w:sz="8" w:color="auto"/>
            </w:tcBorders>
            <w:vMerge w:val="continue"/>
            <w:shd w:val="clear" w:color="auto" w:fill="D9D9D9"/>
          </w:tcPr>
          <w:p>
            <w:pPr>
              <w:spacing w:after="0"/>
              <w:rPr>
                <w:sz w:val="21"/>
                <w:szCs w:val="21"/>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Requirements Must be Satisfied</w:t>
            </w:r>
          </w:p>
        </w:tc>
        <w:tc>
          <w:tcPr>
            <w:tcW w:w="4920" w:type="dxa"/>
            <w:vAlign w:val="bottom"/>
            <w:tcBorders>
              <w:bottom w:val="single" w:sz="8" w:color="auto"/>
              <w:right w:val="single" w:sz="8" w:color="auto"/>
            </w:tcBorders>
            <w:vMerge w:val="continue"/>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Legacy Retirement Eligibility</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7, 2019</w:t>
            </w: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“Legacy Retirement</w:t>
            </w:r>
          </w:p>
        </w:tc>
        <w:tc>
          <w:tcPr>
            <w:tcW w:w="30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pro-rated portion of your Target PSUs will vest as follows: the</w:t>
            </w:r>
          </w:p>
        </w:tc>
        <w:tc>
          <w:tcPr>
            <w:tcW w:w="0" w:type="dxa"/>
            <w:vAlign w:val="bottom"/>
          </w:tcPr>
          <w:p>
            <w:pPr>
              <w:spacing w:after="0"/>
              <w:rPr>
                <w:sz w:val="1"/>
                <w:szCs w:val="1"/>
                <w:color w:val="auto"/>
              </w:rPr>
            </w:pPr>
          </w:p>
        </w:tc>
      </w:tr>
      <w:tr>
        <w:trPr>
          <w:trHeight w:val="137"/>
        </w:trPr>
        <w:tc>
          <w:tcPr>
            <w:tcW w:w="3260" w:type="dxa"/>
            <w:vAlign w:val="bottom"/>
            <w:tcBorders>
              <w:left w:val="single" w:sz="8" w:color="auto"/>
              <w:right w:val="single" w:sz="8" w:color="auto"/>
            </w:tcBorders>
            <w:vMerge w:val="continue"/>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product of (i) the total number of Target PSUs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w:t>
            </w:r>
          </w:p>
        </w:tc>
        <w:tc>
          <w:tcPr>
            <w:tcW w:w="0" w:type="dxa"/>
            <w:vAlign w:val="bottom"/>
          </w:tcPr>
          <w:p>
            <w:pPr>
              <w:spacing w:after="0"/>
              <w:rPr>
                <w:sz w:val="1"/>
                <w:szCs w:val="1"/>
                <w:color w:val="auto"/>
              </w:rPr>
            </w:pPr>
          </w:p>
        </w:tc>
      </w:tr>
      <w:tr>
        <w:trPr>
          <w:trHeight w:val="81"/>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260" w:type="dxa"/>
            <w:vAlign w:val="bottom"/>
            <w:tcBorders>
              <w:left w:val="single" w:sz="8" w:color="auto"/>
              <w:right w:val="single" w:sz="8" w:color="auto"/>
            </w:tcBorders>
            <w:vMerge w:val="continue"/>
          </w:tcPr>
          <w:p>
            <w:pPr>
              <w:spacing w:after="0"/>
              <w:rPr>
                <w:sz w:val="13"/>
                <w:szCs w:val="13"/>
                <w:color w:val="auto"/>
              </w:rPr>
            </w:pPr>
          </w:p>
        </w:tc>
        <w:tc>
          <w:tcPr>
            <w:tcW w:w="3080" w:type="dxa"/>
            <w:vAlign w:val="bottom"/>
            <w:tcBorders>
              <w:right w:val="single" w:sz="8" w:color="auto"/>
            </w:tcBorders>
          </w:tcPr>
          <w:p>
            <w:pPr>
              <w:spacing w:after="0"/>
              <w:rPr>
                <w:sz w:val="13"/>
                <w:szCs w:val="13"/>
                <w:color w:val="auto"/>
              </w:rPr>
            </w:pP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quotient of (A) the total number of days you were employed</w:t>
            </w:r>
          </w:p>
        </w:tc>
        <w:tc>
          <w:tcPr>
            <w:tcW w:w="0" w:type="dxa"/>
            <w:vAlign w:val="bottom"/>
          </w:tcPr>
          <w:p>
            <w:pPr>
              <w:spacing w:after="0"/>
              <w:rPr>
                <w:sz w:val="1"/>
                <w:szCs w:val="1"/>
                <w:color w:val="auto"/>
              </w:rPr>
            </w:pPr>
          </w:p>
        </w:tc>
      </w:tr>
      <w:tr>
        <w:trPr>
          <w:trHeight w:val="63"/>
        </w:trPr>
        <w:tc>
          <w:tcPr>
            <w:tcW w:w="3260" w:type="dxa"/>
            <w:vAlign w:val="bottom"/>
            <w:tcBorders>
              <w:left w:val="single" w:sz="8" w:color="auto"/>
              <w:right w:val="single" w:sz="8" w:color="auto"/>
            </w:tcBorders>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4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by the Company during the Performance Period, inclusive of the</w:t>
            </w: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Grant Date and the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total</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days during the Performance Period, inclusive of the</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Grant Date and the last day in the Performance Period. Such pro-</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rated Target PSUs (rounded up to the nearest whole number for</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this purpose) will vest and convert into Shares on the Adjustment</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Date in accordance with Section 2 and shall not be subject to the</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Post-Vest Holding Period.</w:t>
            </w:r>
          </w:p>
        </w:tc>
        <w:tc>
          <w:tcPr>
            <w:tcW w:w="0" w:type="dxa"/>
            <w:vAlign w:val="bottom"/>
          </w:tcPr>
          <w:p>
            <w:pPr>
              <w:spacing w:after="0"/>
              <w:rPr>
                <w:sz w:val="1"/>
                <w:szCs w:val="1"/>
                <w:color w:val="auto"/>
              </w:rPr>
            </w:pPr>
          </w:p>
        </w:tc>
      </w:tr>
      <w:tr>
        <w:trPr>
          <w:trHeight w:val="68"/>
        </w:trPr>
        <w:tc>
          <w:tcPr>
            <w:tcW w:w="3260" w:type="dxa"/>
            <w:vAlign w:val="bottom"/>
            <w:tcBorders>
              <w:left w:val="single" w:sz="8" w:color="auto"/>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4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55 and 10 years of service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4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All other PSUs that do not vest and convert into Shares shall be</w:t>
            </w:r>
          </w:p>
        </w:tc>
        <w:tc>
          <w:tcPr>
            <w:tcW w:w="0" w:type="dxa"/>
            <w:vAlign w:val="bottom"/>
          </w:tcPr>
          <w:p>
            <w:pPr>
              <w:spacing w:after="0"/>
              <w:rPr>
                <w:sz w:val="1"/>
                <w:szCs w:val="1"/>
                <w:color w:val="auto"/>
              </w:rPr>
            </w:pPr>
          </w:p>
        </w:tc>
      </w:tr>
      <w:tr>
        <w:trPr>
          <w:trHeight w:val="117"/>
        </w:trPr>
        <w:tc>
          <w:tcPr>
            <w:tcW w:w="3260" w:type="dxa"/>
            <w:vAlign w:val="bottom"/>
            <w:tcBorders>
              <w:left w:val="single" w:sz="8" w:color="auto"/>
              <w:right w:val="single" w:sz="8" w:color="auto"/>
            </w:tcBorders>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4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“55/10 Retirement</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forfeited in their entirety.</w:t>
            </w:r>
          </w:p>
        </w:tc>
        <w:tc>
          <w:tcPr>
            <w:tcW w:w="0" w:type="dxa"/>
            <w:vAlign w:val="bottom"/>
          </w:tcPr>
          <w:p>
            <w:pPr>
              <w:spacing w:after="0"/>
              <w:rPr>
                <w:sz w:val="1"/>
                <w:szCs w:val="1"/>
                <w:color w:val="auto"/>
              </w:rPr>
            </w:pPr>
          </w:p>
        </w:tc>
      </w:tr>
      <w:tr>
        <w:trPr>
          <w:trHeight w:val="90"/>
        </w:trPr>
        <w:tc>
          <w:tcPr>
            <w:tcW w:w="3260" w:type="dxa"/>
            <w:vAlign w:val="bottom"/>
            <w:tcBorders>
              <w:left w:val="single" w:sz="8" w:color="auto"/>
              <w:right w:val="single" w:sz="8" w:color="auto"/>
            </w:tcBorders>
            <w:vMerge w:val="continue"/>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4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62 and 10 years of service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Vesting Date</w:t>
            </w: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 of your Target PSUs will vest and convert into Shares in</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accordance with Section 2 and shall not be subject to the Post-</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(see definition of “62/10 Retirement</w:t>
            </w:r>
          </w:p>
        </w:tc>
        <w:tc>
          <w:tcPr>
            <w:tcW w:w="3080" w:type="dxa"/>
            <w:vAlign w:val="bottom"/>
            <w:tcBorders>
              <w:right w:val="single" w:sz="8" w:color="auto"/>
            </w:tcBorders>
          </w:tcPr>
          <w:p>
            <w:pPr>
              <w:spacing w:after="0"/>
              <w:rPr>
                <w:sz w:val="21"/>
                <w:szCs w:val="21"/>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Vest Holding Period.</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1420" w:hanging="570"/>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Resignations from Employment</w:t>
      </w:r>
      <w:r>
        <w:rPr>
          <w:rFonts w:ascii="Times New Roman" w:cs="Times New Roman" w:eastAsia="Times New Roman" w:hAnsi="Times New Roman"/>
          <w:sz w:val="18"/>
          <w:szCs w:val="18"/>
          <w:color w:val="auto"/>
        </w:rPr>
        <w:t>. All other resignations from employment must comply with the Notice Requirements.</w:t>
      </w:r>
    </w:p>
    <w:p>
      <w:pPr>
        <w:spacing w:after="0" w:line="186" w:lineRule="exact"/>
        <w:rPr>
          <w:rFonts w:ascii="Times New Roman" w:cs="Times New Roman" w:eastAsia="Times New Roman" w:hAnsi="Times New Roman"/>
          <w:sz w:val="18"/>
          <w:szCs w:val="18"/>
          <w:color w:val="auto"/>
        </w:rPr>
      </w:pPr>
    </w:p>
    <w:p>
      <w:pPr>
        <w:jc w:val="both"/>
        <w:ind w:left="660" w:right="20" w:firstLine="968"/>
        <w:spacing w:after="0" w:line="224" w:lineRule="auto"/>
        <w:tabs>
          <w:tab w:leader="none" w:pos="195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Service as a result of your resignation from employment with the Company under circumstances which are not in accordance with the provisions above in this Section 4, you will forfeit any PSUs that have not vested as of your last day of employment with the Company. For the avoidance of doubt, any Shares underlying your PSUs (or rights thereto) that vested and converted prior to your resignation remain subject to the Post-Vest Holding Period following your Termination Date; and</w:t>
      </w:r>
    </w:p>
    <w:p>
      <w:pPr>
        <w:spacing w:after="0" w:line="158" w:lineRule="exact"/>
        <w:rPr>
          <w:rFonts w:ascii="Times New Roman" w:cs="Times New Roman" w:eastAsia="Times New Roman" w:hAnsi="Times New Roman"/>
          <w:sz w:val="18"/>
          <w:szCs w:val="18"/>
          <w:color w:val="auto"/>
        </w:rPr>
      </w:pPr>
    </w:p>
    <w:p>
      <w:pPr>
        <w:jc w:val="both"/>
        <w:ind w:left="660" w:right="20" w:firstLine="968"/>
        <w:spacing w:after="0" w:line="223" w:lineRule="auto"/>
        <w:tabs>
          <w:tab w:leader="none" w:pos="194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Vesting Date, you give MSCI notice of your intention to resign from your employment with the Company as of a date following the Vesting Date, your PSUs will vest and settle in accordance with Section 2 and will be subject to the Post-Vest Holding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you do not subsequently comply with the Notice Requirements or Post-Vest Holding Period, the Committee may,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require that the gross cash value of the PSUs delivered to you in accordance with this Section 4(d)(ii) be subject to recoupment or payback.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avoidance of doubt,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 xml:space="preserve"> revocation of a notice of intention to resign may, in the Company’s sole discretion or if required to comply with Section</w:t>
      </w:r>
    </w:p>
    <w:p>
      <w:pPr>
        <w:spacing w:after="0" w:line="3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409A, be deemed to be noncompliant with the Notice Requirements and, in connection with such revocation, your PSUs may be forfeited and </w:t>
      </w:r>
      <w:r>
        <w:rPr>
          <w:rFonts w:ascii="Times New Roman" w:cs="Times New Roman" w:eastAsia="Times New Roman" w:hAnsi="Times New Roman"/>
          <w:sz w:val="21"/>
          <w:szCs w:val="21"/>
          <w:color w:val="auto"/>
        </w:rPr>
        <w:t>(B)</w:t>
      </w:r>
      <w:r>
        <w:rPr>
          <w:rFonts w:ascii="Times New Roman" w:cs="Times New Roman" w:eastAsia="Times New Roman" w:hAnsi="Times New Roman"/>
          <w:sz w:val="18"/>
          <w:szCs w:val="18"/>
          <w:color w:val="auto"/>
        </w:rPr>
        <w:t xml:space="preserve"> if, after you have given notice of your intention to resign or retire, as applicable, from your employment with the Company, and you experience a Termination of Service by the Company without Cause prior to the expiration of your notice period, your outstanding PSUs will be treated in accordance with Section 4(b) or Section 4(c), as applicable.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Adjusted PSUs shall only vest pursuant to this Section 4 provided that you have complied with all applicable provisions of the HSR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60"/>
          </w:cols>
          <w:pgMar w:left="320" w:top="1440" w:right="319" w:bottom="1440" w:gutter="0" w:footer="0" w:header="0"/>
        </w:sectPr>
      </w:pPr>
    </w:p>
    <w:bookmarkStart w:id="139" w:name="page140"/>
    <w:bookmarkEnd w:id="139"/>
    <w:p>
      <w:pPr>
        <w:ind w:right="60" w:firstLine="850"/>
        <w:spacing w:after="0" w:line="215" w:lineRule="auto"/>
        <w:tabs>
          <w:tab w:leader="none" w:pos="140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Unless otherwise provided in this Section 4 or Section 5(b), your employment relationship will be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as of the Termination Date and such date will not be extended by any notice period (i.e., your period of employment or service would not include any contractual notice period or any period of “garden leave” or similar period mandated under employment laws in the jurisdiction where you are employed or the terms of your employment agreement, if any). For the avoidance of doubt, the Committee shall have the exclusive discretion to determine whether and when you incur a Termination of Service for all purposes of your PSUs (including, without limitation, for purposes of this Section 4 and determining whether you are a Retirement Eligible Participant), including whether a Termination of Service will be deemed to occur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Service for purposes of your PSUs).</w:t>
      </w:r>
    </w:p>
    <w:p>
      <w:pPr>
        <w:spacing w:after="0" w:line="15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850"/>
        <w:spacing w:after="0" w:line="216" w:lineRule="auto"/>
        <w:tabs>
          <w:tab w:leader="none" w:pos="14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the event of a Change in Control, the Committee, in its sole discretion, may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continuation or assumption,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the substitution or replacement, of your outstanding PSUs under (and in accordance with the terms of) the Plan by the Company (if it is the surviving corporation) or by the surviving corporation or its parent, in which case your PSUs will continue to be subject to the same (or substantially the same) terms of this Award Agreement, or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the lapse of restrictions relating to and the settlement of your outstanding PSUs immediately prior to such Change in Control upon the failure of the successor or surviving entity to continue or assume, or substitute or replace, the PSUs, in each case as determined by the Committee in accordance with the terms of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each case, that the Performance Metric targets relating to any outstanding Target PSUs will be deemed to have been achieved at the greater of (x) the actual achievement of the Performance Metrics for the period (A) commencing on the first day of the Performance Period and (B) ending on the date immediately prior to such Change in Control and (y) [●]. Following a Change in Control in which your outstanding PSUs are continued or assumed or substituted or replaced pursuant to clause (i) above, such PSUs will be subject only to continued service through the Vesting Date and may be settled in cash, Shares or a combination thereof.</w:t>
      </w:r>
    </w:p>
    <w:p>
      <w:pPr>
        <w:spacing w:after="0" w:line="161" w:lineRule="exact"/>
        <w:rPr>
          <w:rFonts w:ascii="Times New Roman" w:cs="Times New Roman" w:eastAsia="Times New Roman" w:hAnsi="Times New Roman"/>
          <w:sz w:val="18"/>
          <w:szCs w:val="18"/>
          <w:color w:val="auto"/>
        </w:rPr>
      </w:pPr>
    </w:p>
    <w:p>
      <w:pPr>
        <w:jc w:val="both"/>
        <w:ind w:firstLine="850"/>
        <w:spacing w:after="0" w:line="218" w:lineRule="auto"/>
        <w:tabs>
          <w:tab w:leader="none" w:pos="14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In the event of a Qualifying Termination (as defined below), your PSUs will vest and convert into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60 days following such Qualifying Termination. If such 60-day period begins in one taxable year and ends in a subsequent taxable year, such vesting and conversion shall occur in the second taxable year.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a Termination of Service by the Company without Cause or by you for Good Reason (which shall be deemed an involuntary Termination of Service by the Company without Cause), in each case within 24 months following the effective date of the Change in Control pursuant to Section 5(a)(i) above. Notwithstanding anything to the contrary contained herein, the PSUs shall only vest pursuant to this Section 5(b) provided that you have complied with all applicable provisions of the HSR Act and shall not be subject to the Post-Vest Holding Period.</w:t>
      </w:r>
    </w:p>
    <w:p>
      <w:pPr>
        <w:spacing w:after="0" w:line="17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In consideration of the grant of PSUs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 In the event you violate any of the restrictive covenants set forth in </w:t>
      </w:r>
      <w:r>
        <w:rPr>
          <w:rFonts w:ascii="Times New Roman" w:cs="Times New Roman" w:eastAsia="Times New Roman" w:hAnsi="Times New Roman"/>
          <w:sz w:val="18"/>
          <w:szCs w:val="18"/>
          <w:u w:val="single" w:color="auto"/>
          <w:color w:val="auto"/>
        </w:rPr>
        <w:t>Exhibit B</w:t>
      </w:r>
    </w:p>
    <w:p>
      <w:pPr>
        <w:spacing w:after="0" w:line="1" w:lineRule="exact"/>
        <w:rPr>
          <w:sz w:val="20"/>
          <w:szCs w:val="20"/>
          <w:color w:val="auto"/>
        </w:rPr>
      </w:pPr>
    </w:p>
    <w:p>
      <w:pPr>
        <w:jc w:val="both"/>
        <w:ind w:firstLine="8"/>
        <w:spacing w:after="0" w:line="213" w:lineRule="auto"/>
        <w:tabs>
          <w:tab w:leader="none" w:pos="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on the Adjustment Date, you will forfeit the PSUs (whether or not they are Adjusted PSUs) outstanding as of the date of such violation or (b) after the Adjustment Date, but prior to or on the expiry date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you will promptly deliver to the Company all Shares acquired upon conversion of the Adjusted PSUs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extent applicable.</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8"/>
          <w:szCs w:val="18"/>
          <w:u w:val="single" w:color="auto"/>
          <w:color w:val="auto"/>
        </w:rPr>
        <w:t>Cancellation of Awards</w:t>
      </w:r>
      <w:r>
        <w:rPr>
          <w:rFonts w:ascii="Times New Roman" w:cs="Times New Roman" w:eastAsia="Times New Roman" w:hAnsi="Times New Roman"/>
          <w:sz w:val="18"/>
          <w:szCs w:val="18"/>
          <w:color w:val="auto"/>
        </w:rPr>
        <w:t>. Notwithstanding any other terms of this Award Agreement, your PSUs will be canceled prior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02" w:right="339" w:bottom="1440" w:gutter="0" w:footer="0" w:header="0"/>
        </w:sectPr>
      </w:pPr>
    </w:p>
    <w:bookmarkStart w:id="140" w:name="page141"/>
    <w:bookmarkEnd w:id="140"/>
    <w:p>
      <w:pPr>
        <w:jc w:val="both"/>
        <w:spacing w:after="0" w:line="237" w:lineRule="auto"/>
        <w:rPr>
          <w:sz w:val="20"/>
          <w:szCs w:val="20"/>
          <w:color w:val="auto"/>
        </w:rPr>
      </w:pPr>
      <w:r>
        <w:rPr>
          <w:rFonts w:ascii="Times New Roman" w:cs="Times New Roman" w:eastAsia="Times New Roman" w:hAnsi="Times New Roman"/>
          <w:sz w:val="18"/>
          <w:szCs w:val="18"/>
          <w:color w:val="auto"/>
        </w:rPr>
        <w:t>Section 5(b), upon your Termination of Service for any reason, any of your PSUs that have not vested pursuant to Section 2 as of the Termination Date will be canceled and forfeited in full as of such date.</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Tax and Other Withholding Obligations</w:t>
      </w:r>
      <w:r>
        <w:rPr>
          <w:rFonts w:ascii="Times New Roman" w:cs="Times New Roman" w:eastAsia="Times New Roman" w:hAnsi="Times New Roman"/>
          <w:sz w:val="18"/>
          <w:szCs w:val="18"/>
          <w:color w:val="auto"/>
        </w:rPr>
        <w:t>. Pursuant to Section 15(d) of the Plan and the rules and procedures that the Committee may establish from time to time, tax or other withholding obligations arising upon vesting and conversion (as applicable) of your PSUs and irrespective of any Post-Vest Holding Period may be satisfied, in the Committee’s sole discretion, by having MSCI withhold Shares, tendering Shares or by having MSCI</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withhold cash if MSCI provides for a cash withholding option, in each case in an amount necessary to satisfy the tax or other withholding obligations. Shares withheld or tendered will be valued using the Fair Market Value of the Shares on the date your PSUs convert. In order to comply with applicable accounting standards or the Company’s policies in effect from time to time, the Committee may limit the amount of Shares that you may have withheld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You may not Transfer your PSUs or the Shares underlying your PSUs (or your rights to the foregoing),</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including during the Post-Vest Holding Period or with respect to Shares subject to the retention requirements under the Stock Ownership Guidelines (including the Covered Award Share Retention Requirements set forth therein, as in effect as of the Grant Date), if applicable, other than as provided in Section 2(d) or Section 10 or by will or the laws of descent and distribution or otherwise as provided for by the Committee.</w:t>
      </w:r>
    </w:p>
    <w:p>
      <w:pPr>
        <w:spacing w:after="0" w:line="17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Designation of a Beneficiary</w:t>
      </w:r>
      <w:r>
        <w:rPr>
          <w:rFonts w:ascii="Times New Roman" w:cs="Times New Roman" w:eastAsia="Times New Roman" w:hAnsi="Times New Roman"/>
          <w:sz w:val="18"/>
          <w:szCs w:val="18"/>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law rules. You may replace or revoke your beneficiary designation at any time. If there is any question as to the legal 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Ownership and Possession</w:t>
      </w:r>
      <w:r>
        <w:rPr>
          <w:rFonts w:ascii="Times New Roman" w:cs="Times New Roman" w:eastAsia="Times New Roman" w:hAnsi="Times New Roman"/>
          <w:sz w:val="18"/>
          <w:szCs w:val="18"/>
          <w:color w:val="auto"/>
        </w:rPr>
        <w:t>. Except as set forth herein, you will not have any rights as a stockholder in the Shares corresponding to your PSUs prior to conversion of your PSUs. Following conversion of your PSUs, you will be subject to the Post-Vest Holding Period.</w:t>
      </w:r>
    </w:p>
    <w:p>
      <w:pPr>
        <w:spacing w:after="0" w:line="15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u w:val="single" w:color="auto"/>
          <w:color w:val="auto"/>
        </w:rPr>
        <w:t>Securities Law Compliance Matters</w:t>
      </w:r>
      <w:r>
        <w:rPr>
          <w:rFonts w:ascii="Times New Roman" w:cs="Times New Roman" w:eastAsia="Times New Roman" w:hAnsi="Times New Roman"/>
          <w:sz w:val="18"/>
          <w:szCs w:val="18"/>
          <w:color w:val="auto"/>
        </w:rPr>
        <w:t>. MSCI may, if it determines it is appropriate, affix any legend to the stock certificates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representing Shares issued upon conversion of your PSUs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Any sale, assignment, transfer, pledge, mortgage, encumbrance or other disposition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issued upon conversion of your PSUs and following the expiration of the Post-Vest Holding Period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agency, self-regulatory organization or state or federal regulatory body.</w:t>
      </w:r>
    </w:p>
    <w:p>
      <w:pPr>
        <w:spacing w:after="0" w:line="16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No Entitlements</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firstLine="850"/>
        <w:spacing w:after="0" w:line="253" w:lineRule="auto"/>
        <w:tabs>
          <w:tab w:leader="none" w:pos="14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Continued Employment</w:t>
      </w:r>
      <w:r>
        <w:rPr>
          <w:rFonts w:ascii="Times New Roman" w:cs="Times New Roman" w:eastAsia="Times New Roman" w:hAnsi="Times New Roman"/>
          <w:sz w:val="18"/>
          <w:szCs w:val="18"/>
          <w:color w:val="auto"/>
        </w:rPr>
        <w:t>. This PSU Award is not an employment agreement, and nothing in this Award Agreement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shall alter your status as an “at-will” employee of the Company.</w:t>
      </w:r>
    </w:p>
    <w:p>
      <w:pPr>
        <w:spacing w:after="0" w:line="144" w:lineRule="exact"/>
        <w:rPr>
          <w:rFonts w:ascii="Times New Roman" w:cs="Times New Roman" w:eastAsia="Times New Roman" w:hAnsi="Times New Roman"/>
          <w:sz w:val="18"/>
          <w:szCs w:val="18"/>
          <w:color w:val="auto"/>
        </w:rPr>
      </w:pPr>
    </w:p>
    <w:p>
      <w:pPr>
        <w:jc w:val="both"/>
        <w:ind w:firstLine="850"/>
        <w:spacing w:after="0" w:line="225" w:lineRule="auto"/>
        <w:tabs>
          <w:tab w:leader="none" w:pos="14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Future Awards</w:t>
      </w:r>
      <w:r>
        <w:rPr>
          <w:rFonts w:ascii="Times New Roman" w:cs="Times New Roman" w:eastAsia="Times New Roman" w:hAnsi="Times New Roman"/>
          <w:sz w:val="18"/>
          <w:szCs w:val="18"/>
          <w:color w:val="auto"/>
        </w:rPr>
        <w:t>. This Award, and all other awards of PSUs and other equity-based awards, are discretionary. This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confer on you any right or entitlement to receive another award of PSUs or any other equity-based award at any time in the future or in respect of any future period. You agree that any release required under Section 4 of this Award Agreement is in exchange for the grant of PSUs hereunder, for which you have no current entitlement.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04" w:right="339" w:bottom="1440" w:gutter="0" w:footer="0" w:header="0"/>
        </w:sectPr>
      </w:pPr>
    </w:p>
    <w:bookmarkStart w:id="141" w:name="page142"/>
    <w:bookmarkEnd w:id="141"/>
    <w:p>
      <w:pPr>
        <w:jc w:val="both"/>
        <w:ind w:firstLine="850"/>
        <w:spacing w:after="0" w:line="232" w:lineRule="auto"/>
        <w:tabs>
          <w:tab w:leader="none" w:pos="14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Future Employment Compensation</w:t>
      </w:r>
      <w:r>
        <w:rPr>
          <w:rFonts w:ascii="Times New Roman" w:cs="Times New Roman" w:eastAsia="Times New Roman" w:hAnsi="Times New Roman"/>
          <w:sz w:val="18"/>
          <w:szCs w:val="18"/>
          <w:color w:val="auto"/>
        </w:rPr>
        <w:t>. MSCI has made this Award to you in its sole discretion. This Award does not confer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55" w:lineRule="exact"/>
        <w:rPr>
          <w:rFonts w:ascii="Times New Roman" w:cs="Times New Roman" w:eastAsia="Times New Roman" w:hAnsi="Times New Roman"/>
          <w:sz w:val="18"/>
          <w:szCs w:val="18"/>
          <w:color w:val="auto"/>
        </w:rPr>
      </w:pPr>
    </w:p>
    <w:p>
      <w:pPr>
        <w:jc w:val="both"/>
        <w:ind w:firstLine="850"/>
        <w:spacing w:after="0" w:line="216" w:lineRule="auto"/>
        <w:tabs>
          <w:tab w:leader="none" w:pos="14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Clawback Policies</w:t>
      </w:r>
      <w:r>
        <w:rPr>
          <w:rFonts w:ascii="Times New Roman" w:cs="Times New Roman" w:eastAsia="Times New Roman" w:hAnsi="Times New Roman"/>
          <w:sz w:val="18"/>
          <w:szCs w:val="18"/>
          <w:color w:val="auto"/>
        </w:rPr>
        <w:t>. In consideration of the grant of PSUs under this Award Agreement, you hereby agree that (i)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you become covered by any of the Clawback Policies, any compensation provided to you (including compensation granted, paid or provided to or earned by you before on or following the date hereof) that is covered by any such applicable Clawback Policies shall be subject to the recoupment and/or forfeiture provisions thereof, and (ii) such applicable Clawback Policies shall be deemed to amend (on both a retroactive and prospective basis) the terms of any employment, compensation or similar agreement to which you are a party, and the terms of any compensation plan, program or agreement under which any incentive-based compensation has been or may be granted, awarded, earned or paid to you (including without limitation, award agreement evidencing an award granted to you under the Plan). In the event it is determined that any amounts granted, awarded, earned or paid to you must be forfeited or reimbursed to the Company pursuant to any such Clawback Policies, you agree that you will promptly take any action necessary to effectuate such forfeiture and/or reimbursement.</w:t>
      </w:r>
    </w:p>
    <w:p>
      <w:pPr>
        <w:spacing w:after="0" w:line="16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your participation in the Plan, or your acquisition or sale of the underlying Shares. You are hereby advised to consult with your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personal tax, legal and financial advisors regarding your participation in the Plan before taking any action related to the Plan.</w:t>
      </w:r>
    </w:p>
    <w:p>
      <w:pPr>
        <w:spacing w:after="0" w:line="16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Consents under Local Law</w:t>
      </w:r>
      <w:r>
        <w:rPr>
          <w:rFonts w:ascii="Times New Roman" w:cs="Times New Roman" w:eastAsia="Times New Roman" w:hAnsi="Times New Roman"/>
          <w:sz w:val="18"/>
          <w:szCs w:val="18"/>
          <w:color w:val="auto"/>
        </w:rPr>
        <w:t>. Your Award is conditioned upon the making of all filings and the receipt of all consents or authorizations required to comply with, or to be obtained under, applicable local law.</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Award Modification and Section 409A</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850"/>
        <w:spacing w:after="0" w:line="216" w:lineRule="auto"/>
        <w:tabs>
          <w:tab w:leader="none" w:pos="14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Modification. </w:t>
      </w:r>
      <w:r>
        <w:rPr>
          <w:rFonts w:ascii="Times New Roman" w:cs="Times New Roman" w:eastAsia="Times New Roman" w:hAnsi="Times New Roman"/>
          <w:sz w:val="18"/>
          <w:szCs w:val="18"/>
          <w:color w:val="auto"/>
        </w:rPr>
        <w:t>MSCI reserves the right to modify or amend unilaterally the terms and conditions of your PSUs, without first asking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or to waive any terms and conditions that operate in favor of MSCI. MSCI may not modify your PSUs in a manner that would materially impair your rights in your PSUs without your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MSCI may, without your consent, amend or modify your PSUs in any manner that MSCI considers necessary or advisable to comply with applicable law, stock market or exchange rules and regulations or accounting or tax rules and regulations or to ensure that your PSUs are not subject to tax prior to payment. MSCI will notify you of any amendment of your PSUs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70"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660" w:firstLine="968"/>
        <w:spacing w:after="0" w:line="224" w:lineRule="auto"/>
        <w:tabs>
          <w:tab w:leader="none" w:pos="19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17" w:lineRule="auto"/>
        <w:tabs>
          <w:tab w:leader="none" w:pos="19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Award Agreement to the contrary, to the extent that MSCI determines it necessary to comply with Section 409A, if MSCI considers you to be one of its “specified employees” at the time of your “separation from service” (as such terms are defined in Section 409A) from the Company, and any amount hereunder constitutes “deferred compensation” subject to Section 409A, then any distribution of such amount (including the conversion of the Adjusted PSUs into Shares) that otherwise would be made to you as a result of such “separation from service” shall not be made until the expiration of the six-month period measured from the date of your separation from service from the Company (such period, the “</w:t>
      </w:r>
      <w:r>
        <w:rPr>
          <w:rFonts w:ascii="Times New Roman" w:cs="Times New Roman" w:eastAsia="Times New Roman" w:hAnsi="Times New Roman"/>
          <w:sz w:val="18"/>
          <w:szCs w:val="18"/>
          <w:b w:val="1"/>
          <w:bCs w:val="1"/>
          <w:color w:val="auto"/>
        </w:rPr>
        <w:t>Specified Employee Period</w:t>
      </w:r>
      <w:r>
        <w:rPr>
          <w:rFonts w:ascii="Times New Roman" w:cs="Times New Roman" w:eastAsia="Times New Roman" w:hAnsi="Times New Roman"/>
          <w:sz w:val="18"/>
          <w:szCs w:val="18"/>
          <w:color w:val="auto"/>
        </w:rPr>
        <w:t>”), except to the extent that earlier distribution would not result in you incurring interest or additional tax under Section 409A. Any conversion of such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2" w:right="339" w:bottom="1440" w:gutter="0" w:footer="0" w:header="0"/>
        </w:sectPr>
      </w:pPr>
    </w:p>
    <w:bookmarkStart w:id="142" w:name="page143"/>
    <w:bookmarkEnd w:id="142"/>
    <w:p>
      <w:pPr>
        <w:jc w:val="both"/>
        <w:ind w:left="660"/>
        <w:spacing w:after="0" w:line="219" w:lineRule="auto"/>
        <w:rPr>
          <w:sz w:val="20"/>
          <w:szCs w:val="20"/>
          <w:color w:val="auto"/>
        </w:rPr>
      </w:pPr>
      <w:r>
        <w:rPr>
          <w:rFonts w:ascii="Times New Roman" w:cs="Times New Roman" w:eastAsia="Times New Roman" w:hAnsi="Times New Roman"/>
          <w:sz w:val="18"/>
          <w:szCs w:val="18"/>
          <w:color w:val="auto"/>
        </w:rPr>
        <w:t xml:space="preserve">PSUs into Shares that would have occurred during the Specified Employee Period but for the immediately preceding sentence shall be satisfied either by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 xml:space="preserve"> conversion of such Adjusted PSUs into Shares on the first business day following the Specified Employee Period or </w:t>
      </w:r>
      <w:r>
        <w:rPr>
          <w:rFonts w:ascii="Times New Roman" w:cs="Times New Roman" w:eastAsia="Times New Roman" w:hAnsi="Times New Roman"/>
          <w:sz w:val="21"/>
          <w:szCs w:val="21"/>
          <w:color w:val="auto"/>
        </w:rPr>
        <w:t>(B)</w:t>
      </w:r>
      <w:r>
        <w:rPr>
          <w:rFonts w:ascii="Times New Roman" w:cs="Times New Roman" w:eastAsia="Times New Roman" w:hAnsi="Times New Roman"/>
          <w:sz w:val="18"/>
          <w:szCs w:val="18"/>
          <w:color w:val="auto"/>
        </w:rPr>
        <w:t xml:space="preserve"> a cash payment on the first business day following the Specified Employee Period equal to the value of such Adjusted PSUs on the scheduled conversion</w:t>
      </w:r>
    </w:p>
    <w:p>
      <w:pPr>
        <w:spacing w:after="0" w:line="2"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17"/>
          <w:szCs w:val="17"/>
          <w:color w:val="auto"/>
        </w:rPr>
        <w:t xml:space="preserve">date (based on the value of the Shares on such date) plus accrued interest as determined by MSCI;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in this Section 17(b)(ii) will be in the sole discretion of MSCI.</w:t>
      </w:r>
    </w:p>
    <w:p>
      <w:pPr>
        <w:spacing w:after="0" w:line="165" w:lineRule="exact"/>
        <w:rPr>
          <w:sz w:val="20"/>
          <w:szCs w:val="20"/>
          <w:color w:val="auto"/>
        </w:rPr>
      </w:pPr>
    </w:p>
    <w:p>
      <w:pPr>
        <w:jc w:val="both"/>
        <w:ind w:left="660" w:firstLine="968"/>
        <w:spacing w:after="0" w:line="231" w:lineRule="auto"/>
        <w:tabs>
          <w:tab w:leader="none" w:pos="19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provision of this Award Agreement providing for the payment of any amounts of nonqualified deferred compensation upon or following a Termination of Service from the Company, references to your Termination of Service (and corollary terms) shall be construed to refer to your “separation from service” from the Company.</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31" w:lineRule="auto"/>
        <w:tabs>
          <w:tab w:leader="none" w:pos="19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reserves the right to modify the terms of this Award Agreement, including, without limitation, the payment provisions applicable to your PSUs, to the extent necessary or advisable to comply with Section 409A and reserves the right to make any changes to your PSU award so that it does not become subject to Section 409A or become subject to a Specified Employee Period.</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Award Agreement will be construed and enforced as if the provision had not been included in this Award Agreement as of the date such provision was determined to cause you to be in constructive receipt of any portion of your Award.</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Rule of Construction for Timing of Conversion</w:t>
      </w:r>
      <w:r>
        <w:rPr>
          <w:rFonts w:ascii="Times New Roman" w:cs="Times New Roman" w:eastAsia="Times New Roman" w:hAnsi="Times New Roman"/>
          <w:sz w:val="18"/>
          <w:szCs w:val="18"/>
          <w:color w:val="auto"/>
        </w:rPr>
        <w:t>. With respect to each provision of this Award Agreement that provides for your PSUs to convert into Shares, or your dividend equivalents to be paid, on a specified event or date, such conversion or payment will be considered to have</w:t>
      </w:r>
    </w:p>
    <w:p>
      <w:pPr>
        <w:spacing w:after="0" w:line="2"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8"/>
          <w:szCs w:val="18"/>
          <w:color w:val="auto"/>
        </w:rPr>
        <w:t>been timely made, and neither you nor any of your beneficiaries or your estate shall have any claim against the Company for damages based on a delay in conversion or payment, and the Company shall have no liability to you (or to any of your beneficiaries or your estate) in respect of any such delay, as long as payment is made by December 31 of the year in which the applicable Vesting Date or such other specified event or date occurs, or if later, by March 15</w:t>
      </w:r>
      <w:r>
        <w:rPr>
          <w:rFonts w:ascii="Times New Roman" w:cs="Times New Roman" w:eastAsia="Times New Roman" w:hAnsi="Times New Roman"/>
          <w:sz w:val="23"/>
          <w:szCs w:val="23"/>
          <w:color w:val="auto"/>
          <w:vertAlign w:val="superscript"/>
        </w:rPr>
        <w:t>th</w:t>
      </w:r>
    </w:p>
    <w:p>
      <w:pPr>
        <w:spacing w:after="0"/>
        <w:rPr>
          <w:sz w:val="20"/>
          <w:szCs w:val="20"/>
          <w:color w:val="auto"/>
        </w:rPr>
      </w:pPr>
      <w:r>
        <w:rPr>
          <w:rFonts w:ascii="Times New Roman" w:cs="Times New Roman" w:eastAsia="Times New Roman" w:hAnsi="Times New Roman"/>
          <w:sz w:val="18"/>
          <w:szCs w:val="18"/>
          <w:color w:val="auto"/>
        </w:rPr>
        <w:t>of the year following such specified event or date.</w:t>
      </w:r>
    </w:p>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Non-U.S. Participants</w:t>
      </w:r>
      <w:r>
        <w:rPr>
          <w:rFonts w:ascii="Times New Roman" w:cs="Times New Roman" w:eastAsia="Times New Roman" w:hAnsi="Times New Roman"/>
          <w:sz w:val="18"/>
          <w:szCs w:val="18"/>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55" w:lineRule="exact"/>
        <w:rPr>
          <w:sz w:val="20"/>
          <w:szCs w:val="20"/>
          <w:color w:val="auto"/>
        </w:rPr>
      </w:pPr>
    </w:p>
    <w:p>
      <w:pPr>
        <w:jc w:val="both"/>
        <w:ind w:firstLine="850"/>
        <w:spacing w:after="0" w:line="218" w:lineRule="auto"/>
        <w:tabs>
          <w:tab w:leader="none" w:pos="140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and Other Withholding Obligations. </w:t>
      </w:r>
      <w:r>
        <w:rPr>
          <w:rFonts w:ascii="Times New Roman" w:cs="Times New Roman" w:eastAsia="Times New Roman" w:hAnsi="Times New Roman"/>
          <w:sz w:val="18"/>
          <w:szCs w:val="18"/>
          <w:color w:val="auto"/>
        </w:rPr>
        <w:t>You acknowledge that, regardless of any action taken by the Company, the ultimate liability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income tax, social insurance, payroll tax, fringe benefits tax, payment on account or other tax-related items related to your participation in the Plan and legally applicable or deemed applicable to you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xml:space="preserve">”) is and remains your responsibility and may exceed the amount, if any, actually withheld by the Company. You further acknowledge that the Company </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 xml:space="preserve"> makes no representations or undertaking regarding the treatment of any Tax-Related Items in connection with any aspect of the PSUs or the underlying Shares, including, but not limited to, the grant, vesting or settlement of the PSUs, the subsequent sale of Shares acquired pursuant to such settlement and the lapse of the Post-Vest Holding Period, and the receipt of any dividend equivalents and/or dividends; and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does not commit to and is under no obligation to structure the terms of the grant or any aspect of the PSUs to reduce or eliminate your liability for Tax-Related Items or achieve any particular tax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404"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you are deemed to have been issued the full number of Shares subject to the vested PSUs, notwithstanding that a number of the Shares are held back solely for the purpose of paying the Tax-Related Items (and you acknowledge for the avoidance of doubt that the method for such withholding may involve the issuance of Shares to you or for your benefit followed by the taking of such Shares back into treasury by MSCI in satisfaction of the Tax-Related Items).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withholding in and/or tendering Shares is problematic under applicable tax or securities law or has materially adverse accounting consequences, by your acceptance of the PSUs,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authorities. In the event of under-withholding, you may be required to pay any additional Tax-Related Items directly to the applicable tax authority or to the Company and/or your employer.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 refuse to issue or deliver the Shares or the proceeds of the sale of Shares if you fail to comply with your obligations in connection with the Tax-Related Items.</w:t>
      </w:r>
    </w:p>
    <w:p>
      <w:pPr>
        <w:spacing w:after="0" w:line="164" w:lineRule="exact"/>
        <w:rPr>
          <w:sz w:val="20"/>
          <w:szCs w:val="20"/>
          <w:color w:val="auto"/>
        </w:rPr>
      </w:pPr>
    </w:p>
    <w:p>
      <w:pPr>
        <w:ind w:left="1420" w:hanging="570"/>
        <w:spacing w:after="0"/>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Grant</w:t>
      </w:r>
      <w:r>
        <w:rPr>
          <w:rFonts w:ascii="Times New Roman" w:cs="Times New Roman" w:eastAsia="Times New Roman" w:hAnsi="Times New Roman"/>
          <w:sz w:val="18"/>
          <w:szCs w:val="18"/>
          <w:color w:val="auto"/>
        </w:rPr>
        <w:t>. In accepting the PSUs, you acknowledge, understand and agree that:</w:t>
      </w:r>
    </w:p>
    <w:p>
      <w:pPr>
        <w:spacing w:after="0" w:line="186" w:lineRule="exact"/>
        <w:rPr>
          <w:rFonts w:ascii="Times New Roman" w:cs="Times New Roman" w:eastAsia="Times New Roman" w:hAnsi="Times New Roman"/>
          <w:sz w:val="18"/>
          <w:szCs w:val="18"/>
          <w:color w:val="auto"/>
        </w:rPr>
      </w:pPr>
    </w:p>
    <w:p>
      <w:pPr>
        <w:ind w:left="660" w:firstLine="968"/>
        <w:spacing w:after="0" w:line="250" w:lineRule="auto"/>
        <w:tabs>
          <w:tab w:leader="none" w:pos="19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MSCI, it is discretionary in nature and it may be modified, amended, suspended or terminated by MSCI at any time, to the extent permitted by the Plan;</w:t>
      </w:r>
    </w:p>
    <w:p>
      <w:pPr>
        <w:spacing w:after="0" w:line="149" w:lineRule="exact"/>
        <w:rPr>
          <w:rFonts w:ascii="Times New Roman" w:cs="Times New Roman" w:eastAsia="Times New Roman" w:hAnsi="Times New Roman"/>
          <w:sz w:val="18"/>
          <w:szCs w:val="18"/>
          <w:color w:val="auto"/>
        </w:rPr>
      </w:pPr>
    </w:p>
    <w:p>
      <w:pPr>
        <w:jc w:val="both"/>
        <w:ind w:left="660" w:firstLine="968"/>
        <w:spacing w:after="0" w:line="231"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24" w:lineRule="auto"/>
        <w:tabs>
          <w:tab w:leader="none" w:pos="195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all other awards of PSUs and other equity-based awards, are exceptional, discretionary, voluntary and occasional. This Award does not confer on you any contractual or other right or entitlement to receive another award of PSUs, any other equity-based award or benefits in lieu of PSUs at any time in the future or in respect of any future period. You agree that any release required under Section 4 of this Award Agreement is in exchange for the grant of PSUs hereunder, for which you have no current entitlement;</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31"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has made this award to you in its sole discretion and only MSCI is a party to this Award Agreement. All decisions with respect to future PSU or other grants, if any, will be at the sole discretion of MSCI; accordingly, any rights you may have under this Award Agreement may be raised only against MSCI but not any Subsidiary or Affiliate (including, but not limited to, your employing entity);</w:t>
      </w:r>
    </w:p>
    <w:p>
      <w:pPr>
        <w:spacing w:after="0" w:line="158"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Plan;</w:t>
      </w:r>
    </w:p>
    <w:p>
      <w:pPr>
        <w:spacing w:after="0" w:line="198" w:lineRule="exact"/>
        <w:rPr>
          <w:rFonts w:ascii="Times New Roman" w:cs="Times New Roman" w:eastAsia="Times New Roman" w:hAnsi="Times New Roman"/>
          <w:sz w:val="18"/>
          <w:szCs w:val="18"/>
          <w:color w:val="auto"/>
        </w:rPr>
      </w:pPr>
    </w:p>
    <w:p>
      <w:pPr>
        <w:ind w:left="660" w:firstLine="968"/>
        <w:spacing w:after="0" w:line="237" w:lineRule="auto"/>
        <w:tabs>
          <w:tab w:leader="none" w:pos="19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PSUs and the Shares subject to the PSUs, and the income and value of the same, are not intended to replace any pension rights or compensation;</w:t>
      </w:r>
    </w:p>
    <w:p>
      <w:pPr>
        <w:spacing w:after="0" w:line="158" w:lineRule="exact"/>
        <w:rPr>
          <w:sz w:val="20"/>
          <w:szCs w:val="20"/>
          <w:color w:val="auto"/>
        </w:rPr>
      </w:pPr>
    </w:p>
    <w:p>
      <w:pPr>
        <w:ind w:left="660" w:firstLine="972"/>
        <w:spacing w:after="0" w:line="250" w:lineRule="auto"/>
        <w:rPr>
          <w:sz w:val="20"/>
          <w:szCs w:val="20"/>
          <w:color w:val="auto"/>
        </w:rPr>
      </w:pPr>
      <w:r>
        <w:rPr>
          <w:rFonts w:ascii="Times New Roman" w:cs="Times New Roman" w:eastAsia="Times New Roman" w:hAnsi="Times New Roman"/>
          <w:sz w:val="18"/>
          <w:szCs w:val="18"/>
          <w:color w:val="auto"/>
        </w:rPr>
        <w:t>(vii)this award does not confer on you any right or entitlement to receive compensation in any specific amount. In addition, the PSUs and the Shares subject to the PSUs, and the income from and value of the same, are not part of normal or expected compensation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417" w:right="339" w:bottom="1440" w:gutter="0" w:footer="0" w:header="0"/>
        </w:sectPr>
      </w:pPr>
    </w:p>
    <w:bookmarkStart w:id="144" w:name="page145"/>
    <w:bookmarkEnd w:id="144"/>
    <w:p>
      <w:pPr>
        <w:ind w:left="660"/>
        <w:spacing w:after="0" w:line="222" w:lineRule="auto"/>
        <w:rPr>
          <w:sz w:val="20"/>
          <w:szCs w:val="20"/>
          <w:color w:val="auto"/>
        </w:rPr>
      </w:pPr>
      <w:r>
        <w:rPr>
          <w:rFonts w:ascii="Times New Roman" w:cs="Times New Roman" w:eastAsia="Times New Roman" w:hAnsi="Times New Roman"/>
          <w:sz w:val="18"/>
          <w:szCs w:val="18"/>
          <w:color w:val="auto"/>
        </w:rPr>
        <w:t>purposes of, including, but not limited to, calculating any severance, resignation, termination, redundancy, dismissal, end-of-service payments, bonuses, long-service awards, holiday pay, leave pay, pension or retirement or welfare benefits or similar payments, and in no event should be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considered as compensation for, or relating in any way to, past services for the Company, the employer, or any Subsidiary;</w:t>
      </w:r>
    </w:p>
    <w:p>
      <w:pPr>
        <w:spacing w:after="0" w:line="165" w:lineRule="exact"/>
        <w:rPr>
          <w:sz w:val="20"/>
          <w:szCs w:val="20"/>
          <w:color w:val="auto"/>
        </w:rPr>
      </w:pPr>
    </w:p>
    <w:p>
      <w:pPr>
        <w:ind w:left="660" w:firstLine="968"/>
        <w:spacing w:after="0" w:line="237" w:lineRule="auto"/>
        <w:tabs>
          <w:tab w:leader="none" w:pos="259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MSCI in writing, the PSUs and the Shares subject to the PSUs, and the income from and value of the same, are not granted as consideration for, or in connection with, the service you may provide as a director of a Subsidiary;</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cannot be predicted with certainty;</w:t>
      </w:r>
    </w:p>
    <w:p>
      <w:pPr>
        <w:spacing w:after="0" w:line="184" w:lineRule="exact"/>
        <w:rPr>
          <w:rFonts w:ascii="Times New Roman" w:cs="Times New Roman" w:eastAsia="Times New Roman" w:hAnsi="Times New Roman"/>
          <w:sz w:val="18"/>
          <w:szCs w:val="18"/>
          <w:color w:val="auto"/>
        </w:rPr>
      </w:pPr>
    </w:p>
    <w:p>
      <w:pPr>
        <w:jc w:val="both"/>
        <w:ind w:left="660" w:firstLine="968"/>
        <w:spacing w:after="0" w:line="231" w:lineRule="auto"/>
        <w:tabs>
          <w:tab w:leader="none" w:pos="195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PSUs resulting from your Termination of Service (for any reason whatsoever, whether or not later found to be invalid or in breach of employment laws in the jurisdiction where you are employed or the terms of your employment agreement, if any); and</w:t>
      </w:r>
    </w:p>
    <w:p>
      <w:pPr>
        <w:spacing w:after="0" w:line="158" w:lineRule="exact"/>
        <w:rPr>
          <w:rFonts w:ascii="Times New Roman" w:cs="Times New Roman" w:eastAsia="Times New Roman" w:hAnsi="Times New Roman"/>
          <w:sz w:val="18"/>
          <w:szCs w:val="18"/>
          <w:color w:val="auto"/>
        </w:rPr>
      </w:pPr>
    </w:p>
    <w:p>
      <w:pPr>
        <w:jc w:val="both"/>
        <w:ind w:left="660" w:firstLine="968"/>
        <w:spacing w:after="0" w:line="231" w:lineRule="auto"/>
        <w:tabs>
          <w:tab w:leader="none" w:pos="19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Company shall not be liable for any foreign exchange rate fluctuation between your local currency and the U.S. Dollar that may affect the value of the PSU or of any amounts due to you pursuant to the settlement of the PSU or the subsequent sale of any Shares acquired upon settlement.</w:t>
      </w:r>
    </w:p>
    <w:p>
      <w:pPr>
        <w:spacing w:after="0" w:line="156" w:lineRule="exact"/>
        <w:rPr>
          <w:rFonts w:ascii="Times New Roman" w:cs="Times New Roman" w:eastAsia="Times New Roman" w:hAnsi="Times New Roman"/>
          <w:sz w:val="18"/>
          <w:szCs w:val="18"/>
          <w:color w:val="auto"/>
        </w:rPr>
      </w:pPr>
    </w:p>
    <w:p>
      <w:pPr>
        <w:jc w:val="both"/>
        <w:ind w:firstLine="850"/>
        <w:spacing w:after="0" w:line="225" w:lineRule="auto"/>
        <w:tabs>
          <w:tab w:leader="none" w:pos="14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 Treatment</w:t>
      </w:r>
      <w:r>
        <w:rPr>
          <w:rFonts w:ascii="Times New Roman" w:cs="Times New Roman" w:eastAsia="Times New Roman" w:hAnsi="Times New Roman"/>
          <w:sz w:val="18"/>
          <w:szCs w:val="18"/>
          <w:color w:val="auto"/>
        </w:rPr>
        <w:t>. Notwithstanding anything to the contrary in this Section 21(c) of this Award Agreement, if the Company receives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legal opinion that there has been a legal judgment and/or legal development in your jurisdiction that likely would result in the favorable treatment that applies to the PSUs in the event of your retirement being deemed unlawful and/or discriminatory, the provisions of Section 4 of this Award Agreement regarding the treatment of the PSUs in the event of your Retirement Termination shall not be applicable to you.</w:t>
      </w:r>
    </w:p>
    <w:p>
      <w:pPr>
        <w:spacing w:after="0" w:line="155"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Privacy.</w:t>
      </w:r>
    </w:p>
    <w:p>
      <w:pPr>
        <w:spacing w:after="0" w:line="200"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98" w:lineRule="exact"/>
        <w:rPr>
          <w:sz w:val="20"/>
          <w:szCs w:val="20"/>
          <w:color w:val="auto"/>
        </w:rPr>
      </w:pPr>
    </w:p>
    <w:p>
      <w:pPr>
        <w:jc w:val="both"/>
        <w:ind w:left="660" w:firstLine="968"/>
        <w:spacing w:after="0" w:line="226" w:lineRule="auto"/>
        <w:tabs>
          <w:tab w:leader="none" w:pos="195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71" w:lineRule="exact"/>
        <w:rPr>
          <w:rFonts w:ascii="Times New Roman" w:cs="Times New Roman" w:eastAsia="Times New Roman" w:hAnsi="Times New Roman"/>
          <w:sz w:val="18"/>
          <w:szCs w:val="18"/>
          <w:color w:val="auto"/>
        </w:rPr>
      </w:pPr>
    </w:p>
    <w:p>
      <w:pPr>
        <w:ind w:left="660" w:firstLine="968"/>
        <w:spacing w:after="0" w:line="237" w:lineRule="auto"/>
        <w:tabs>
          <w:tab w:leader="none" w:pos="194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56" w:lineRule="exact"/>
        <w:rPr>
          <w:rFonts w:ascii="Times New Roman" w:cs="Times New Roman" w:eastAsia="Times New Roman" w:hAnsi="Times New Roman"/>
          <w:sz w:val="18"/>
          <w:szCs w:val="18"/>
          <w:color w:val="auto"/>
        </w:rPr>
      </w:pPr>
    </w:p>
    <w:p>
      <w:pPr>
        <w:ind w:right="140" w:firstLine="850"/>
        <w:spacing w:after="0" w:line="220" w:lineRule="auto"/>
        <w:tabs>
          <w:tab w:leader="none" w:pos="14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Language</w:t>
      </w:r>
      <w:r>
        <w:rPr>
          <w:rFonts w:ascii="Times New Roman" w:cs="Times New Roman" w:eastAsia="Times New Roman" w:hAnsi="Times New Roman"/>
          <w:sz w:val="18"/>
          <w:szCs w:val="18"/>
          <w:color w:val="auto"/>
        </w:rPr>
        <w:t>. If you are a resident in a country where English is not an official language, you acknowledge that you are sufficiently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the Plan and all other documents, notices and legal proceedings entered into, given or instituted pursuant to the PSUs be written in English. If you have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57" w:lineRule="exact"/>
        <w:rPr>
          <w:rFonts w:ascii="Times New Roman" w:cs="Times New Roman" w:eastAsia="Times New Roman" w:hAnsi="Times New Roman"/>
          <w:sz w:val="18"/>
          <w:szCs w:val="18"/>
          <w:color w:val="auto"/>
        </w:rPr>
      </w:pPr>
    </w:p>
    <w:p>
      <w:pPr>
        <w:jc w:val="both"/>
        <w:ind w:firstLine="850"/>
        <w:spacing w:after="0" w:line="232" w:lineRule="auto"/>
        <w:tabs>
          <w:tab w:leader="none" w:pos="1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Delivery and Participation</w:t>
      </w:r>
      <w:r>
        <w:rPr>
          <w:rFonts w:ascii="Times New Roman" w:cs="Times New Roman" w:eastAsia="Times New Roman" w:hAnsi="Times New Roman"/>
          <w:sz w:val="18"/>
          <w:szCs w:val="18"/>
          <w:color w:val="auto"/>
        </w:rPr>
        <w:t>. MSCI may, in its sole discretion, decide to deliver any documents related to current 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1404" w:right="339" w:bottom="1440" w:gutter="0" w:footer="0" w:header="0"/>
        </w:sectPr>
      </w:pPr>
    </w:p>
    <w:bookmarkStart w:id="145" w:name="page146"/>
    <w:bookmarkEnd w:id="145"/>
    <w:p>
      <w:pPr>
        <w:jc w:val="both"/>
        <w:ind w:firstLine="850"/>
        <w:spacing w:after="0" w:line="225" w:lineRule="auto"/>
        <w:tabs>
          <w:tab w:leader="none" w:pos="14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Notwithstanding any provisions in this Award Agreement, the PSUs shall be subject to any additional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 Moreover, if you relocate to one of the jurisdictions included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additional terms and conditions for such jurisdiction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constitutes part of this Award Agreement.</w:t>
      </w:r>
    </w:p>
    <w:p>
      <w:pPr>
        <w:spacing w:after="0" w:line="155" w:lineRule="exact"/>
        <w:rPr>
          <w:rFonts w:ascii="Times New Roman" w:cs="Times New Roman" w:eastAsia="Times New Roman" w:hAnsi="Times New Roman"/>
          <w:sz w:val="18"/>
          <w:szCs w:val="18"/>
          <w:color w:val="auto"/>
        </w:rPr>
      </w:pPr>
    </w:p>
    <w:p>
      <w:pPr>
        <w:jc w:val="both"/>
        <w:ind w:firstLine="850"/>
        <w:spacing w:after="0" w:line="215" w:lineRule="auto"/>
        <w:tabs>
          <w:tab w:leader="none" w:pos="14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Restrictions/Market Abuse Laws</w:t>
      </w:r>
      <w:r>
        <w:rPr>
          <w:rFonts w:ascii="Times New Roman" w:cs="Times New Roman" w:eastAsia="Times New Roman" w:hAnsi="Times New Roman"/>
          <w:sz w:val="18"/>
          <w:szCs w:val="18"/>
          <w:color w:val="auto"/>
        </w:rPr>
        <w:t>. By accepting the PSUs, you acknowledge that you are bound by all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PSUs) or rights linked to the value of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70" w:lineRule="exact"/>
        <w:rPr>
          <w:rFonts w:ascii="Times New Roman" w:cs="Times New Roman" w:eastAsia="Times New Roman" w:hAnsi="Times New Roman"/>
          <w:sz w:val="18"/>
          <w:szCs w:val="18"/>
          <w:color w:val="auto"/>
        </w:rPr>
      </w:pPr>
    </w:p>
    <w:p>
      <w:pPr>
        <w:jc w:val="both"/>
        <w:ind w:firstLine="850"/>
        <w:spacing w:after="0" w:line="217" w:lineRule="auto"/>
        <w:tabs>
          <w:tab w:leader="none" w:pos="140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Asset/Account, Exchange Control Reporting. </w:t>
      </w:r>
      <w:r>
        <w:rPr>
          <w:rFonts w:ascii="Times New Roman" w:cs="Times New Roman" w:eastAsia="Times New Roman" w:hAnsi="Times New Roman"/>
          <w:sz w:val="18"/>
          <w:szCs w:val="18"/>
          <w:color w:val="auto"/>
        </w:rPr>
        <w:t>Your country may have certain exchange control and/or foreign asset/account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7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The PSU grant and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the parties hereby submit to and consent to the jurisdiction of the State of New York, agree that such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litigation shall be conducted in the courts of New York County, New York, or the federal courts for the United States for the Southern District of New York, where this grant is made and/or to be performed.</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For purposes of this Award Agreement, the following terms shall have the meanings set forth below:</w:t>
      </w: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Eligibility</w:t>
      </w:r>
      <w:r>
        <w:rPr>
          <w:rFonts w:ascii="Times New Roman" w:cs="Times New Roman" w:eastAsia="Times New Roman" w:hAnsi="Times New Roman"/>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Eligibility</w:t>
      </w:r>
      <w:r>
        <w:rPr>
          <w:rFonts w:ascii="Times New Roman" w:cs="Times New Roman" w:eastAsia="Times New Roman" w:hAnsi="Times New Roman"/>
          <w:sz w:val="18"/>
          <w:szCs w:val="18"/>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02" w:right="339" w:bottom="1440" w:gutter="0" w:footer="0" w:header="0"/>
        </w:sectPr>
      </w:pPr>
    </w:p>
    <w:bookmarkStart w:id="146" w:name="page147"/>
    <w:bookmarkEnd w:id="1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4(b)(ii)) on or after the date that you attain 62/10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Cancellation Event</w:t>
      </w:r>
      <w:r>
        <w:rPr>
          <w:rFonts w:ascii="Times New Roman" w:cs="Times New Roman" w:eastAsia="Times New Roman" w:hAnsi="Times New Roman"/>
          <w:sz w:val="18"/>
          <w:szCs w:val="18"/>
          <w:color w:val="auto"/>
        </w:rPr>
        <w:t>” will be deemed to have occurred under any one of the following circumstances:</w:t>
      </w:r>
    </w:p>
    <w:p>
      <w:pPr>
        <w:spacing w:after="0" w:line="216" w:lineRule="exact"/>
        <w:rPr>
          <w:sz w:val="20"/>
          <w:szCs w:val="20"/>
          <w:color w:val="auto"/>
        </w:rPr>
      </w:pPr>
    </w:p>
    <w:p>
      <w:pPr>
        <w:ind w:firstLine="850"/>
        <w:spacing w:after="0" w:line="237" w:lineRule="auto"/>
        <w:tabs>
          <w:tab w:leader="none" w:pos="140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misuse of Confidential Information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 or the failure to comply with your obligations under MSCI’s Code of Conduct or otherwise with respect to Confidential Information;</w:t>
      </w:r>
    </w:p>
    <w:p>
      <w:pPr>
        <w:spacing w:after="0" w:line="169" w:lineRule="exact"/>
        <w:rPr>
          <w:rFonts w:ascii="Times New Roman" w:cs="Times New Roman" w:eastAsia="Times New Roman" w:hAnsi="Times New Roman"/>
          <w:sz w:val="18"/>
          <w:szCs w:val="18"/>
          <w:color w:val="auto"/>
        </w:rPr>
      </w:pPr>
    </w:p>
    <w:p>
      <w:pPr>
        <w:ind w:firstLine="850"/>
        <w:spacing w:after="0" w:line="238" w:lineRule="auto"/>
        <w:tabs>
          <w:tab w:leader="none" w:pos="14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from the Company for Cause (or a later determination that you could have been terminated for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determination is made within six months of termination);</w:t>
      </w:r>
    </w:p>
    <w:p>
      <w:pPr>
        <w:spacing w:after="0" w:line="158"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fraudulent act or participation in misconduct which leads to a material restatement of the Company’s financial</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w:t>
      </w:r>
    </w:p>
    <w:p>
      <w:pPr>
        <w:spacing w:after="0" w:line="164" w:lineRule="exact"/>
        <w:rPr>
          <w:rFonts w:ascii="Times New Roman" w:cs="Times New Roman" w:eastAsia="Times New Roman" w:hAnsi="Times New Roman"/>
          <w:sz w:val="18"/>
          <w:szCs w:val="18"/>
          <w:color w:val="auto"/>
        </w:rPr>
      </w:pPr>
    </w:p>
    <w:p>
      <w:pPr>
        <w:ind w:left="1420" w:hanging="570"/>
        <w:spacing w:after="0"/>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affirmatively accept the terms of this Award Agreement by [●].</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656"/>
        <w:spacing w:after="0" w:line="256" w:lineRule="auto"/>
        <w:tabs>
          <w:tab w:leader="none" w:pos="10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0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or conviction of a felony under the laws of the United States or any state thereof or any other plea or confession of a similar crime in a jurisdiction in which the Company conducts business; or</w:t>
      </w:r>
    </w:p>
    <w:p>
      <w:pPr>
        <w:spacing w:after="0" w:line="160"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fraudulent act or participation in misconduct which leads to a material restatement of the Company’s financial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has the meaning ascribed to such term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17" w:right="339" w:bottom="1440" w:gutter="0" w:footer="0" w:header="0"/>
        </w:sectPr>
      </w:pPr>
    </w:p>
    <w:bookmarkStart w:id="147" w:name="page148"/>
    <w:bookmarkEnd w:id="14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of any of the following without your prior written consent:</w:t>
      </w:r>
    </w:p>
    <w:p>
      <w:pPr>
        <w:spacing w:after="0" w:line="229" w:lineRule="exact"/>
        <w:rPr>
          <w:sz w:val="20"/>
          <w:szCs w:val="20"/>
          <w:color w:val="auto"/>
        </w:rPr>
      </w:pPr>
    </w:p>
    <w:p>
      <w:pPr>
        <w:jc w:val="both"/>
        <w:ind w:firstLine="656"/>
        <w:spacing w:after="0" w:line="266" w:lineRule="auto"/>
        <w:tabs>
          <w:tab w:leader="none" w:pos="10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1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8"/>
          <w:szCs w:val="18"/>
          <w:b w:val="1"/>
          <w:bCs w:val="1"/>
          <w:color w:val="auto"/>
        </w:rPr>
        <w:t>Equity Value</w:t>
      </w:r>
      <w:r>
        <w:rPr>
          <w:rFonts w:ascii="Times New Roman" w:cs="Times New Roman" w:eastAsia="Times New Roman" w:hAnsi="Times New Roman"/>
          <w:sz w:val="18"/>
          <w:szCs w:val="18"/>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more than 25 miles from the location of your principal job or office location prior to a Change in Control; or</w:t>
      </w:r>
    </w:p>
    <w:p>
      <w:pPr>
        <w:spacing w:after="0" w:line="22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inaction that constitutes a material breach by the Company of any agreement pursuant to which you provide services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Good Reason shall not be deemed to exist unless (x) you provide the Company with written notice of your intent to terminate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for Good Reason within 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 expiration of the cure period descried in clause (y).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Eligibility</w:t>
      </w:r>
      <w:r>
        <w:rPr>
          <w:rFonts w:ascii="Times New Roman" w:cs="Times New Roman" w:eastAsia="Times New Roman" w:hAnsi="Times New Roman"/>
          <w:sz w:val="18"/>
          <w:szCs w:val="18"/>
          <w:color w:val="auto"/>
        </w:rPr>
        <w:t>” means your attainment, at any time on or prior to February 7, 2019, of any of the following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413" w:right="339" w:bottom="1440" w:gutter="0" w:footer="0" w:header="0"/>
        </w:sectPr>
      </w:pPr>
    </w:p>
    <w:bookmarkStart w:id="148" w:name="page149"/>
    <w:bookmarkEnd w:id="148"/>
    <w:p>
      <w:pPr>
        <w:ind w:left="1040" w:hanging="384"/>
        <w:spacing w:after="0"/>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and 12 years of service with the Company as a Managing Director or comparable officer;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50 and 15 years as an officer of the Company;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with five years of service with the Company and age plus years of service equals or exceeds 65; or</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years of service with the Company;</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this definition, service with the Company will include any period of service with the following entities and any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predecessors:</w:t>
      </w:r>
    </w:p>
    <w:p>
      <w:pPr>
        <w:spacing w:after="0" w:line="160" w:lineRule="exact"/>
        <w:rPr>
          <w:sz w:val="20"/>
          <w:szCs w:val="20"/>
          <w:color w:val="auto"/>
        </w:rPr>
      </w:pPr>
    </w:p>
    <w:p>
      <w:pPr>
        <w:ind w:left="1660" w:hanging="356"/>
        <w:spacing w:after="0"/>
        <w:tabs>
          <w:tab w:leader="none" w:pos="1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Barra Inc. and its subsidiaries, prior to the acquisition by the Company;</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International Perspectives S.A., prior to the acquisition by the Company;</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w:t>
      </w:r>
    </w:p>
    <w:p>
      <w:pPr>
        <w:spacing w:after="0" w:line="221"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Group Inc. and its subsidiaries (“</w:t>
      </w:r>
      <w:r>
        <w:rPr>
          <w:rFonts w:ascii="Times New Roman" w:cs="Times New Roman" w:eastAsia="Times New Roman" w:hAnsi="Times New Roman"/>
          <w:sz w:val="18"/>
          <w:szCs w:val="18"/>
          <w:b w:val="1"/>
          <w:bCs w:val="1"/>
          <w:color w:val="auto"/>
        </w:rPr>
        <w:t>MS Group</w:t>
      </w:r>
      <w:r>
        <w:rPr>
          <w:rFonts w:ascii="Times New Roman" w:cs="Times New Roman" w:eastAsia="Times New Roman" w:hAnsi="Times New Roman"/>
          <w:sz w:val="18"/>
          <w:szCs w:val="18"/>
          <w:color w:val="auto"/>
        </w:rPr>
        <w:t>”) prior to the merger with and into Dean Witter, Discover &amp; Co.;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73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Witter, Discover &amp; Co. and its subsidiaries (“</w:t>
      </w:r>
      <w:r>
        <w:rPr>
          <w:rFonts w:ascii="Times New Roman" w:cs="Times New Roman" w:eastAsia="Times New Roman" w:hAnsi="Times New Roman"/>
          <w:sz w:val="18"/>
          <w:szCs w:val="18"/>
          <w:b w:val="1"/>
          <w:bCs w:val="1"/>
          <w:color w:val="auto"/>
        </w:rPr>
        <w:t>DWD</w:t>
      </w:r>
      <w:r>
        <w:rPr>
          <w:rFonts w:ascii="Times New Roman" w:cs="Times New Roman" w:eastAsia="Times New Roman" w:hAnsi="Times New Roman"/>
          <w:sz w:val="18"/>
          <w:szCs w:val="18"/>
          <w:color w:val="auto"/>
        </w:rPr>
        <w:t xml:space="preserve">”) prior to the merger of Morgan Stanley Group Inc. with and into Dean Witter, Discover &amp; 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Requirements</w:t>
      </w:r>
      <w:r>
        <w:rPr>
          <w:rFonts w:ascii="Times New Roman" w:cs="Times New Roman" w:eastAsia="Times New Roman" w:hAnsi="Times New Roman"/>
          <w:sz w:val="18"/>
          <w:szCs w:val="18"/>
          <w:color w:val="auto"/>
        </w:rPr>
        <w:t>” means prior written notice to MSCI of at least:</w:t>
      </w:r>
    </w:p>
    <w:p>
      <w:pPr>
        <w:spacing w:after="0" w:line="229" w:lineRule="exact"/>
        <w:rPr>
          <w:sz w:val="20"/>
          <w:szCs w:val="20"/>
          <w:color w:val="auto"/>
        </w:rPr>
      </w:pPr>
    </w:p>
    <w:p>
      <w:pPr>
        <w:ind w:left="1160" w:hanging="504"/>
        <w:spacing w:after="0"/>
        <w:tabs>
          <w:tab w:leader="none" w:pos="11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if you are a member of the MSCI Executive Committee (or a successor or equivalent committee) at the time of notice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or</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if you are a Managing Director of the Company (or equivalent title) at the time of notice of resignation.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417" w:right="339" w:bottom="1440" w:gutter="0" w:footer="0" w:header="0"/>
        </w:sectPr>
      </w:pPr>
    </w:p>
    <w:bookmarkStart w:id="149" w:name="page150"/>
    <w:bookmarkEnd w:id="149"/>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Eligible Participant</w:t>
      </w:r>
      <w:r>
        <w:rPr>
          <w:rFonts w:ascii="Times New Roman" w:cs="Times New Roman" w:eastAsia="Times New Roman" w:hAnsi="Times New Roman"/>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Termination</w:t>
      </w:r>
      <w:r>
        <w:rPr>
          <w:rFonts w:ascii="Times New Roman" w:cs="Times New Roman" w:eastAsia="Times New Roman" w:hAnsi="Times New Roman"/>
          <w:sz w:val="18"/>
          <w:szCs w:val="18"/>
          <w:color w:val="auto"/>
        </w:rPr>
        <w:t>” means a Legacy Retirement Termination, a 55/10 Retirement Termination or a 62/10 Retirement Termination,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41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APPENDIX 1</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PERFORMANCE METRICS</w:t>
      </w: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Appendix 1-1</w:t>
      </w:r>
    </w:p>
    <w:p>
      <w:pPr>
        <w:sectPr>
          <w:pgSz w:w="11900" w:h="16838" w:orient="portrait"/>
          <w:cols w:equalWidth="0" w:num="1">
            <w:col w:w="10120"/>
          </w:cols>
          <w:pgMar w:left="1440" w:top="1409"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00" w:lineRule="exact"/>
        <w:rPr>
          <w:sz w:val="20"/>
          <w:szCs w:val="20"/>
          <w:color w:val="auto"/>
        </w:rPr>
      </w:pPr>
    </w:p>
    <w:p>
      <w:pPr>
        <w:spacing w:after="0" w:line="245"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 xml:space="preserve">All Participants are subject to the provisions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Capitalized terms used and not otherwise defined herein shall have the meanings ascribed to them in the Award Agreement.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subject to any additional terms and conditions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Confidential Information; Assignment of Inventions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prohibit you from disclosing Confidential Information if such disclosure is required by law, governmental process or valid legal process.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232" w:lineRule="exact"/>
        <w:rPr>
          <w:rFonts w:ascii="Times New Roman" w:cs="Times New Roman" w:eastAsia="Times New Roman" w:hAnsi="Times New Roman"/>
          <w:sz w:val="18"/>
          <w:szCs w:val="18"/>
          <w:color w:val="auto"/>
        </w:rPr>
      </w:pPr>
    </w:p>
    <w:p>
      <w:pPr>
        <w:jc w:val="both"/>
        <w:ind w:firstLine="1304"/>
        <w:spacing w:after="0" w:line="244" w:lineRule="auto"/>
        <w:tabs>
          <w:tab w:leader="none" w:pos="17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97" w:lineRule="exact"/>
        <w:rPr>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nothing in this Award Agreement (including with respect to confidential</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information, trade secrets, and other obligations) precludes or otherwise limits your ability to </w:t>
      </w:r>
      <w:r>
        <w:rPr>
          <w:rFonts w:ascii="Times New Roman" w:cs="Times New Roman" w:eastAsia="Times New Roman" w:hAnsi="Times New Roman"/>
          <w:sz w:val="21"/>
          <w:szCs w:val="21"/>
          <w:color w:val="auto"/>
        </w:rPr>
        <w:t>(i)</w:t>
      </w:r>
      <w:r>
        <w:rPr>
          <w:rFonts w:ascii="Times New Roman" w:cs="Times New Roman" w:eastAsia="Times New Roman" w:hAnsi="Times New Roman"/>
          <w:sz w:val="18"/>
          <w:szCs w:val="18"/>
          <w:color w:val="auto"/>
        </w:rPr>
        <w:t xml:space="preserve">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any other federal, state or local governmental agency or commission (“</w:t>
      </w:r>
      <w:r>
        <w:rPr>
          <w:rFonts w:ascii="Times New Roman" w:cs="Times New Roman" w:eastAsia="Times New Roman" w:hAnsi="Times New Roman"/>
          <w:sz w:val="18"/>
          <w:szCs w:val="18"/>
          <w:b w:val="1"/>
          <w:bCs w:val="1"/>
          <w:color w:val="auto"/>
        </w:rPr>
        <w:t>Government Agency</w:t>
      </w:r>
      <w:r>
        <w:rPr>
          <w:rFonts w:ascii="Times New Roman" w:cs="Times New Roman" w:eastAsia="Times New Roman" w:hAnsi="Times New Roman"/>
          <w:sz w:val="18"/>
          <w:szCs w:val="18"/>
          <w:color w:val="auto"/>
        </w:rPr>
        <w:t>”) or self-regulatory organization regarding possible legal</w:t>
      </w:r>
    </w:p>
    <w:p>
      <w:pPr>
        <w:spacing w:after="0"/>
        <w:rPr>
          <w:sz w:val="20"/>
          <w:szCs w:val="20"/>
          <w:color w:val="auto"/>
        </w:rPr>
      </w:pPr>
      <w:r>
        <w:rPr>
          <w:rFonts w:ascii="Times New Roman" w:cs="Times New Roman" w:eastAsia="Times New Roman" w:hAnsi="Times New Roman"/>
          <w:sz w:val="18"/>
          <w:szCs w:val="18"/>
          <w:color w:val="auto"/>
        </w:rPr>
        <w:t xml:space="preserve">violations, without disclosure to the Company, or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disclose information which is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09" w:right="339" w:bottom="1440" w:gutter="0" w:footer="0" w:header="0"/>
        </w:sectPr>
      </w:pPr>
    </w:p>
    <w:bookmarkStart w:id="152" w:name="page153"/>
    <w:bookmarkEnd w:id="152"/>
    <w:p>
      <w:pPr>
        <w:jc w:val="both"/>
        <w:spacing w:after="0" w:line="256" w:lineRule="auto"/>
        <w:rPr>
          <w:sz w:val="20"/>
          <w:szCs w:val="20"/>
          <w:color w:val="auto"/>
        </w:rPr>
      </w:pPr>
      <w:r>
        <w:rPr>
          <w:rFonts w:ascii="Times New Roman" w:cs="Times New Roman" w:eastAsia="Times New Roman" w:hAnsi="Times New Roman"/>
          <w:sz w:val="18"/>
          <w:szCs w:val="18"/>
          <w:color w:val="auto"/>
        </w:rPr>
        <w:t>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 requires you to waive any monetary award or other payment that you might become entitled to from the SEC or any other Government Agency.</w:t>
      </w:r>
    </w:p>
    <w:p>
      <w:pPr>
        <w:spacing w:after="0" w:line="228" w:lineRule="exact"/>
        <w:rPr>
          <w:sz w:val="20"/>
          <w:szCs w:val="20"/>
          <w:color w:val="auto"/>
        </w:rPr>
      </w:pPr>
    </w:p>
    <w:p>
      <w:pPr>
        <w:jc w:val="both"/>
        <w:ind w:firstLine="1304"/>
        <w:spacing w:after="0" w:line="234" w:lineRule="auto"/>
        <w:tabs>
          <w:tab w:leader="none" w:pos="181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w:t>
      </w:r>
    </w:p>
    <w:p>
      <w:pPr>
        <w:spacing w:after="0" w:line="1" w:lineRule="exact"/>
        <w:rPr>
          <w:rFonts w:ascii="Times New Roman" w:cs="Times New Roman" w:eastAsia="Times New Roman" w:hAnsi="Times New Roman"/>
          <w:sz w:val="22"/>
          <w:szCs w:val="22"/>
          <w:color w:val="auto"/>
        </w:rPr>
      </w:pPr>
    </w:p>
    <w:p>
      <w:pPr>
        <w:jc w:val="both"/>
        <w:ind w:firstLine="8"/>
        <w:spacing w:after="0" w:line="254" w:lineRule="auto"/>
        <w:tabs>
          <w:tab w:leader="none" w:pos="25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is made </w:t>
      </w: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 xml:space="preserve"> in confidence to a federal, State, or local government official, either directly or indirectly, or to an attorney and </w:t>
      </w:r>
      <w:r>
        <w:rPr>
          <w:rFonts w:ascii="Times New Roman" w:cs="Times New Roman" w:eastAsia="Times New Roman" w:hAnsi="Times New Roman"/>
          <w:sz w:val="21"/>
          <w:szCs w:val="21"/>
          <w:color w:val="auto"/>
        </w:rPr>
        <w:t>(B)</w:t>
      </w:r>
      <w:r>
        <w:rPr>
          <w:rFonts w:ascii="Times New Roman" w:cs="Times New Roman" w:eastAsia="Times New Roman" w:hAnsi="Times New Roman"/>
          <w:sz w:val="18"/>
          <w:szCs w:val="18"/>
          <w:color w:val="auto"/>
        </w:rPr>
        <w:t xml:space="preserve"> solely for the purpose of reporting or investigating a suspected violation of law; or </w:t>
      </w:r>
      <w:r>
        <w:rPr>
          <w:rFonts w:ascii="Times New Roman" w:cs="Times New Roman" w:eastAsia="Times New Roman" w:hAnsi="Times New Roman"/>
          <w:sz w:val="21"/>
          <w:szCs w:val="21"/>
          <w:color w:val="auto"/>
        </w:rPr>
        <w:t>(ii)</w:t>
      </w:r>
      <w:r>
        <w:rPr>
          <w:rFonts w:ascii="Times New Roman" w:cs="Times New Roman" w:eastAsia="Times New Roman" w:hAnsi="Times New Roman"/>
          <w:sz w:val="18"/>
          <w:szCs w:val="18"/>
          <w:color w:val="auto"/>
        </w:rPr>
        <w:t xml:space="preserve">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8"/>
          <w:szCs w:val="18"/>
          <w:b w:val="1"/>
          <w:bCs w:val="1"/>
          <w:color w:val="auto"/>
        </w:rPr>
        <w:t>Non-Compete Restricted Period</w:t>
      </w:r>
      <w:r>
        <w:rPr>
          <w:rFonts w:ascii="Times New Roman" w:cs="Times New Roman" w:eastAsia="Times New Roman" w:hAnsi="Times New Roman"/>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Non-Solicit and No-Hire</w:t>
      </w:r>
      <w:r>
        <w:rPr>
          <w:rFonts w:ascii="Times New Roman" w:cs="Times New Roman" w:eastAsia="Times New Roman" w:hAnsi="Times New Roman"/>
          <w:sz w:val="18"/>
          <w:szCs w:val="18"/>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8"/>
          <w:szCs w:val="18"/>
          <w:b w:val="1"/>
          <w:bCs w:val="1"/>
          <w:color w:val="auto"/>
        </w:rPr>
        <w:t>Non-Solicit Restricted Period</w:t>
      </w:r>
      <w:r>
        <w:rPr>
          <w:rFonts w:ascii="Times New Roman" w:cs="Times New Roman" w:eastAsia="Times New Roman" w:hAnsi="Times New Roman"/>
          <w:sz w:val="18"/>
          <w:szCs w:val="18"/>
          <w:color w:val="auto"/>
        </w:rPr>
        <w:t>”), you shall not, directly or indirectly,</w:t>
      </w:r>
    </w:p>
    <w:p>
      <w:pPr>
        <w:jc w:val="both"/>
        <w:ind w:firstLine="8"/>
        <w:spacing w:after="0" w:line="250" w:lineRule="auto"/>
        <w:tabs>
          <w:tab w:leader="none" w:pos="2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employee of the Company to terminate his or her employment with the Company, (b) hire or otherwise engage any employee of the Company prior to the date on which such person has not been employed by the Company or any of its Subsidiaries for a period of at least one year or</w:t>
      </w:r>
    </w:p>
    <w:p>
      <w:pPr>
        <w:jc w:val="both"/>
        <w:ind w:firstLine="8"/>
        <w:spacing w:after="0" w:line="255" w:lineRule="auto"/>
        <w:tabs>
          <w:tab w:leader="none" w:pos="2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Subject to your rights pursuant to Sections 1(e) and 1(f) above,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417" w:right="339" w:bottom="1440" w:gutter="0" w:footer="0" w:header="0"/>
        </w:sectPr>
      </w:pPr>
    </w:p>
    <w:bookmarkStart w:id="153" w:name="page154"/>
    <w:bookmarkEnd w:id="15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 xml:space="preserve">. You acknowledge that the terms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purposes of this</w:t>
      </w:r>
      <w:r>
        <w:rPr>
          <w:rFonts w:ascii="Times New Roman" w:cs="Times New Roman" w:eastAsia="Times New Roman" w:hAnsi="Times New Roman"/>
          <w:sz w:val="17"/>
          <w:szCs w:val="17"/>
          <w:u w:val="single" w:color="auto"/>
          <w:color w:val="auto"/>
        </w:rPr>
        <w:t xml:space="preserve"> Exhibit B </w:t>
      </w:r>
      <w:r>
        <w:rPr>
          <w:rFonts w:ascii="Times New Roman" w:cs="Times New Roman" w:eastAsia="Times New Roman" w:hAnsi="Times New Roman"/>
          <w:sz w:val="17"/>
          <w:szCs w:val="17"/>
          <w:color w:val="auto"/>
        </w:rPr>
        <w:t>and the Award Agreement, the following terms shall have the following meanings:</w:t>
      </w:r>
    </w:p>
    <w:p>
      <w:pPr>
        <w:spacing w:after="0" w:line="24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person, entity or business that is engaged in, or that owns a significant equity, voting, financial or other interest in an entity that is engaged in, one or more Competing Businesses.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means any business or activity that competes with the MSCI Business or is reasonably anticipated to compete with the MSCI Business.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 Information shall in no event include (x) any Confidential Information which was generally available to the public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17" w:right="339" w:bottom="1440" w:gutter="0" w:footer="0" w:header="0"/>
        </w:sectPr>
      </w:pPr>
    </w:p>
    <w:bookmarkStart w:id="154" w:name="page155"/>
    <w:bookmarkEnd w:id="154"/>
    <w:p>
      <w:pPr>
        <w:jc w:val="both"/>
        <w:spacing w:after="0" w:line="282" w:lineRule="auto"/>
        <w:rPr>
          <w:sz w:val="20"/>
          <w:szCs w:val="20"/>
          <w:color w:val="auto"/>
        </w:rPr>
      </w:pPr>
      <w:r>
        <w:rPr>
          <w:rFonts w:ascii="Times New Roman" w:cs="Times New Roman" w:eastAsia="Times New Roman" w:hAnsi="Times New Roman"/>
          <w:sz w:val="18"/>
          <w:szCs w:val="18"/>
          <w:color w:val="auto"/>
        </w:rPr>
        <w:t>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MSCI Business</w:t>
      </w:r>
      <w:r>
        <w:rPr>
          <w:rFonts w:ascii="Times New Roman" w:cs="Times New Roman" w:eastAsia="Times New Roman" w:hAnsi="Times New Roman"/>
          <w:sz w:val="18"/>
          <w:szCs w:val="18"/>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Services</w:t>
      </w:r>
      <w:r>
        <w:rPr>
          <w:rFonts w:ascii="Times New Roman" w:cs="Times New Roman" w:eastAsia="Times New Roman" w:hAnsi="Times New Roman"/>
          <w:sz w:val="18"/>
          <w:szCs w:val="18"/>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40"/>
          </w:cols>
          <w:pgMar w:left="320" w:top="14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JURISDICTION-SPECIFIC TERMS AND CONDITIONS</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120"/>
          </w:cols>
          <w:pgMar w:left="1440" w:top="1409"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NON-QUALIFIED PERFORMANCE STOCK OPTION AWARD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MSCI INC. 2025 OMNIBUS INCENTIVE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GRANT NOTICE</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MSCI Inc. (“</w:t>
      </w:r>
      <w:r>
        <w:rPr>
          <w:rFonts w:ascii="Times New Roman" w:cs="Times New Roman" w:eastAsia="Times New Roman" w:hAnsi="Times New Roman"/>
          <w:sz w:val="18"/>
          <w:szCs w:val="18"/>
          <w:b w:val="1"/>
          <w:bCs w:val="1"/>
          <w:color w:val="auto"/>
        </w:rPr>
        <w:t>MSCI</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grants to you Performance Stock Options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under the MSCI Inc. 2025 Omnibus Incentive Plan (as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subject to the terms and conditions set forth in (i) this grant notice (this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xml:space="preserve">”), (ii) each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(including all annexes thereto) attached to this Grant Notice (collectively, and together with this Grant Notice, this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and (iii) the Plan. The Options are intended to be Non-Qualified Stock Options, and are not intended to be Incentive Stock Options. Unless defined in this Award Agreement, capitalized terms shall have the meanings ascribed to them in the Plan.</w:t>
      </w:r>
    </w:p>
    <w:p>
      <w:pPr>
        <w:sectPr>
          <w:pgSz w:w="11900" w:h="16838" w:orient="portrait"/>
          <w:cols w:equalWidth="0" w:num="1">
            <w:col w:w="11240"/>
          </w:cols>
          <w:pgMar w:left="320" w:top="1170" w:right="339" w:bottom="1440" w:gutter="0" w:footer="0" w:header="0"/>
        </w:sectPr>
      </w:pP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center"/>
        <w:ind w:right="5080"/>
        <w:spacing w:after="0"/>
        <w:rPr>
          <w:sz w:val="20"/>
          <w:szCs w:val="20"/>
          <w:color w:val="auto"/>
        </w:rPr>
      </w:pPr>
      <w:r>
        <w:rPr>
          <w:rFonts w:ascii="Times New Roman" w:cs="Times New Roman" w:eastAsia="Times New Roman" w:hAnsi="Times New Roman"/>
          <w:sz w:val="17"/>
          <w:szCs w:val="17"/>
          <w:color w:val="auto"/>
        </w:rPr>
        <w:t>[Name]</w:t>
      </w:r>
    </w:p>
    <w:p>
      <w:pPr>
        <w:spacing w:after="0" w:line="42" w:lineRule="exact"/>
        <w:rPr>
          <w:sz w:val="20"/>
          <w:szCs w:val="20"/>
          <w:color w:val="auto"/>
        </w:rPr>
      </w:pPr>
    </w:p>
    <w:p>
      <w:pPr>
        <w:sectPr>
          <w:pgSz w:w="11900" w:h="16838" w:orient="portrait"/>
          <w:cols w:equalWidth="0" w:num="2">
            <w:col w:w="4920" w:space="720"/>
            <w:col w:w="5600"/>
          </w:cols>
          <w:pgMar w:left="320" w:top="117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b w:val="1"/>
          <w:bCs w:val="1"/>
          <w:color w:val="auto"/>
        </w:rPr>
        <w:t>Target Number of Options:</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Times New Roman" w:cs="Times New Roman" w:eastAsia="Times New Roman" w:hAnsi="Times New Roman"/>
          <w:sz w:val="16"/>
          <w:szCs w:val="16"/>
          <w:color w:val="auto"/>
        </w:rPr>
        <w:t>[#] Options (the “</w:t>
      </w:r>
      <w:r>
        <w:rPr>
          <w:rFonts w:ascii="Times New Roman" w:cs="Times New Roman" w:eastAsia="Times New Roman" w:hAnsi="Times New Roman"/>
          <w:sz w:val="16"/>
          <w:szCs w:val="16"/>
          <w:b w:val="1"/>
          <w:bCs w:val="1"/>
          <w:color w:val="auto"/>
        </w:rPr>
        <w:t>Target Options</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sectPr>
          <w:pgSz w:w="11900" w:h="16838" w:orient="portrait"/>
          <w:cols w:equalWidth="0" w:num="2">
            <w:col w:w="4920" w:space="720"/>
            <w:col w:w="5600"/>
          </w:cols>
          <w:pgMar w:left="320" w:top="117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Maximum 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sectPr>
          <w:pgSz w:w="11900" w:h="16838" w:orient="portrait"/>
          <w:cols w:equalWidth="0" w:num="2">
            <w:col w:w="4920" w:space="720"/>
            <w:col w:w="5600"/>
          </w:cols>
          <w:pgMar w:left="320" w:top="1170" w:right="339" w:bottom="1440" w:gutter="0" w:footer="0" w:header="0"/>
          <w:type w:val="continuous"/>
        </w:sectPr>
      </w:pPr>
    </w:p>
    <w:p>
      <w:pPr>
        <w:ind w:right="80"/>
        <w:spacing w:after="0" w:line="312" w:lineRule="auto"/>
        <w:rPr>
          <w:sz w:val="20"/>
          <w:szCs w:val="20"/>
          <w:color w:val="auto"/>
        </w:rPr>
      </w:pPr>
      <w:r>
        <w:rPr>
          <w:rFonts w:ascii="Times New Roman" w:cs="Times New Roman" w:eastAsia="Times New Roman" w:hAnsi="Times New Roman"/>
          <w:sz w:val="17"/>
          <w:szCs w:val="17"/>
          <w:color w:val="auto"/>
        </w:rPr>
        <w:t xml:space="preserve">Your Options may be subject to forfeiture or recoupment upon your Termination of Service or your failure to affirmatively accept the terms of this Award Agreement by [●] or to comply with the Notice Requirements (as defined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as set forth in the Plan and this Award Agreement.</w:t>
      </w:r>
    </w:p>
    <w:p>
      <w:pPr>
        <w:spacing w:after="0" w:line="14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You agree that this Award of Options is granted under the Plan and governed by the terms and conditions of the Plan and this Award Agreement. You also agree that, to the extent you are or become covered by such policies, the Options granted to you pursuant to this Award Agreement and any Shares issued upon exercise thereof shall be subject to (i) the MSCI Inc. Financial Statement Compensation Recoupment Policy and/or the MSCI Inc. Executive Committee Compensation Recoupment Policy, as applicable, and any other clawback policy adopted by the Company (collectively, the “</w:t>
      </w:r>
      <w:r>
        <w:rPr>
          <w:rFonts w:ascii="Times New Roman" w:cs="Times New Roman" w:eastAsia="Times New Roman" w:hAnsi="Times New Roman"/>
          <w:sz w:val="18"/>
          <w:szCs w:val="18"/>
          <w:b w:val="1"/>
          <w:bCs w:val="1"/>
          <w:color w:val="auto"/>
        </w:rPr>
        <w:t>Clawback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and (ii) any stock ownership guidelines of MSCI (including applicable retention requirements thereunder) (collectively, the “</w:t>
      </w:r>
      <w:r>
        <w:rPr>
          <w:rFonts w:ascii="Times New Roman" w:cs="Times New Roman" w:eastAsia="Times New Roman" w:hAnsi="Times New Roman"/>
          <w:sz w:val="18"/>
          <w:szCs w:val="18"/>
          <w:b w:val="1"/>
          <w:bCs w:val="1"/>
          <w:color w:val="auto"/>
        </w:rPr>
        <w:t>Ownership Guidelines</w:t>
      </w:r>
      <w:r>
        <w:rPr>
          <w:rFonts w:ascii="Times New Roman" w:cs="Times New Roman" w:eastAsia="Times New Roman" w:hAnsi="Times New Roman"/>
          <w:sz w:val="18"/>
          <w:szCs w:val="18"/>
          <w:color w:val="auto"/>
        </w:rPr>
        <w:t>”), in each case, as may be in effect from time to time, the terms of which shall be deemed incorporated herein by reference and made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Award Agreement.</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will be able to access a prospectus and tax supplement that contains important information about this Award via the MSCI website or your brokerage account.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MSCI has duly executed and delivered this Award Agreement as of the Grant Date.</w:t>
      </w:r>
    </w:p>
    <w:p>
      <w:pPr>
        <w:spacing w:after="0" w:line="27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482600</wp:posOffset>
            </wp:positionV>
            <wp:extent cx="2331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170" w:right="339" w:bottom="1440" w:gutter="0" w:footer="0" w:header="0"/>
          <w:type w:val="continuous"/>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2026 NON-QUALIFIED PERFORMANCE STOCK OPTION AWARD</w:t>
      </w:r>
    </w:p>
    <w:p>
      <w:pPr>
        <w:spacing w:after="0" w:line="2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Grant of Options.</w:t>
      </w:r>
    </w:p>
    <w:p>
      <w:pPr>
        <w:spacing w:after="0" w:line="183" w:lineRule="exact"/>
        <w:rPr>
          <w:sz w:val="20"/>
          <w:szCs w:val="20"/>
          <w:color w:val="auto"/>
        </w:rPr>
      </w:pPr>
    </w:p>
    <w:p>
      <w:pPr>
        <w:ind w:left="1940" w:hanging="555"/>
        <w:spacing w:after="0"/>
        <w:tabs>
          <w:tab w:leader="none" w:pos="19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Each Option gives you the right to purchase one share of MSCI common stock, par value $0.01 per share (each, a</w:t>
      </w:r>
    </w:p>
    <w:p>
      <w:pPr>
        <w:ind w:left="660"/>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at the Exercise Price set forth in the Grant Notice, subject to the satisfaction of the vesting conditions set forth in this Award Agreement.</w:t>
      </w:r>
    </w:p>
    <w:p>
      <w:pPr>
        <w:ind w:left="660"/>
        <w:spacing w:after="0"/>
        <w:rPr>
          <w:sz w:val="20"/>
          <w:szCs w:val="20"/>
          <w:color w:val="auto"/>
        </w:rPr>
      </w:pPr>
      <w:r>
        <w:rPr>
          <w:rFonts w:ascii="Times New Roman" w:cs="Times New Roman" w:eastAsia="Times New Roman" w:hAnsi="Times New Roman"/>
          <w:sz w:val="18"/>
          <w:szCs w:val="18"/>
          <w:color w:val="auto"/>
        </w:rPr>
        <w:t>The Options are intended to be Non-Qualified Stock Options, and are not intended to be Incentive Stock Options.</w:t>
      </w:r>
    </w:p>
    <w:p>
      <w:pPr>
        <w:spacing w:after="0" w:line="163" w:lineRule="exact"/>
        <w:rPr>
          <w:sz w:val="20"/>
          <w:szCs w:val="20"/>
          <w:color w:val="auto"/>
        </w:rPr>
      </w:pPr>
    </w:p>
    <w:p>
      <w:pPr>
        <w:ind w:left="660" w:right="100" w:firstLine="725"/>
        <w:spacing w:after="0" w:line="232" w:lineRule="auto"/>
        <w:tabs>
          <w:tab w:leader="none" w:pos="19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Rights as a Stockholder. </w:t>
      </w:r>
      <w:r>
        <w:rPr>
          <w:rFonts w:ascii="Times New Roman" w:cs="Times New Roman" w:eastAsia="Times New Roman" w:hAnsi="Times New Roman"/>
          <w:sz w:val="18"/>
          <w:szCs w:val="18"/>
          <w:color w:val="auto"/>
        </w:rPr>
        <w:t>You will not be a stockholder with respect to the Shares underlying your Options (and, accordingly,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will not have any voting rights, rights to dividends or any other rights as a stockholder with respect to such Shares) unless and until you exercise your Options as set forth herein and you become the record owner of such Shares.</w:t>
      </w:r>
    </w:p>
    <w:p>
      <w:pPr>
        <w:spacing w:after="0" w:line="155" w:lineRule="exact"/>
        <w:rPr>
          <w:rFonts w:ascii="Times New Roman" w:cs="Times New Roman" w:eastAsia="Times New Roman" w:hAnsi="Times New Roman"/>
          <w:sz w:val="18"/>
          <w:szCs w:val="18"/>
          <w:color w:val="auto"/>
        </w:rPr>
      </w:pPr>
    </w:p>
    <w:p>
      <w:pPr>
        <w:ind w:left="660" w:right="220" w:firstLine="725"/>
        <w:spacing w:after="0" w:line="232" w:lineRule="auto"/>
        <w:tabs>
          <w:tab w:leader="none" w:pos="19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Maximum Option Shares. </w:t>
      </w:r>
      <w:r>
        <w:rPr>
          <w:rFonts w:ascii="Times New Roman" w:cs="Times New Roman" w:eastAsia="Times New Roman" w:hAnsi="Times New Roman"/>
          <w:sz w:val="18"/>
          <w:szCs w:val="18"/>
          <w:color w:val="auto"/>
        </w:rPr>
        <w:t>Notwithstanding anything to the contrary herein, the maximum number of Shares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under this Award of Options will in no event exceed the number of Maximum Option Shares set forth in the Grant Notice (which, for the avoidance of doubt, assumes achievement of the Performance Condition at the maximum performance level).</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Vesting.</w:t>
      </w:r>
    </w:p>
    <w:p>
      <w:pPr>
        <w:spacing w:after="0" w:line="194" w:lineRule="exact"/>
        <w:rPr>
          <w:sz w:val="20"/>
          <w:szCs w:val="20"/>
          <w:color w:val="auto"/>
        </w:rPr>
      </w:pPr>
    </w:p>
    <w:p>
      <w:pPr>
        <w:ind w:left="660" w:right="120" w:firstLine="725"/>
        <w:spacing w:after="0" w:line="221" w:lineRule="auto"/>
        <w:tabs>
          <w:tab w:leader="none" w:pos="195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Options will vest and become exercisable upon (and to the extent of) the satisfaction of both (i) the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and (ii) the “</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each as defined below. For purposes of this Award Agreement, as of any applicable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the Options (or any portion thereof) that (A) have satisfied both the Service Condition and the Performance Condition are referred to as “</w:t>
      </w:r>
      <w:r>
        <w:rPr>
          <w:rFonts w:ascii="Times New Roman" w:cs="Times New Roman" w:eastAsia="Times New Roman" w:hAnsi="Times New Roman"/>
          <w:sz w:val="18"/>
          <w:szCs w:val="18"/>
          <w:b w:val="1"/>
          <w:bCs w:val="1"/>
          <w:color w:val="auto"/>
        </w:rPr>
        <w:t>Vested Options</w:t>
      </w:r>
      <w:r>
        <w:rPr>
          <w:rFonts w:ascii="Times New Roman" w:cs="Times New Roman" w:eastAsia="Times New Roman" w:hAnsi="Times New Roman"/>
          <w:sz w:val="18"/>
          <w:szCs w:val="18"/>
          <w:color w:val="auto"/>
        </w:rPr>
        <w:t>” and (B) have not satisfied both of the Service Condition and the Performance Condition are referred to as “</w:t>
      </w:r>
      <w:r>
        <w:rPr>
          <w:rFonts w:ascii="Times New Roman" w:cs="Times New Roman" w:eastAsia="Times New Roman" w:hAnsi="Times New Roman"/>
          <w:sz w:val="18"/>
          <w:szCs w:val="18"/>
          <w:b w:val="1"/>
          <w:bCs w:val="1"/>
          <w:color w:val="auto"/>
        </w:rPr>
        <w:t>Unvested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660" w:right="160" w:firstLine="725"/>
        <w:spacing w:after="0" w:line="225" w:lineRule="auto"/>
        <w:tabs>
          <w:tab w:leader="none" w:pos="19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Condition</w:t>
      </w:r>
      <w:r>
        <w:rPr>
          <w:rFonts w:ascii="Times New Roman" w:cs="Times New Roman" w:eastAsia="Times New Roman" w:hAnsi="Times New Roman"/>
          <w:sz w:val="18"/>
          <w:szCs w:val="18"/>
          <w:color w:val="auto"/>
        </w:rPr>
        <w:t>. Except as otherwise provided in this Award Agreement, the “</w:t>
      </w:r>
      <w:r>
        <w:rPr>
          <w:rFonts w:ascii="Times New Roman" w:cs="Times New Roman" w:eastAsia="Times New Roman" w:hAnsi="Times New Roman"/>
          <w:sz w:val="18"/>
          <w:szCs w:val="18"/>
          <w:b w:val="1"/>
          <w:bCs w:val="1"/>
          <w:color w:val="auto"/>
        </w:rPr>
        <w:t>Service Condition</w:t>
      </w:r>
      <w:r>
        <w:rPr>
          <w:rFonts w:ascii="Times New Roman" w:cs="Times New Roman" w:eastAsia="Times New Roman" w:hAnsi="Times New Roman"/>
          <w:sz w:val="18"/>
          <w:szCs w:val="18"/>
          <w:color w:val="auto"/>
        </w:rPr>
        <w:t>” will be satisfied in full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 (the “</w:t>
      </w:r>
      <w:r>
        <w:rPr>
          <w:rFonts w:ascii="Times New Roman" w:cs="Times New Roman" w:eastAsia="Times New Roman" w:hAnsi="Times New Roman"/>
          <w:sz w:val="18"/>
          <w:szCs w:val="18"/>
          <w:b w:val="1"/>
          <w:bCs w:val="1"/>
          <w:color w:val="auto"/>
        </w:rPr>
        <w:t>Service Vesting Date</w:t>
      </w:r>
      <w:r>
        <w:rPr>
          <w:rFonts w:ascii="Times New Roman" w:cs="Times New Roman" w:eastAsia="Times New Roman" w:hAnsi="Times New Roman"/>
          <w:sz w:val="18"/>
          <w:szCs w:val="18"/>
          <w:color w:val="auto"/>
        </w:rPr>
        <w:t>”), subject to your continuous employment with the Company through the Service Vesting Date. For purposes of this Award Agreement, the [●] service vesting period between the Grant Date and the Service Vesting Date shall be referred to herein as the “</w:t>
      </w:r>
      <w:r>
        <w:rPr>
          <w:rFonts w:ascii="Times New Roman" w:cs="Times New Roman" w:eastAsia="Times New Roman" w:hAnsi="Times New Roman"/>
          <w:sz w:val="18"/>
          <w:szCs w:val="18"/>
          <w:b w:val="1"/>
          <w:bCs w:val="1"/>
          <w:color w:val="auto"/>
        </w:rPr>
        <w:t>Service Vesting Period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Condition</w:t>
      </w:r>
      <w:r>
        <w:rPr>
          <w:rFonts w:ascii="Times New Roman" w:cs="Times New Roman" w:eastAsia="Times New Roman" w:hAnsi="Times New Roman"/>
          <w:sz w:val="18"/>
          <w:szCs w:val="18"/>
          <w:color w:val="auto"/>
        </w:rPr>
        <w:t>. Subject to the terms and conditions set forth in this Award Agreement and in the Plan, the</w:t>
      </w: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will be satisfied (if at all) on [●].</w:t>
      </w:r>
    </w:p>
    <w:p>
      <w:pPr>
        <w:spacing w:after="0" w:line="16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 xml:space="preserve">Option Term. </w:t>
      </w:r>
      <w:r>
        <w:rPr>
          <w:rFonts w:ascii="Times New Roman" w:cs="Times New Roman" w:eastAsia="Times New Roman" w:hAnsi="Times New Roman"/>
          <w:sz w:val="17"/>
          <w:szCs w:val="17"/>
          <w:color w:val="auto"/>
        </w:rPr>
        <w:t>The term of the Options shall expire at close of the principal stock market or exchange on which the Shares are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quoted or traded on the tenth anniversary of the Grant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unless terminated earlier in accordance with this Award Agreement or the Plan. In no event may any Options (or any portion thereof) be exercised after the Expiration Date.</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Exercise of Options.</w:t>
      </w:r>
    </w:p>
    <w:p>
      <w:pPr>
        <w:spacing w:after="0" w:line="196" w:lineRule="exact"/>
        <w:rPr>
          <w:sz w:val="20"/>
          <w:szCs w:val="20"/>
          <w:color w:val="auto"/>
        </w:rPr>
      </w:pPr>
    </w:p>
    <w:p>
      <w:pPr>
        <w:ind w:left="660" w:right="60" w:firstLine="725"/>
        <w:spacing w:after="0" w:line="227" w:lineRule="auto"/>
        <w:tabs>
          <w:tab w:leader="none" w:pos="19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Subject to the terms of the Plan and this Award Agreement, to the extent that any Options become Vested Options,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thereafter exercise such Vested Options, in whole or in part, at any time or from time to time prior to the Expiration Date (or, if earlier, the applicable date determined in accordance with Section 5). You may exercise your Options only for whole Shares.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660" w:right="20" w:firstLine="725"/>
        <w:spacing w:after="0" w:line="229" w:lineRule="auto"/>
        <w:tabs>
          <w:tab w:leader="none" w:pos="195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Manner of Exercise</w:t>
      </w:r>
      <w:r>
        <w:rPr>
          <w:rFonts w:ascii="Times New Roman" w:cs="Times New Roman" w:eastAsia="Times New Roman" w:hAnsi="Times New Roman"/>
          <w:sz w:val="17"/>
          <w:szCs w:val="17"/>
          <w:color w:val="auto"/>
        </w:rPr>
        <w:t>. In order to exercise any Vested Options, you must (i) deliver to the Company a written notice specifying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Vested Options to be exercised, in such manner and pursuant to such procedures as the Company may determine from time to time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and (ii) remit to the Company in full (A) the aggregate Exercise Price applicable to such Vested Options being exercised and</w:t>
      </w:r>
    </w:p>
    <w:p>
      <w:pPr>
        <w:spacing w:after="0" w:line="2" w:lineRule="exact"/>
        <w:rPr>
          <w:rFonts w:ascii="Times New Roman" w:cs="Times New Roman" w:eastAsia="Times New Roman" w:hAnsi="Times New Roman"/>
          <w:sz w:val="17"/>
          <w:szCs w:val="17"/>
          <w:color w:val="auto"/>
        </w:rPr>
      </w:pPr>
    </w:p>
    <w:p>
      <w:pPr>
        <w:ind w:left="940" w:hanging="284"/>
        <w:spacing w:after="0" w:line="203" w:lineRule="auto"/>
        <w:tabs>
          <w:tab w:leader="none" w:pos="9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satisfy all applicable income, payroll, employment and similar taxes the Company is required to withhold on your</w:t>
      </w:r>
    </w:p>
    <w:p>
      <w:pPr>
        <w:ind w:left="660" w:right="10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behalf in respect of such exercise (clauses (A) and (B), collectively, the “</w:t>
      </w:r>
      <w:r>
        <w:rPr>
          <w:rFonts w:ascii="Times New Roman" w:cs="Times New Roman" w:eastAsia="Times New Roman" w:hAnsi="Times New Roman"/>
          <w:sz w:val="18"/>
          <w:szCs w:val="18"/>
          <w:b w:val="1"/>
          <w:bCs w:val="1"/>
          <w:color w:val="auto"/>
        </w:rPr>
        <w:t>Payment Amount</w:t>
      </w:r>
      <w:r>
        <w:rPr>
          <w:rFonts w:ascii="Times New Roman" w:cs="Times New Roman" w:eastAsia="Times New Roman" w:hAnsi="Times New Roman"/>
          <w:sz w:val="18"/>
          <w:szCs w:val="18"/>
          <w:color w:val="auto"/>
        </w:rPr>
        <w:t>”). The date on which you deliver the Exercise Notice pursuant to this Section 4(b) shall be referred to herein as the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660" w:firstLine="725"/>
        <w:spacing w:after="0" w:line="216" w:lineRule="auto"/>
        <w:tabs>
          <w:tab w:leader="none" w:pos="195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Exercise</w:t>
      </w:r>
      <w:r>
        <w:rPr>
          <w:rFonts w:ascii="Times New Roman" w:cs="Times New Roman" w:eastAsia="Times New Roman" w:hAnsi="Times New Roman"/>
          <w:sz w:val="18"/>
          <w:szCs w:val="18"/>
          <w:color w:val="auto"/>
        </w:rPr>
        <w:t>. You may satisfy the Payment Amount in respect of the Vested Options being exercised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Committee from time to time in its sole discretion, which may include: (i) in cash or by check, bank draft or money order payable to the order of the Company; (ii) by a “net exercise” under which the Company shall reduce the number of Shares otherwise issuable to you upon such exercise by a whole number of Shares having an aggregate Fair Market Value as of the Exercise Date equal to the Payment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only whole Shares may be so used for payment of the Payment Amount and any portion of the Payment Amount which cannot be satisfied with whole Shares must be paid to the Company by you in cash and (B) in order to comply with applicable accounting standards or the Company’s policies in effect from time to time, the Committee may limit the amount of Shares that you may be withheld pursuant to this “net exercise” feature); or (iii) any other method permitted by the Committee from time to time.</w:t>
      </w:r>
    </w:p>
    <w:p>
      <w:pPr>
        <w:spacing w:after="0" w:line="170" w:lineRule="exact"/>
        <w:rPr>
          <w:rFonts w:ascii="Times New Roman" w:cs="Times New Roman" w:eastAsia="Times New Roman" w:hAnsi="Times New Roman"/>
          <w:sz w:val="18"/>
          <w:szCs w:val="18"/>
          <w:color w:val="auto"/>
        </w:rPr>
      </w:pPr>
    </w:p>
    <w:p>
      <w:pPr>
        <w:ind w:left="660" w:firstLine="725"/>
        <w:spacing w:after="0" w:line="217" w:lineRule="auto"/>
        <w:tabs>
          <w:tab w:leader="none" w:pos="195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Exercise</w:t>
      </w:r>
      <w:r>
        <w:rPr>
          <w:rFonts w:ascii="Times New Roman" w:cs="Times New Roman" w:eastAsia="Times New Roman" w:hAnsi="Times New Roman"/>
          <w:sz w:val="18"/>
          <w:szCs w:val="18"/>
          <w:color w:val="auto"/>
        </w:rPr>
        <w:t>. If, as of the last trading day immediately prior to the Expiration Date, the Fair Market Value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any outstanding and unexercised Vested Options exceeds the Exercise Price, then such outstanding and unexercised Vested Options shall be automatically exercised on a “net exercise” basis in the manner described in Section 4(c)(ii) above to satisfy the aggregate Payment Amount in respect of such Vested Options and pursuant to such other terms and procedures as determined by the Committee). For the avoidance of doubt, the automatic exercise of Vested Options pursuant to this Section 4(d) shall not apply at any time on or following your Termination of Service.</w:t>
      </w:r>
    </w:p>
    <w:p>
      <w:pPr>
        <w:spacing w:after="0" w:line="173" w:lineRule="exact"/>
        <w:rPr>
          <w:rFonts w:ascii="Times New Roman" w:cs="Times New Roman" w:eastAsia="Times New Roman" w:hAnsi="Times New Roman"/>
          <w:sz w:val="18"/>
          <w:szCs w:val="18"/>
          <w:color w:val="auto"/>
        </w:rPr>
      </w:pPr>
    </w:p>
    <w:p>
      <w:pPr>
        <w:ind w:left="660" w:right="20" w:firstLine="725"/>
        <w:spacing w:after="0" w:line="220" w:lineRule="auto"/>
        <w:tabs>
          <w:tab w:leader="none" w:pos="195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Filings; HSR Act</w:t>
      </w:r>
      <w:r>
        <w:rPr>
          <w:rFonts w:ascii="Times New Roman" w:cs="Times New Roman" w:eastAsia="Times New Roman" w:hAnsi="Times New Roman"/>
          <w:sz w:val="18"/>
          <w:szCs w:val="18"/>
          <w:color w:val="auto"/>
        </w:rPr>
        <w:t>. Notwithstanding anything to the contrary herein, in no event shall any Vested Options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by you (including pursuant to Section 4(d) unless and until (i) any and all required regulatory filings, including, without limitation, any filings that may be required pursuant to the HSR Act in connection with the exercise of any Vested Options (or portion thereof) have been timely filed and any required waiting period under the HSR Act has expired or been terminated or (ii) the exercise of the Vested Option does not require any such regulatory filings (including any filings under the HSR Act).</w:t>
      </w:r>
    </w:p>
    <w:p>
      <w:pPr>
        <w:spacing w:after="0" w:line="158" w:lineRule="exact"/>
        <w:rPr>
          <w:rFonts w:ascii="Times New Roman" w:cs="Times New Roman" w:eastAsia="Times New Roman" w:hAnsi="Times New Roman"/>
          <w:sz w:val="18"/>
          <w:szCs w:val="18"/>
          <w:color w:val="auto"/>
        </w:rPr>
      </w:pPr>
    </w:p>
    <w:p>
      <w:pPr>
        <w:ind w:left="660" w:right="20" w:firstLine="725"/>
        <w:spacing w:after="0" w:line="216" w:lineRule="auto"/>
        <w:tabs>
          <w:tab w:leader="none" w:pos="194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Guidelines and Retention Requirements. </w:t>
      </w:r>
      <w:r>
        <w:rPr>
          <w:rFonts w:ascii="Times New Roman" w:cs="Times New Roman" w:eastAsia="Times New Roman" w:hAnsi="Times New Roman"/>
          <w:sz w:val="18"/>
          <w:szCs w:val="18"/>
          <w:color w:val="auto"/>
        </w:rPr>
        <w:t>To the extent that you are subject to the Ownership Guidelines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the Shares (or any applicable portion thereof) issuable to you upon the exercise of any Vested Options granted under this Award Agreement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exercise of the Vested Options granted to you under this Award Agreement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4(f).</w:t>
      </w:r>
    </w:p>
    <w:p>
      <w:pPr>
        <w:spacing w:after="0" w:line="161"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xml:space="preserve"> Subject to the terms of this Award Agreement (including, without limitation, Sections 6, 7 and 8), upon your Termination of Service with the Company pursuant to this Section 5, the following special vesting and exercise terms will apply to your Options:</w:t>
      </w:r>
    </w:p>
    <w:p>
      <w:pPr>
        <w:spacing w:after="0" w:line="170" w:lineRule="exact"/>
        <w:rPr>
          <w:sz w:val="20"/>
          <w:szCs w:val="20"/>
          <w:color w:val="auto"/>
        </w:rPr>
      </w:pPr>
    </w:p>
    <w:p>
      <w:pPr>
        <w:ind w:left="1940" w:hanging="555"/>
        <w:spacing w:after="0"/>
        <w:tabs>
          <w:tab w:leader="none" w:pos="19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Service Due to Death or Disability</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300" w:right="160" w:firstLine="652"/>
        <w:spacing w:after="0" w:line="237" w:lineRule="auto"/>
        <w:tabs>
          <w:tab w:leader="none" w:pos="259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In the event of your Termination of Service due to your death or Disability, (A) the Service Condition will be deemed fully satisfied on the date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02" w:right="339" w:bottom="1440" w:gutter="0" w:footer="0" w:header="0"/>
        </w:sectPr>
      </w:pPr>
    </w:p>
    <w:bookmarkStart w:id="159" w:name="page160"/>
    <w:bookmarkEnd w:id="159"/>
    <w:p>
      <w:pPr>
        <w:ind w:left="180" w:right="280"/>
        <w:spacing w:after="0" w:line="238" w:lineRule="auto"/>
        <w:rPr>
          <w:sz w:val="20"/>
          <w:szCs w:val="20"/>
          <w:color w:val="auto"/>
        </w:rPr>
      </w:pPr>
      <w:r>
        <w:rPr>
          <w:rFonts w:ascii="Times New Roman" w:cs="Times New Roman" w:eastAsia="Times New Roman" w:hAnsi="Times New Roman"/>
          <w:sz w:val="17"/>
          <w:szCs w:val="17"/>
          <w:color w:val="auto"/>
        </w:rPr>
        <w:t>Termination of Service (such date, the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and (B) the number of such Options that become Vested Options (if any) will be determined based on actual achievement of the Performance Condition during the Performance Period, as determined by the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Committee on the Certification Date in accordance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80" w:right="360" w:firstLine="652"/>
        <w:spacing w:after="0" w:line="224" w:lineRule="auto"/>
        <w:tabs>
          <w:tab w:leader="none" w:pos="146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Any Options that are Unvested Options on the Termination Date that become Vested Options in accordance with Section 5(a)(i) above will remain exercisable until the earlier of (A) one year following the Certification Date (or, if later, the Termination Date) and (B) the Expiration Date. Any Options that are Vested Options on the Termination Date will remain exercisable until the earlier of (x) one (1) year following the Termination Date and (y) the Expiration Date.</w:t>
      </w:r>
    </w:p>
    <w:p>
      <w:pPr>
        <w:spacing w:after="0" w:line="156" w:lineRule="exact"/>
        <w:rPr>
          <w:rFonts w:ascii="Times New Roman" w:cs="Times New Roman" w:eastAsia="Times New Roman" w:hAnsi="Times New Roman"/>
          <w:sz w:val="18"/>
          <w:szCs w:val="18"/>
          <w:color w:val="auto"/>
        </w:rPr>
      </w:pPr>
    </w:p>
    <w:p>
      <w:pPr>
        <w:ind w:left="820" w:hanging="555"/>
        <w:spacing w:after="0"/>
        <w:tabs>
          <w:tab w:leader="none" w:pos="8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of Service by the Company without Cause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180" w:right="40" w:firstLine="652"/>
        <w:spacing w:after="0" w:line="215" w:lineRule="auto"/>
        <w:tabs>
          <w:tab w:leader="none" w:pos="147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Vesting—Involuntary Termination Prior to 62/10 Retirement Eligibility</w:t>
      </w:r>
      <w:r>
        <w:rPr>
          <w:rFonts w:ascii="Times New Roman" w:cs="Times New Roman" w:eastAsia="Times New Roman" w:hAnsi="Times New Roman"/>
          <w:sz w:val="18"/>
          <w:szCs w:val="18"/>
          <w:color w:val="auto"/>
        </w:rPr>
        <w:t xml:space="preserve">. In the event of your involuntary Termination of Service by the Company without Cause prior to your 62/10 Retirement Eligibility,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that is executed by you and becomes irrevocable within 60 days of your Termination Date, a prorated portion of the Service Condition will be deemed satisfied,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total number of days you are employed by the Company during the Service Vesting Period, inclusive of the Grant Date and the Termination Date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total number of days in the Service Vesting Period, inclusive of the Grant Date and the last day in the Service Vesting Period. The number of such prorated Options (rounded up to the nearest whole number for this purpose)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180" w:firstLine="652"/>
        <w:spacing w:after="0" w:line="217" w:lineRule="auto"/>
        <w:tabs>
          <w:tab w:leader="none" w:pos="146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Vesting—Involuntary Termination Following 62/10 Retirement Eligibility</w:t>
      </w:r>
      <w:r>
        <w:rPr>
          <w:rFonts w:ascii="Times New Roman" w:cs="Times New Roman" w:eastAsia="Times New Roman" w:hAnsi="Times New Roman"/>
          <w:sz w:val="18"/>
          <w:szCs w:val="18"/>
          <w:color w:val="auto"/>
        </w:rPr>
        <w:t xml:space="preserve">. In the event of your involuntary Termination of Service by the Company without Cause following your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that is executed by you and becomes irrevocable within 60 days of your Termination Date, (A) the Service Condition will be deemed fully satisfied on your Termination Date and (B) the number of such Options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20" w:lineRule="auto"/>
        <w:tabs>
          <w:tab w:leader="none" w:pos="147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Exercisability—Involuntary Termination Prior to 62/10 Retirement Eligibility</w:t>
      </w:r>
      <w:r>
        <w:rPr>
          <w:rFonts w:ascii="Times New Roman" w:cs="Times New Roman" w:eastAsia="Times New Roman" w:hAnsi="Times New Roman"/>
          <w:sz w:val="18"/>
          <w:szCs w:val="18"/>
          <w:color w:val="auto"/>
        </w:rPr>
        <w:t>. In the event of your involuntary Termination of Service by the Company without Cause prior to your 62/10 Retirement Eligibility, (A) any Options that are Unvested Options on the Termination Date that become Vested Options in accordance with Section 5(b)(i) above will remain exercisable until the earlier of (x) 90 days following the Certification Date (or, if later, the Termination Date) and (y) the Expiration Date, and (B) any Options that are Vested Options on the Termination Date will remain exercisable until the earlier of (x) 90 days following the Termination Date and (y) the Expiration Date.</w:t>
      </w:r>
    </w:p>
    <w:p>
      <w:pPr>
        <w:spacing w:after="0" w:line="157" w:lineRule="exact"/>
        <w:rPr>
          <w:rFonts w:ascii="Times New Roman" w:cs="Times New Roman" w:eastAsia="Times New Roman" w:hAnsi="Times New Roman"/>
          <w:sz w:val="18"/>
          <w:szCs w:val="18"/>
          <w:color w:val="auto"/>
        </w:rPr>
      </w:pPr>
    </w:p>
    <w:p>
      <w:pPr>
        <w:ind w:left="180" w:right="100" w:firstLine="652"/>
        <w:spacing w:after="0" w:line="224" w:lineRule="auto"/>
        <w:tabs>
          <w:tab w:leader="none" w:pos="146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Exercisability—Involuntary Termination Following 62/10 Retirement Eligibility</w:t>
      </w:r>
      <w:r>
        <w:rPr>
          <w:rFonts w:ascii="Times New Roman" w:cs="Times New Roman" w:eastAsia="Times New Roman" w:hAnsi="Times New Roman"/>
          <w:sz w:val="18"/>
          <w:szCs w:val="18"/>
          <w:color w:val="auto"/>
        </w:rPr>
        <w:t>. In the event of your involuntary Termination of Service by the Company without Cause following your 62/10 Retirement Eligibility, any Options that are (A) Unvested Options on the Termination Date that become Vested Options in accordance with Section 5(b)(ii) above or (B) are Vested Options on the Termination Date, in each case will remain exercisable until the Expiration Date.</w:t>
      </w:r>
    </w:p>
    <w:p>
      <w:pPr>
        <w:spacing w:after="0" w:line="156" w:lineRule="exact"/>
        <w:rPr>
          <w:rFonts w:ascii="Times New Roman" w:cs="Times New Roman" w:eastAsia="Times New Roman" w:hAnsi="Times New Roman"/>
          <w:sz w:val="18"/>
          <w:szCs w:val="18"/>
          <w:color w:val="auto"/>
        </w:rPr>
      </w:pPr>
    </w:p>
    <w:p>
      <w:pPr>
        <w:ind w:left="-460" w:right="220" w:firstLine="725"/>
        <w:spacing w:after="0" w:line="232" w:lineRule="auto"/>
        <w:tabs>
          <w:tab w:leader="none" w:pos="83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Terminations. </w:t>
      </w:r>
      <w:r>
        <w:rPr>
          <w:rFonts w:ascii="Times New Roman" w:cs="Times New Roman" w:eastAsia="Times New Roman" w:hAnsi="Times New Roman"/>
          <w:sz w:val="18"/>
          <w:szCs w:val="18"/>
          <w:color w:val="auto"/>
        </w:rPr>
        <w:t>In the event of your applicable Retirement Termination, your Options shall be eligible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treatment specified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you are in compliance with the Notice Requirements and all of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(y) you execute and do not revoke an agreement and release of claims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00"/>
          </w:cols>
          <w:pgMar w:left="1440" w:top="1400" w:right="359" w:bottom="1440" w:gutter="0" w:footer="0" w:header="0"/>
        </w:sectPr>
      </w:pPr>
    </w:p>
    <w:bookmarkStart w:id="160" w:name="page161"/>
    <w:bookmarkEnd w:id="160"/>
    <w:p>
      <w:pPr>
        <w:ind w:right="260"/>
        <w:spacing w:after="0" w:line="237" w:lineRule="auto"/>
        <w:rPr>
          <w:sz w:val="20"/>
          <w:szCs w:val="20"/>
          <w:color w:val="auto"/>
        </w:rPr>
      </w:pPr>
      <w:r>
        <w:rPr>
          <w:rFonts w:ascii="Times New Roman" w:cs="Times New Roman" w:eastAsia="Times New Roman" w:hAnsi="Times New Roman"/>
          <w:sz w:val="18"/>
          <w:szCs w:val="18"/>
          <w:color w:val="auto"/>
        </w:rPr>
        <w:t xml:space="preserve">to the Company, which will contain restrictive covenants substantially in the form as those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is executed by you and becomes irrevocable within 60 days following your Termination Date:</w:t>
      </w:r>
    </w:p>
    <w:p>
      <w:pPr>
        <w:spacing w:after="0" w:line="172" w:lineRule="exact"/>
        <w:rPr>
          <w:sz w:val="20"/>
          <w:szCs w:val="20"/>
          <w:color w:val="auto"/>
        </w:rPr>
      </w:pPr>
    </w:p>
    <w:p>
      <w:pPr>
        <w:ind w:left="640" w:firstLine="652"/>
        <w:spacing w:after="0" w:line="217" w:lineRule="auto"/>
        <w:tabs>
          <w:tab w:leader="none" w:pos="193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Vesting—Legacy Retirement Termination and 55/10 Retirement Termination</w:t>
      </w:r>
      <w:r>
        <w:rPr>
          <w:rFonts w:ascii="Times New Roman" w:cs="Times New Roman" w:eastAsia="Times New Roman" w:hAnsi="Times New Roman"/>
          <w:sz w:val="18"/>
          <w:szCs w:val="18"/>
          <w:color w:val="auto"/>
        </w:rPr>
        <w:t xml:space="preserve">. In the event of your Legacy Retirement Termination or 55/10 Retirement Termination, a prorated portion of the Service Condition will be deemed satisfied, determined by </w:t>
      </w:r>
      <w:r>
        <w:rPr>
          <w:rFonts w:ascii="Times New Roman" w:cs="Times New Roman" w:eastAsia="Times New Roman" w:hAnsi="Times New Roman"/>
          <w:sz w:val="18"/>
          <w:szCs w:val="18"/>
          <w:i w:val="1"/>
          <w:iCs w:val="1"/>
          <w:color w:val="auto"/>
        </w:rPr>
        <w:t xml:space="preserve">dividing </w:t>
      </w:r>
      <w:r>
        <w:rPr>
          <w:rFonts w:ascii="Times New Roman" w:cs="Times New Roman" w:eastAsia="Times New Roman" w:hAnsi="Times New Roman"/>
          <w:sz w:val="18"/>
          <w:szCs w:val="18"/>
          <w:color w:val="auto"/>
        </w:rPr>
        <w:t>(A) the total number of days you are employed by the Company during the Service Vesting Period, inclusive of the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Termination Date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total number of days in the Service Vesting Period, inclusive of the Grant Date and the last day in the Service Vesting Period. The number of such prorated Options (rounded up to the nearest whole number for this purpose)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40" w:right="60" w:firstLine="652"/>
        <w:spacing w:after="0" w:line="224" w:lineRule="auto"/>
        <w:tabs>
          <w:tab w:leader="none" w:pos="192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Vesting—62/10 Retirement Termination</w:t>
      </w:r>
      <w:r>
        <w:rPr>
          <w:rFonts w:ascii="Times New Roman" w:cs="Times New Roman" w:eastAsia="Times New Roman" w:hAnsi="Times New Roman"/>
          <w:sz w:val="18"/>
          <w:szCs w:val="18"/>
          <w:color w:val="auto"/>
        </w:rPr>
        <w:t xml:space="preserve">. In the event of your 62/10 Retirement Termination, (A) the Service Condition will be deemed fully satisfied on your Termination Date and (B) the number of such Options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640" w:right="180" w:firstLine="652"/>
        <w:spacing w:after="0" w:line="231" w:lineRule="auto"/>
        <w:tabs>
          <w:tab w:leader="none" w:pos="19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Any Options that are (A) Unvested Options on the Termination Date that become Vested Options in accordance with Sections 5(c)(i) and (ii) above or (B) are Vested Options on the Termination Date, in each case will remain exercisable until the Expiration Date.</w:t>
      </w:r>
    </w:p>
    <w:p>
      <w:pPr>
        <w:spacing w:after="0" w:line="158" w:lineRule="exact"/>
        <w:rPr>
          <w:rFonts w:ascii="Times New Roman" w:cs="Times New Roman" w:eastAsia="Times New Roman" w:hAnsi="Times New Roman"/>
          <w:sz w:val="18"/>
          <w:szCs w:val="18"/>
          <w:color w:val="auto"/>
        </w:rPr>
      </w:pPr>
    </w:p>
    <w:p>
      <w:pPr>
        <w:ind w:left="640" w:firstLine="652"/>
        <w:spacing w:after="0" w:line="231" w:lineRule="auto"/>
        <w:tabs>
          <w:tab w:leader="none" w:pos="192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following chart provides a summary overview of the treatment of your awards upon a Retirement Termination, as set forth in Sections 5(c)(i) and (ii) . This summary chart is qualified in its entirety by the terms of Sections 5(c)(i) and (ii). In the event of any inconsistency between the terms of the below chart and Sections 5(c)(i) and (ii), the terms of Sections 5(c)(i) and (ii)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560"/>
          </w:cols>
          <w:pgMar w:left="980" w:top="1404" w:right="359" w:bottom="1440" w:gutter="0" w:footer="0" w:header="0"/>
        </w:sectPr>
      </w:pPr>
    </w:p>
    <w:bookmarkStart w:id="161" w:name="page162"/>
    <w:bookmarkEnd w:id="1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26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 and Service Requirements</w:t>
            </w:r>
          </w:p>
        </w:tc>
        <w:tc>
          <w:tcPr>
            <w:tcW w:w="308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Date on Which Age and Service</w:t>
            </w:r>
          </w:p>
        </w:tc>
        <w:tc>
          <w:tcPr>
            <w:tcW w:w="4920" w:type="dxa"/>
            <w:vAlign w:val="bottom"/>
            <w:tcBorders>
              <w:top w:val="single" w:sz="8" w:color="auto"/>
              <w:right w:val="single" w:sz="8" w:color="auto"/>
            </w:tcBorders>
            <w:vMerge w:val="restart"/>
            <w:shd w:val="clear" w:color="auto" w:fill="D9D9D9"/>
          </w:tcPr>
          <w:p>
            <w:pPr>
              <w:ind w:left="204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0" w:type="dxa"/>
            <w:vAlign w:val="bottom"/>
          </w:tcPr>
          <w:p>
            <w:pPr>
              <w:spacing w:after="0"/>
              <w:rPr>
                <w:sz w:val="1"/>
                <w:szCs w:val="1"/>
                <w:color w:val="auto"/>
              </w:rPr>
            </w:pPr>
          </w:p>
        </w:tc>
      </w:tr>
      <w:tr>
        <w:trPr>
          <w:trHeight w:val="243"/>
        </w:trPr>
        <w:tc>
          <w:tcPr>
            <w:tcW w:w="3260" w:type="dxa"/>
            <w:vAlign w:val="bottom"/>
            <w:tcBorders>
              <w:left w:val="single" w:sz="8" w:color="auto"/>
              <w:bottom w:val="single" w:sz="8" w:color="auto"/>
              <w:right w:val="single" w:sz="8" w:color="auto"/>
            </w:tcBorders>
            <w:vMerge w:val="continue"/>
            <w:shd w:val="clear" w:color="auto" w:fill="D9D9D9"/>
          </w:tcPr>
          <w:p>
            <w:pPr>
              <w:spacing w:after="0"/>
              <w:rPr>
                <w:sz w:val="21"/>
                <w:szCs w:val="21"/>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Requirements Must be Satisfied</w:t>
            </w:r>
          </w:p>
        </w:tc>
        <w:tc>
          <w:tcPr>
            <w:tcW w:w="4920" w:type="dxa"/>
            <w:vAlign w:val="bottom"/>
            <w:tcBorders>
              <w:bottom w:val="single" w:sz="8" w:color="auto"/>
              <w:right w:val="single" w:sz="8" w:color="auto"/>
            </w:tcBorders>
            <w:vMerge w:val="continue"/>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Legacy Retirement Eligibility</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7, 2019</w:t>
            </w: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(see definition of “Legacy Retirement</w:t>
            </w:r>
          </w:p>
        </w:tc>
        <w:tc>
          <w:tcPr>
            <w:tcW w:w="30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prorated portion of the Service Condition will be deemed</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satisfied, determined by dividing (A) the total number of days you</w:t>
            </w:r>
          </w:p>
        </w:tc>
        <w:tc>
          <w:tcPr>
            <w:tcW w:w="0" w:type="dxa"/>
            <w:vAlign w:val="bottom"/>
          </w:tcPr>
          <w:p>
            <w:pPr>
              <w:spacing w:after="0"/>
              <w:rPr>
                <w:sz w:val="1"/>
                <w:szCs w:val="1"/>
                <w:color w:val="auto"/>
              </w:rPr>
            </w:pPr>
          </w:p>
        </w:tc>
      </w:tr>
      <w:tr>
        <w:trPr>
          <w:trHeight w:val="214"/>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are employed by the Company during the Service Vesting Period,</w:t>
            </w:r>
          </w:p>
        </w:tc>
        <w:tc>
          <w:tcPr>
            <w:tcW w:w="0" w:type="dxa"/>
            <w:vAlign w:val="bottom"/>
          </w:tcPr>
          <w:p>
            <w:pPr>
              <w:spacing w:after="0"/>
              <w:rPr>
                <w:sz w:val="1"/>
                <w:szCs w:val="1"/>
                <w:color w:val="auto"/>
              </w:rPr>
            </w:pPr>
          </w:p>
        </w:tc>
      </w:tr>
      <w:tr>
        <w:trPr>
          <w:trHeight w:val="218"/>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inclusive of the Grant Date and the Termination Date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days in the Service Vesting Period, inclusive of</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Grant Date and the last day in the Service Vesting Period.</w:t>
            </w:r>
          </w:p>
        </w:tc>
        <w:tc>
          <w:tcPr>
            <w:tcW w:w="0" w:type="dxa"/>
            <w:vAlign w:val="bottom"/>
          </w:tcPr>
          <w:p>
            <w:pPr>
              <w:spacing w:after="0"/>
              <w:rPr>
                <w:sz w:val="1"/>
                <w:szCs w:val="1"/>
                <w:color w:val="auto"/>
              </w:rPr>
            </w:pPr>
          </w:p>
        </w:tc>
      </w:tr>
      <w:tr>
        <w:trPr>
          <w:trHeight w:val="441"/>
        </w:trPr>
        <w:tc>
          <w:tcPr>
            <w:tcW w:w="3260" w:type="dxa"/>
            <w:vAlign w:val="bottom"/>
            <w:tcBorders>
              <w:left w:val="single" w:sz="8" w:color="auto"/>
              <w:right w:val="single" w:sz="8" w:color="auto"/>
            </w:tcBorders>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number of such prorated Options (rounded up to the nearest</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whole number for this purpose) that become Vested Options (if</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 will be determined based on actual achievement of the</w:t>
            </w:r>
          </w:p>
        </w:tc>
        <w:tc>
          <w:tcPr>
            <w:tcW w:w="0" w:type="dxa"/>
            <w:vAlign w:val="bottom"/>
          </w:tcPr>
          <w:p>
            <w:pPr>
              <w:spacing w:after="0"/>
              <w:rPr>
                <w:sz w:val="1"/>
                <w:szCs w:val="1"/>
                <w:color w:val="auto"/>
              </w:rPr>
            </w:pPr>
          </w:p>
        </w:tc>
      </w:tr>
      <w:tr>
        <w:trPr>
          <w:trHeight w:val="167"/>
        </w:trPr>
        <w:tc>
          <w:tcPr>
            <w:tcW w:w="3260" w:type="dxa"/>
            <w:vAlign w:val="bottom"/>
            <w:tcBorders>
              <w:left w:val="single" w:sz="8" w:color="auto"/>
              <w:bottom w:val="single" w:sz="8" w:color="auto"/>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spacing w:after="0"/>
              <w:rPr>
                <w:sz w:val="14"/>
                <w:szCs w:val="14"/>
                <w:color w:val="auto"/>
              </w:rPr>
            </w:pPr>
          </w:p>
        </w:tc>
        <w:tc>
          <w:tcPr>
            <w:tcW w:w="4920" w:type="dxa"/>
            <w:vAlign w:val="bottom"/>
            <w:tcBorders>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8"/>
                <w:szCs w:val="18"/>
                <w:color w:val="auto"/>
              </w:rPr>
              <w:t>Performance Condition during the Performance Period, as</w:t>
            </w:r>
          </w:p>
        </w:tc>
        <w:tc>
          <w:tcPr>
            <w:tcW w:w="0" w:type="dxa"/>
            <w:vAlign w:val="bottom"/>
          </w:tcPr>
          <w:p>
            <w:pPr>
              <w:spacing w:after="0"/>
              <w:rPr>
                <w:sz w:val="1"/>
                <w:szCs w:val="1"/>
                <w:color w:val="auto"/>
              </w:rPr>
            </w:pPr>
          </w:p>
        </w:tc>
      </w:tr>
      <w:tr>
        <w:trPr>
          <w:trHeight w:val="245"/>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55 and 10 years of service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determined by the Committee on the Certification Date in</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“55/10 Retirement</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accordance with Annex A.</w:t>
            </w:r>
          </w:p>
        </w:tc>
        <w:tc>
          <w:tcPr>
            <w:tcW w:w="0" w:type="dxa"/>
            <w:vAlign w:val="bottom"/>
          </w:tcPr>
          <w:p>
            <w:pPr>
              <w:spacing w:after="0"/>
              <w:rPr>
                <w:sz w:val="1"/>
                <w:szCs w:val="1"/>
                <w:color w:val="auto"/>
              </w:rPr>
            </w:pPr>
          </w:p>
        </w:tc>
      </w:tr>
      <w:tr>
        <w:trPr>
          <w:trHeight w:val="198"/>
        </w:trPr>
        <w:tc>
          <w:tcPr>
            <w:tcW w:w="3260" w:type="dxa"/>
            <w:vAlign w:val="bottom"/>
            <w:tcBorders>
              <w:left w:val="single" w:sz="8" w:color="auto"/>
              <w:right w:val="single" w:sz="8" w:color="auto"/>
            </w:tcBorders>
            <w:vMerge w:val="continue"/>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c>
          <w:tcPr>
            <w:tcW w:w="4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26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Age 62 and 10 years of service</w:t>
            </w:r>
          </w:p>
        </w:tc>
        <w:tc>
          <w:tcPr>
            <w:tcW w:w="30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Service Vesting Date</w:t>
            </w:r>
          </w:p>
        </w:tc>
        <w:tc>
          <w:tcPr>
            <w:tcW w:w="49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 the Service Condition will be deemed fully satisfied on your</w:t>
            </w:r>
          </w:p>
        </w:tc>
        <w:tc>
          <w:tcPr>
            <w:tcW w:w="0" w:type="dxa"/>
            <w:vAlign w:val="bottom"/>
          </w:tcPr>
          <w:p>
            <w:pPr>
              <w:spacing w:after="0"/>
              <w:rPr>
                <w:sz w:val="1"/>
                <w:szCs w:val="1"/>
                <w:color w:val="auto"/>
              </w:rPr>
            </w:pPr>
          </w:p>
        </w:tc>
      </w:tr>
      <w:tr>
        <w:trPr>
          <w:trHeight w:val="171"/>
        </w:trPr>
        <w:tc>
          <w:tcPr>
            <w:tcW w:w="3260" w:type="dxa"/>
            <w:vAlign w:val="bottom"/>
            <w:tcBorders>
              <w:left w:val="single" w:sz="8" w:color="auto"/>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4920" w:type="dxa"/>
            <w:vAlign w:val="bottom"/>
            <w:tcBorders>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Termination Date and (B) the number of such Options that become</w:t>
            </w:r>
          </w:p>
        </w:tc>
        <w:tc>
          <w:tcPr>
            <w:tcW w:w="0" w:type="dxa"/>
            <w:vAlign w:val="bottom"/>
          </w:tcPr>
          <w:p>
            <w:pPr>
              <w:spacing w:after="0"/>
              <w:rPr>
                <w:sz w:val="1"/>
                <w:szCs w:val="1"/>
                <w:color w:val="auto"/>
              </w:rPr>
            </w:pPr>
          </w:p>
        </w:tc>
      </w:tr>
      <w:tr>
        <w:trPr>
          <w:trHeight w:val="18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(see definition of “62/10 Retirement</w:t>
            </w:r>
          </w:p>
        </w:tc>
        <w:tc>
          <w:tcPr>
            <w:tcW w:w="3080" w:type="dxa"/>
            <w:vAlign w:val="bottom"/>
            <w:tcBorders>
              <w:right w:val="single" w:sz="8" w:color="auto"/>
            </w:tcBorders>
          </w:tcPr>
          <w:p>
            <w:pPr>
              <w:spacing w:after="0"/>
              <w:rPr>
                <w:sz w:val="15"/>
                <w:szCs w:val="15"/>
                <w:color w:val="auto"/>
              </w:rPr>
            </w:pPr>
          </w:p>
        </w:tc>
        <w:tc>
          <w:tcPr>
            <w:tcW w:w="49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Vested Options (if any) will be determined based on actual</w:t>
            </w:r>
          </w:p>
        </w:tc>
        <w:tc>
          <w:tcPr>
            <w:tcW w:w="0" w:type="dxa"/>
            <w:vAlign w:val="bottom"/>
          </w:tcPr>
          <w:p>
            <w:pPr>
              <w:spacing w:after="0"/>
              <w:rPr>
                <w:sz w:val="1"/>
                <w:szCs w:val="1"/>
                <w:color w:val="auto"/>
              </w:rPr>
            </w:pPr>
          </w:p>
        </w:tc>
      </w:tr>
      <w:tr>
        <w:trPr>
          <w:trHeight w:val="144"/>
        </w:trPr>
        <w:tc>
          <w:tcPr>
            <w:tcW w:w="3260" w:type="dxa"/>
            <w:vAlign w:val="bottom"/>
            <w:tcBorders>
              <w:left w:val="single" w:sz="8" w:color="auto"/>
              <w:right w:val="single" w:sz="8" w:color="auto"/>
            </w:tcBorders>
            <w:vMerge w:val="continue"/>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20" w:type="dxa"/>
            <w:vAlign w:val="bottom"/>
            <w:tcBorders>
              <w:right w:val="single" w:sz="8" w:color="auto"/>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achievement  of  the  Performance  Condition  during  the</w:t>
            </w:r>
          </w:p>
        </w:tc>
        <w:tc>
          <w:tcPr>
            <w:tcW w:w="0" w:type="dxa"/>
            <w:vAlign w:val="bottom"/>
          </w:tcPr>
          <w:p>
            <w:pPr>
              <w:spacing w:after="0"/>
              <w:rPr>
                <w:sz w:val="1"/>
                <w:szCs w:val="1"/>
                <w:color w:val="auto"/>
              </w:rPr>
            </w:pPr>
          </w:p>
        </w:tc>
      </w:tr>
      <w:tr>
        <w:trPr>
          <w:trHeight w:val="32"/>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Eligibility”)</w:t>
            </w:r>
          </w:p>
        </w:tc>
        <w:tc>
          <w:tcPr>
            <w:tcW w:w="3080" w:type="dxa"/>
            <w:vAlign w:val="bottom"/>
            <w:tcBorders>
              <w:right w:val="single" w:sz="8" w:color="auto"/>
            </w:tcBorders>
          </w:tcPr>
          <w:p>
            <w:pPr>
              <w:spacing w:after="0"/>
              <w:rPr>
                <w:sz w:val="2"/>
                <w:szCs w:val="2"/>
                <w:color w:val="auto"/>
              </w:rPr>
            </w:pPr>
          </w:p>
        </w:tc>
        <w:tc>
          <w:tcPr>
            <w:tcW w:w="4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260" w:type="dxa"/>
            <w:vAlign w:val="bottom"/>
            <w:tcBorders>
              <w:left w:val="single" w:sz="8" w:color="auto"/>
              <w:right w:val="single" w:sz="8" w:color="auto"/>
            </w:tcBorders>
            <w:vMerge w:val="continue"/>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Performance Period, as determined by the Committee on the</w:t>
            </w:r>
          </w:p>
        </w:tc>
        <w:tc>
          <w:tcPr>
            <w:tcW w:w="0" w:type="dxa"/>
            <w:vAlign w:val="bottom"/>
          </w:tcPr>
          <w:p>
            <w:pPr>
              <w:spacing w:after="0"/>
              <w:rPr>
                <w:sz w:val="1"/>
                <w:szCs w:val="1"/>
                <w:color w:val="auto"/>
              </w:rPr>
            </w:pPr>
          </w:p>
        </w:tc>
      </w:tr>
      <w:tr>
        <w:trPr>
          <w:trHeight w:val="234"/>
        </w:trPr>
        <w:tc>
          <w:tcPr>
            <w:tcW w:w="326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Date in accordance with Annex 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left="660" w:right="140" w:firstLine="725"/>
        <w:spacing w:after="0" w:line="227" w:lineRule="auto"/>
        <w:tabs>
          <w:tab w:leader="none" w:pos="195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for Cause. </w:t>
      </w:r>
      <w:r>
        <w:rPr>
          <w:rFonts w:ascii="Times New Roman" w:cs="Times New Roman" w:eastAsia="Times New Roman" w:hAnsi="Times New Roman"/>
          <w:sz w:val="18"/>
          <w:szCs w:val="18"/>
          <w:color w:val="auto"/>
        </w:rPr>
        <w:t>In the event of your Termination of Service by the Company for Cause, all of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unexercised Options (whether Vested Options or Unvested Options) will be immediately forfeited and cancelled on the Termination Date without the payment of any consideration.</w:t>
      </w:r>
    </w:p>
    <w:p>
      <w:pPr>
        <w:spacing w:after="0" w:line="168" w:lineRule="exact"/>
        <w:rPr>
          <w:rFonts w:ascii="Times New Roman" w:cs="Times New Roman" w:eastAsia="Times New Roman" w:hAnsi="Times New Roman"/>
          <w:sz w:val="18"/>
          <w:szCs w:val="18"/>
          <w:color w:val="auto"/>
        </w:rPr>
      </w:pPr>
    </w:p>
    <w:p>
      <w:pPr>
        <w:ind w:left="660" w:right="100" w:firstLine="725"/>
        <w:spacing w:after="0" w:line="217" w:lineRule="auto"/>
        <w:tabs>
          <w:tab w:leader="none" w:pos="19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Terminations of Service (Including Voluntary Resignation)</w:t>
      </w:r>
      <w:r>
        <w:rPr>
          <w:rFonts w:ascii="Times New Roman" w:cs="Times New Roman" w:eastAsia="Times New Roman" w:hAnsi="Times New Roman"/>
          <w:sz w:val="18"/>
          <w:szCs w:val="18"/>
          <w:color w:val="auto"/>
        </w:rPr>
        <w:t>. In the event of your Termination of Service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those described in Sections 5(a) through 5(d) (including, for the avoidance of doubt, your voluntary resignation), subject to your compliance with any applicable Notice Requirements, your Options will be treated as follows: (i) any Options that are Unvested Options on your Termination Date will be immediately forfeited and cancelled in their entirety without the payment of any consideration and (ii) any Options that are Vested Options on the Termination Date will remain exercisable until the earlier of (A) 30 days following the Termination Date and (B) the Expiration Date.</w:t>
      </w:r>
    </w:p>
    <w:p>
      <w:pPr>
        <w:spacing w:after="0" w:line="173" w:lineRule="exact"/>
        <w:rPr>
          <w:rFonts w:ascii="Times New Roman" w:cs="Times New Roman" w:eastAsia="Times New Roman" w:hAnsi="Times New Roman"/>
          <w:sz w:val="18"/>
          <w:szCs w:val="18"/>
          <w:color w:val="auto"/>
        </w:rPr>
      </w:pPr>
    </w:p>
    <w:p>
      <w:pPr>
        <w:ind w:left="660" w:right="60" w:firstLine="725"/>
        <w:spacing w:after="0" w:line="227" w:lineRule="auto"/>
        <w:tabs>
          <w:tab w:leader="none" w:pos="194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Service</w:t>
      </w:r>
      <w:r>
        <w:rPr>
          <w:rFonts w:ascii="Times New Roman" w:cs="Times New Roman" w:eastAsia="Times New Roman" w:hAnsi="Times New Roman"/>
          <w:sz w:val="17"/>
          <w:szCs w:val="17"/>
          <w:color w:val="auto"/>
        </w:rPr>
        <w:t>. Unless otherwise provided in this Section 5 or Section 6(b), your employment relationship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terminated as of the date of your Termination of Service and such date will not be extended by any notice period (i.e., your period of employment or service would not include any contractual notice period or any period of “garden leave” or similar period mandated under employment laws in the jurisdiction where you are employed or the terms of your employment agreement, if any). For the avoidance of doubt, the Committee shall have the exclusive discretion to determine whether and when you incur a Termination of Service for all purposes of your Options (including, without limitation, for purposes of this Section 5 and determining whether you are a Retirement Eligible Participant), including whether a Termination of Service will be deemed to occur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60"/>
          </w:cols>
          <w:pgMar w:left="320" w:top="1440" w:right="31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employment to any such entity will constitute a Termination of Service for purposes of your Options).</w:t>
      </w:r>
    </w:p>
    <w:p>
      <w:pPr>
        <w:spacing w:after="0" w:line="183" w:lineRule="exact"/>
        <w:rPr>
          <w:sz w:val="20"/>
          <w:szCs w:val="20"/>
          <w:color w:val="auto"/>
        </w:rPr>
      </w:pPr>
    </w:p>
    <w:p>
      <w:pPr>
        <w:jc w:val="both"/>
        <w:ind w:left="660" w:right="60" w:firstLine="725"/>
        <w:spacing w:after="0" w:line="232" w:lineRule="auto"/>
        <w:tabs>
          <w:tab w:leader="none" w:pos="19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Provisions. </w:t>
      </w:r>
      <w:r>
        <w:rPr>
          <w:rFonts w:ascii="Times New Roman" w:cs="Times New Roman" w:eastAsia="Times New Roman" w:hAnsi="Times New Roman"/>
          <w:sz w:val="18"/>
          <w:szCs w:val="18"/>
          <w:color w:val="auto"/>
        </w:rPr>
        <w:t>For the avoidance of doubt, your revocation of a notice of intention to resign may, in the Company’s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or if required to comply with Section 409A, be deemed to be noncompliant with the Notice Requirements and, in connection with such revocation, your Options may be forfeited.</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Change in Control.</w:t>
      </w:r>
    </w:p>
    <w:p>
      <w:pPr>
        <w:spacing w:after="0" w:line="196" w:lineRule="exact"/>
        <w:rPr>
          <w:sz w:val="20"/>
          <w:szCs w:val="20"/>
          <w:color w:val="auto"/>
        </w:rPr>
      </w:pPr>
    </w:p>
    <w:p>
      <w:pPr>
        <w:ind w:left="660" w:right="20" w:firstLine="725"/>
        <w:spacing w:after="0" w:line="214" w:lineRule="auto"/>
        <w:tabs>
          <w:tab w:leader="none" w:pos="195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In the event of a Change in Control, the Committee, in its sole discretion, may provide for (i) the continuation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assumption, or the substitution or replacement, of your outstanding Options under (and in accordance with the terms of) the Plan by the Company (if it is the surviving corporation) or by the surviving corporation or its parent, in which case your Options will continue to be subject to the same (or substantially the same) terms of this Award Agreement, or (ii) the vesting and exercisability of outstanding Options immediately prior to such Change in Control upon the failure of the successor or surviving entity to continue or assume, or substitute or replace, the Options, in each case as determined by the Committee in accordance with the terms of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each case, that to the extent the Performance Period has not been completed as of the date of such Change in Control, the Performance Condition will be deemed to have been achieved at the greater of (x) actual achievement of the Performance Condition for the period (A) commencing on the first date of the Performance Period and (B) ending on the date immediately prior to such Change in Control and (y) [●]. Following a Change in Control in which your outstanding Options are continued or assumed or substituted or replaced pursuant to clause (i) above, such Options will be subject only to continued service through the Vesting Date.</w:t>
      </w:r>
    </w:p>
    <w:p>
      <w:pPr>
        <w:spacing w:after="0" w:line="156" w:lineRule="exact"/>
        <w:rPr>
          <w:rFonts w:ascii="Times New Roman" w:cs="Times New Roman" w:eastAsia="Times New Roman" w:hAnsi="Times New Roman"/>
          <w:sz w:val="18"/>
          <w:szCs w:val="18"/>
          <w:color w:val="auto"/>
        </w:rPr>
      </w:pPr>
    </w:p>
    <w:p>
      <w:pPr>
        <w:ind w:left="660" w:right="40" w:firstLine="725"/>
        <w:spacing w:after="0" w:line="225" w:lineRule="auto"/>
        <w:tabs>
          <w:tab w:leader="none" w:pos="19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Qualifying Termination</w:t>
      </w:r>
      <w:r>
        <w:rPr>
          <w:rFonts w:ascii="Times New Roman" w:cs="Times New Roman" w:eastAsia="Times New Roman" w:hAnsi="Times New Roman"/>
          <w:sz w:val="18"/>
          <w:szCs w:val="18"/>
          <w:color w:val="auto"/>
        </w:rPr>
        <w:t>. In the event of a Qualifying Termination (as defined below), your Options will vest and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your Termination of Service by the Company (or by the surviving corporation or its parent, as applicable) without Cause or by you for Good Reason (which shall be deemed an involuntary Termination of Service without Cause), in each case within 24 months following the effective date of the Change in Control pursuant to Section 6(a)(i) above.</w:t>
      </w:r>
    </w:p>
    <w:p>
      <w:pPr>
        <w:spacing w:after="0" w:line="171" w:lineRule="exact"/>
        <w:rPr>
          <w:sz w:val="20"/>
          <w:szCs w:val="20"/>
          <w:color w:val="auto"/>
        </w:rPr>
      </w:pPr>
    </w:p>
    <w:p>
      <w:pPr>
        <w:jc w:val="both"/>
        <w:ind w:right="40"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In consideration of the grant of Options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 In the event you violate any of the restrictive covenants set forth in </w:t>
      </w:r>
      <w:r>
        <w:rPr>
          <w:rFonts w:ascii="Times New Roman" w:cs="Times New Roman" w:eastAsia="Times New Roman" w:hAnsi="Times New Roman"/>
          <w:sz w:val="18"/>
          <w:szCs w:val="18"/>
          <w:u w:val="single" w:color="auto"/>
          <w:color w:val="auto"/>
        </w:rPr>
        <w:t>Exhibit</w:t>
      </w:r>
    </w:p>
    <w:p>
      <w:pPr>
        <w:spacing w:after="0" w:line="1"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 you will immediately forfeit any unexercised Options that are outstanding as of the date of such violation (regardless of whether Vested Options or Unvested Options) and (b) you will promptly deliver to the Company all Shares previously acquired upon the exercise of the Options (or, to the extent you no longer hold such Shares, you will pay to the Company an amount in cash on a gross basis equal to the excess of (i) the aggregate Fair Market Value of</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such Shares on the date you exercised such Options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amount of any Exercise Price you paid upon the exercise of such Options).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8"/>
          <w:szCs w:val="18"/>
          <w:u w:val="single" w:color="auto"/>
          <w:color w:val="auto"/>
        </w:rPr>
        <w:t>Exhibit B to the extent applicable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Cancellation of Awards.</w:t>
      </w:r>
      <w:r>
        <w:rPr>
          <w:rFonts w:ascii="Times New Roman" w:cs="Times New Roman" w:eastAsia="Times New Roman" w:hAnsi="Times New Roman"/>
          <w:sz w:val="17"/>
          <w:szCs w:val="17"/>
          <w:color w:val="auto"/>
        </w:rPr>
        <w:t xml:space="preserve"> Notwithstanding any other terms of this Award Agreement, your unexercised Options (whether Vested Options or Unvested Options) will be forfeited and cancelled in their entirety in the event of any Cancellation Event without the payment of any consideration to you. You may be required to provide MSCI with a written certification or other evidence that it deems appropriate, in its sole discretion, to</w:t>
      </w:r>
    </w:p>
    <w:p>
      <w:pPr>
        <w:spacing w:after="0" w:line="218" w:lineRule="auto"/>
        <w:rPr>
          <w:sz w:val="20"/>
          <w:szCs w:val="20"/>
          <w:color w:val="auto"/>
        </w:rPr>
      </w:pPr>
      <w:r>
        <w:rPr>
          <w:rFonts w:ascii="Times New Roman" w:cs="Times New Roman" w:eastAsia="Times New Roman" w:hAnsi="Times New Roman"/>
          <w:sz w:val="18"/>
          <w:szCs w:val="18"/>
          <w:color w:val="auto"/>
        </w:rPr>
        <w:t>confirm that no Cancellation Event has occurred. If you fail to submit a timely certification or evidence, MSCI will cancel your Options. Except as explicitly provided in Section 5, upon your Termination of Service for any reason, any of your Options that have not vested pursuant to Section 2 as of your Termination Date will be canceled and forfeited in full as of your Termination Date.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 xml:space="preserve">Tax Liability; Withholding Obligations. </w:t>
      </w:r>
      <w:r>
        <w:rPr>
          <w:rFonts w:ascii="Times New Roman" w:cs="Times New Roman" w:eastAsia="Times New Roman" w:hAnsi="Times New Roman"/>
          <w:sz w:val="17"/>
          <w:szCs w:val="17"/>
          <w:color w:val="auto"/>
        </w:rPr>
        <w:t>You hereby agree and acknowledge that, regardless of any action taken by the Company,</w:t>
      </w:r>
    </w:p>
    <w:p>
      <w:pPr>
        <w:spacing w:after="0" w:line="2" w:lineRule="exact"/>
        <w:rPr>
          <w:sz w:val="20"/>
          <w:szCs w:val="20"/>
          <w:color w:val="auto"/>
        </w:rPr>
      </w:pPr>
    </w:p>
    <w:p>
      <w:pPr>
        <w:jc w:val="both"/>
        <w:ind w:right="80"/>
        <w:spacing w:after="0" w:line="231" w:lineRule="auto"/>
        <w:rPr>
          <w:sz w:val="20"/>
          <w:szCs w:val="20"/>
          <w:color w:val="auto"/>
        </w:rPr>
      </w:pPr>
      <w:r>
        <w:rPr>
          <w:rFonts w:ascii="Times New Roman" w:cs="Times New Roman" w:eastAsia="Times New Roman" w:hAnsi="Times New Roman"/>
          <w:sz w:val="17"/>
          <w:szCs w:val="17"/>
          <w:color w:val="auto"/>
        </w:rPr>
        <w:t>the ultimate liability for any and all applicable federal, state, local or foreign income tax, employment tax, social insurance, payroll tax, fringe benefits tax, excise tax payment on account or other tax-related items (including any penalties or interest on any of the foregoing) legally applicable to you and related to your participation in the Plan or the grant, vesting or exercise of the Options (“</w:t>
      </w:r>
      <w:r>
        <w:rPr>
          <w:rFonts w:ascii="Times New Roman" w:cs="Times New Roman" w:eastAsia="Times New Roman" w:hAnsi="Times New Roman"/>
          <w:sz w:val="17"/>
          <w:szCs w:val="17"/>
          <w:b w:val="1"/>
          <w:bCs w:val="1"/>
          <w:color w:val="auto"/>
        </w:rPr>
        <w:t>Tax-Related Items</w:t>
      </w:r>
      <w:r>
        <w:rPr>
          <w:rFonts w:ascii="Times New Roman" w:cs="Times New Roman" w:eastAsia="Times New Roman" w:hAnsi="Times New Roman"/>
          <w:sz w:val="17"/>
          <w:szCs w:val="17"/>
          <w:color w:val="auto"/>
        </w:rPr>
        <w:t>”) is and remains your responsibility (or that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20"/>
          </w:cols>
          <w:pgMar w:left="320" w:top="1404" w:right="359" w:bottom="1440" w:gutter="0" w:footer="0" w:header="0"/>
        </w:sectPr>
      </w:pPr>
    </w:p>
    <w:bookmarkStart w:id="163" w:name="page164"/>
    <w:bookmarkEnd w:id="163"/>
    <w:p>
      <w:pPr>
        <w:ind w:right="140"/>
        <w:spacing w:after="0" w:line="222" w:lineRule="auto"/>
        <w:rPr>
          <w:sz w:val="20"/>
          <w:szCs w:val="20"/>
          <w:color w:val="auto"/>
        </w:rPr>
      </w:pPr>
      <w:r>
        <w:rPr>
          <w:rFonts w:ascii="Times New Roman" w:cs="Times New Roman" w:eastAsia="Times New Roman" w:hAnsi="Times New Roman"/>
          <w:sz w:val="18"/>
          <w:szCs w:val="18"/>
          <w:color w:val="auto"/>
        </w:rPr>
        <w:t>beneficiary). You further acknowledge that (a) the Company makes no representations or undertaking regarding the treatment of any Tax-Related Items in connection with any aspect of the Options, including, but not limited to, the grant, vesting or exercise of the Options and the subsequent sale of Shares</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acquired pursuant to such exercise, (b) the Company does not commit to, and is under no obligation to, structure the terms of the grant or any aspect of the Options to reduce or eliminate your liability for Tax-Related Items or achieve any particular tax result and (c) if you are subject to Tax-Related Items in more than one jurisdiction, the Company (including any former employer) may be required to withhold or account for Tax-Related Items in more than one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jurisdiction. You hereby agree to pay to the Company, including through withholding from your wages or other cash compensation paid to you by the Company, any amount of Tax-Related Items that the Company may be required to withhold or account for as a result of your participation in the Plan and the grant, vesting or exercise of the Options granted to you hereunder. You may not exercise any Options (or any portion thereof) unless and until the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Items are satisfied.</w:t>
      </w:r>
    </w:p>
    <w:p>
      <w:pPr>
        <w:spacing w:after="0" w:line="165" w:lineRule="exact"/>
        <w:rPr>
          <w:sz w:val="20"/>
          <w:szCs w:val="20"/>
          <w:color w:val="auto"/>
        </w:rPr>
      </w:pPr>
    </w:p>
    <w:p>
      <w:pPr>
        <w:ind w:right="16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xml:space="preserve"> Except as provided in Section 11 or by will or the laws of descent and distribution or otherwise as provided for by the Committee, (a) you may not Transfer your Options (or any portion thereof) and (b) during your lifetime, you Options may be exercised only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w:t>
      </w:r>
    </w:p>
    <w:p>
      <w:pPr>
        <w:spacing w:after="0" w:line="165"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Designation of a Beneficiary</w:t>
      </w:r>
      <w:r>
        <w:rPr>
          <w:rFonts w:ascii="Times New Roman" w:cs="Times New Roman" w:eastAsia="Times New Roman" w:hAnsi="Times New Roman"/>
          <w:sz w:val="18"/>
          <w:szCs w:val="18"/>
          <w:color w:val="auto"/>
        </w:rPr>
        <w:t>. Any designation of a beneficiary or beneficiaries to receive all or part of the Options under this Award Agreement in the event of your death will be governed by local law. To make a beneficiary designation, you must coordinate with your personal tax</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or estate planning representative. Any Options that become vested upon your death will be distributed to your estate in accordance with local law rules. You may replace or revoke your beneficiary designation at any time. If there is any question as to the legal right of any beneficiary(ies) to receive Options under this Award, MSCI may determine in its sole discretion to deliver the Options in question to your estate. MSCI’s determination shall be binding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conclusive on all persons, and it will have no further liability to anyone with respect to such Options.</w:t>
      </w:r>
    </w:p>
    <w:p>
      <w:pPr>
        <w:spacing w:after="0" w:line="165" w:lineRule="exact"/>
        <w:rPr>
          <w:sz w:val="20"/>
          <w:szCs w:val="20"/>
          <w:color w:val="auto"/>
        </w:rPr>
      </w:pPr>
    </w:p>
    <w:p>
      <w:pPr>
        <w:ind w:right="5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Securities Law Compliance Matters.</w:t>
      </w:r>
      <w:r>
        <w:rPr>
          <w:rFonts w:ascii="Times New Roman" w:cs="Times New Roman" w:eastAsia="Times New Roman" w:hAnsi="Times New Roman"/>
          <w:sz w:val="18"/>
          <w:szCs w:val="18"/>
          <w:color w:val="auto"/>
        </w:rPr>
        <w:t xml:space="preserve"> MSCI may, if it determines it is appropriate, affix any legend to the stock certificates representing Shares issued upon exercise of your Options and any stock certificates that may subsequently be issued in substitution for the original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MSCI may advise the transfer agent to place a stop order against such Shares if it determines that such an order is necessary or advisable.</w:t>
      </w:r>
    </w:p>
    <w:p>
      <w:pPr>
        <w:spacing w:after="0" w:line="165" w:lineRule="exact"/>
        <w:rPr>
          <w:sz w:val="20"/>
          <w:szCs w:val="20"/>
          <w:color w:val="auto"/>
        </w:rPr>
      </w:pPr>
    </w:p>
    <w:p>
      <w:pPr>
        <w:ind w:right="1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xml:space="preserve"> Any sale, assignment, transfer, pledge, mortgage, encumbrance or other disposition of Shares issued upon exercise of your Options (whether directly or indirectly, whether or not for value, and whether or not voluntary) must be made in</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No Entitlements.</w:t>
      </w:r>
    </w:p>
    <w:p>
      <w:pPr>
        <w:spacing w:after="0" w:line="183" w:lineRule="exact"/>
        <w:rPr>
          <w:sz w:val="20"/>
          <w:szCs w:val="20"/>
          <w:color w:val="auto"/>
        </w:rPr>
      </w:pPr>
    </w:p>
    <w:p>
      <w:pPr>
        <w:ind w:left="660" w:right="60" w:firstLine="725"/>
        <w:spacing w:after="0" w:line="238" w:lineRule="auto"/>
        <w:tabs>
          <w:tab w:leader="none" w:pos="195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Continued Employment</w:t>
      </w:r>
      <w:r>
        <w:rPr>
          <w:rFonts w:ascii="Times New Roman" w:cs="Times New Roman" w:eastAsia="Times New Roman" w:hAnsi="Times New Roman"/>
          <w:sz w:val="18"/>
          <w:szCs w:val="18"/>
          <w:color w:val="auto"/>
        </w:rPr>
        <w:t>. This Option Award is not an employment agreement, and nothing in this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Plan shall alter your status as an “at-will” employee of the Company.</w:t>
      </w:r>
    </w:p>
    <w:p>
      <w:pPr>
        <w:spacing w:after="0" w:line="169" w:lineRule="exact"/>
        <w:rPr>
          <w:rFonts w:ascii="Times New Roman" w:cs="Times New Roman" w:eastAsia="Times New Roman" w:hAnsi="Times New Roman"/>
          <w:sz w:val="18"/>
          <w:szCs w:val="18"/>
          <w:color w:val="auto"/>
        </w:rPr>
      </w:pPr>
    </w:p>
    <w:p>
      <w:pPr>
        <w:jc w:val="both"/>
        <w:ind w:left="660" w:right="40" w:firstLine="725"/>
        <w:spacing w:after="0" w:line="225" w:lineRule="auto"/>
        <w:tabs>
          <w:tab w:leader="none" w:pos="19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Future Awards</w:t>
      </w:r>
      <w:r>
        <w:rPr>
          <w:rFonts w:ascii="Times New Roman" w:cs="Times New Roman" w:eastAsia="Times New Roman" w:hAnsi="Times New Roman"/>
          <w:sz w:val="18"/>
          <w:szCs w:val="18"/>
          <w:color w:val="auto"/>
        </w:rPr>
        <w:t>. This Award, and all other awards of stock options and other equity-based awards, are 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Award does not confer on you any right or entitlement to receive another award of stock options or any other equity-based award at any time in the future or in respect of any future period. You agree that any release required under Section 5 of this Award Agreement is in exchange for the grant of options hereunder, for which you have no current entitlement.</w:t>
      </w:r>
    </w:p>
    <w:p>
      <w:pPr>
        <w:spacing w:after="0" w:line="155" w:lineRule="exact"/>
        <w:rPr>
          <w:rFonts w:ascii="Times New Roman" w:cs="Times New Roman" w:eastAsia="Times New Roman" w:hAnsi="Times New Roman"/>
          <w:sz w:val="18"/>
          <w:szCs w:val="18"/>
          <w:color w:val="auto"/>
        </w:rPr>
      </w:pPr>
    </w:p>
    <w:p>
      <w:pPr>
        <w:ind w:left="660" w:right="20" w:firstLine="725"/>
        <w:spacing w:after="0" w:line="225" w:lineRule="auto"/>
        <w:tabs>
          <w:tab w:leader="none" w:pos="1953"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Future Employment Compensation</w:t>
      </w:r>
      <w:r>
        <w:rPr>
          <w:rFonts w:ascii="Times New Roman" w:cs="Times New Roman" w:eastAsia="Times New Roman" w:hAnsi="Times New Roman"/>
          <w:sz w:val="18"/>
          <w:szCs w:val="18"/>
          <w:color w:val="auto"/>
        </w:rPr>
        <w:t>. MSCI has made this Award to you in its sole discretion. This Award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confer on you any right or entitlement 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45"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Clawback Policies</w:t>
      </w:r>
      <w:r>
        <w:rPr>
          <w:rFonts w:ascii="Times New Roman" w:cs="Times New Roman" w:eastAsia="Times New Roman" w:hAnsi="Times New Roman"/>
          <w:sz w:val="18"/>
          <w:szCs w:val="18"/>
          <w:color w:val="auto"/>
        </w:rPr>
        <w:t>. In consideration of the grant of Options under this Award Agreement, you hereby agree that</w:t>
      </w:r>
    </w:p>
    <w:p>
      <w:pPr>
        <w:ind w:left="880" w:hanging="224"/>
        <w:spacing w:after="0"/>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you become covered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4" w:right="339" w:bottom="1440" w:gutter="0" w:footer="0" w:header="0"/>
        </w:sectPr>
      </w:pPr>
    </w:p>
    <w:bookmarkStart w:id="164" w:name="page165"/>
    <w:bookmarkEnd w:id="164"/>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of the Clawback Policies, any compensation provided to you (including compensation granted, paid or provided to or earned by you before on or following the date hereof) that is covered by any such applicable Clawback Policies shall be subject to the recoupment and/or forfeiture provisions</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thereof, and (ii) such applicable Clawback Policies shall be deemed to amend (on both a retroactive and prospective basis) the terms of any employment, compensation or similar agreement to which you are a party, and the terms of any compensation plan, program or agreement under which any incentive-based compensation has been or may be granted, awarded, earned or paid to you (including without limitation, award</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agreement evidencing an award granted to you under the Plan). In the event it is determined that any amounts granted, awarded, earned or paid to you must be forfeited or reimbursed to the Company pursuant to any such Clawback Policies, you agree that you will promptly take any action necessary to effectuate such forfeiture and/or reimbursement.</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No Advice Regarding Grant.</w:t>
      </w:r>
      <w:r>
        <w:rPr>
          <w:rFonts w:ascii="Times New Roman" w:cs="Times New Roman" w:eastAsia="Times New Roman" w:hAnsi="Times New Roman"/>
          <w:sz w:val="17"/>
          <w:szCs w:val="17"/>
          <w:color w:val="auto"/>
        </w:rPr>
        <w:t xml:space="preserve"> The Company is not providing any tax, legal or financial advice, nor is the Company making any recommendations regarding your participation in the Plan, your exercise of the Options or your acquisition or sale of the underlying Shares. You are hereby advised to consult with your own personal tax, legal and financial advisors regarding your participation in the Plan before taking any action related to the</w:t>
      </w: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65" w:lineRule="exact"/>
        <w:rPr>
          <w:sz w:val="20"/>
          <w:szCs w:val="20"/>
          <w:color w:val="auto"/>
        </w:rPr>
      </w:pPr>
    </w:p>
    <w:p>
      <w:pPr>
        <w:ind w:right="78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Consents under Local Law.</w:t>
      </w:r>
      <w:r>
        <w:rPr>
          <w:rFonts w:ascii="Times New Roman" w:cs="Times New Roman" w:eastAsia="Times New Roman" w:hAnsi="Times New Roman"/>
          <w:sz w:val="18"/>
          <w:szCs w:val="18"/>
          <w:color w:val="auto"/>
        </w:rPr>
        <w:t xml:space="preserve"> Your Award is conditioned upon the making of all filings and the receipt of all consents or authorizations required to comply with, or to be obtained under, applicable local law.</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Award Modification.</w:t>
      </w:r>
    </w:p>
    <w:p>
      <w:pPr>
        <w:spacing w:after="0" w:line="183" w:lineRule="exact"/>
        <w:rPr>
          <w:sz w:val="20"/>
          <w:szCs w:val="20"/>
          <w:color w:val="auto"/>
        </w:rPr>
      </w:pPr>
    </w:p>
    <w:p>
      <w:pPr>
        <w:ind w:left="660" w:right="120" w:firstLine="725"/>
        <w:spacing w:after="0" w:line="216" w:lineRule="auto"/>
        <w:tabs>
          <w:tab w:leader="none" w:pos="195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Modification. </w:t>
      </w:r>
      <w:r>
        <w:rPr>
          <w:rFonts w:ascii="Times New Roman" w:cs="Times New Roman" w:eastAsia="Times New Roman" w:hAnsi="Times New Roman"/>
          <w:sz w:val="18"/>
          <w:szCs w:val="18"/>
          <w:color w:val="auto"/>
        </w:rPr>
        <w:t>MSCI reserves the right to modify or amend unilaterally the terms and conditions of your Options (including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this Award Agreement), without first asking your consent, or to waive any terms and conditions that operate in favor of MSCI. MSCI may not modify your Options in a manner that would materially impair your rights in your Options without your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MSCI may, without your consent, amend or modify your Options in any manner that MSCI considers necessary or advisable to comply with applicable law, stock market or exchange rules and regulations or accounting or tax rules and regulations or to ensure that your Options are not subject to tax prior to exercise. MSCI will notify you of any amendment of your Options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59" w:lineRule="exact"/>
        <w:rPr>
          <w:rFonts w:ascii="Times New Roman" w:cs="Times New Roman" w:eastAsia="Times New Roman" w:hAnsi="Times New Roman"/>
          <w:sz w:val="18"/>
          <w:szCs w:val="18"/>
          <w:color w:val="auto"/>
        </w:rPr>
      </w:pPr>
    </w:p>
    <w:p>
      <w:pPr>
        <w:ind w:left="660" w:right="60" w:firstLine="725"/>
        <w:spacing w:after="0" w:line="220" w:lineRule="auto"/>
        <w:tabs>
          <w:tab w:leader="none" w:pos="195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You understand and agree that this Award Agreement is intended to be exempt and/or comply with 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 MSCI reserves the right to modify the terms of this Award Agreement to the extent necessary or advisable to comply with Section 409A and reserves the right to make any changes to your Option Award so that it does not become subject to Section 409A.</w:t>
      </w:r>
    </w:p>
    <w:p>
      <w:pPr>
        <w:spacing w:after="0" w:line="160" w:lineRule="exact"/>
        <w:rPr>
          <w:sz w:val="20"/>
          <w:szCs w:val="20"/>
          <w:color w:val="auto"/>
        </w:rPr>
      </w:pPr>
    </w:p>
    <w:p>
      <w:pPr>
        <w:ind w:right="20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MSCI determines that any provision of this Award Agreement would cause you to be in constructive receipt for United States federal or state income tax purposes of any portion of your award, then such provision will be considered null and void, and this</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Award Agreement will be construed and enforced as if the provision had not been included in this Award Agreement as of the date such provision was determined to cause you to be in constructive receipt of any portion of your Award.</w:t>
      </w:r>
    </w:p>
    <w:p>
      <w:pPr>
        <w:spacing w:after="0" w:line="157" w:lineRule="exact"/>
        <w:rPr>
          <w:sz w:val="20"/>
          <w:szCs w:val="20"/>
          <w:color w:val="auto"/>
        </w:rPr>
      </w:pPr>
    </w:p>
    <w:p>
      <w:pPr>
        <w:ind w:right="7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Award Agreement shall be binding upon and inure to the benefit of any successor or successors of the Company and your heirs, legal representatives and permitted assigns.</w:t>
      </w:r>
    </w:p>
    <w:p>
      <w:pPr>
        <w:spacing w:after="0" w:line="172"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xml:space="preserve"> This Award Agreement and the related legal relations between you and the Company will be governed by and construed in accordance with the laws of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404" w:right="339" w:bottom="1440" w:gutter="0" w:footer="0" w:header="0"/>
        </w:sectPr>
      </w:pPr>
    </w:p>
    <w:bookmarkStart w:id="165" w:name="page166"/>
    <w:bookmarkEnd w:id="165"/>
    <w:p>
      <w:pPr>
        <w:ind w:right="160"/>
        <w:spacing w:after="0" w:line="236" w:lineRule="auto"/>
        <w:rPr>
          <w:sz w:val="20"/>
          <w:szCs w:val="20"/>
          <w:color w:val="auto"/>
        </w:rPr>
      </w:pPr>
      <w:r>
        <w:rPr>
          <w:rFonts w:ascii="Times New Roman" w:cs="Times New Roman" w:eastAsia="Times New Roman" w:hAnsi="Times New Roman"/>
          <w:sz w:val="17"/>
          <w:szCs w:val="17"/>
          <w:color w:val="auto"/>
        </w:rPr>
        <w:t>of Delaware, without regard to any conflicts or choice of law, rule or principle that might otherwise refer the interpretation of the award to the substantive law of another jurisdiction. For purposes of litigating any dispute that arises under this grant or the Award Agreement, the parties hereby submit to and</w:t>
      </w:r>
    </w:p>
    <w:p>
      <w:pPr>
        <w:ind w:right="480"/>
        <w:spacing w:after="0" w:line="226" w:lineRule="auto"/>
        <w:rPr>
          <w:sz w:val="20"/>
          <w:szCs w:val="20"/>
          <w:color w:val="auto"/>
        </w:rPr>
      </w:pPr>
      <w:r>
        <w:rPr>
          <w:rFonts w:ascii="Times New Roman" w:cs="Times New Roman" w:eastAsia="Times New Roman" w:hAnsi="Times New Roman"/>
          <w:sz w:val="18"/>
          <w:szCs w:val="18"/>
          <w:color w:val="auto"/>
        </w:rPr>
        <w:t>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 xml:space="preserve">Non-U.S. Participants. </w:t>
      </w:r>
      <w:r>
        <w:rPr>
          <w:rFonts w:ascii="Times New Roman" w:cs="Times New Roman" w:eastAsia="Times New Roman" w:hAnsi="Times New Roman"/>
          <w:sz w:val="17"/>
          <w:szCs w:val="17"/>
          <w:color w:val="auto"/>
        </w:rPr>
        <w:t>The following provisions will apply to you if you reside or work outside of the United States. For the</w:t>
      </w:r>
    </w:p>
    <w:p>
      <w:pPr>
        <w:spacing w:after="0" w:line="2"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70" w:lineRule="exact"/>
        <w:rPr>
          <w:sz w:val="20"/>
          <w:szCs w:val="20"/>
          <w:color w:val="auto"/>
        </w:rPr>
      </w:pPr>
    </w:p>
    <w:p>
      <w:pPr>
        <w:ind w:left="660" w:firstLine="725"/>
        <w:spacing w:after="0" w:line="216" w:lineRule="auto"/>
        <w:tabs>
          <w:tab w:leader="none" w:pos="195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and Other Withholding Obligations. </w:t>
      </w:r>
      <w:r>
        <w:rPr>
          <w:rFonts w:ascii="Times New Roman" w:cs="Times New Roman" w:eastAsia="Times New Roman" w:hAnsi="Times New Roman"/>
          <w:sz w:val="18"/>
          <w:szCs w:val="18"/>
          <w:color w:val="auto"/>
        </w:rPr>
        <w:t>If the obligation for Tax-Related Items is satisfied by withholding in Shares, for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you are deemed to have been issued the full number of Shares subject to the Options on exercise, notwithstanding that a number of the Shares are held back solely for the purpose of paying the Tax-Related Items. In the event that withholding in and/or tendering Shares is problematic under applicable tax or securities law or has materially adverse accounting consequences, by your acceptance of the Options,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maximum applicable rates, in which case you will receive a refund of any over-withheld amount in cash and will have no entitlement to the stock equivalent.</w:t>
      </w:r>
    </w:p>
    <w:p>
      <w:pPr>
        <w:spacing w:after="0" w:line="156" w:lineRule="exact"/>
        <w:rPr>
          <w:rFonts w:ascii="Times New Roman" w:cs="Times New Roman" w:eastAsia="Times New Roman" w:hAnsi="Times New Roman"/>
          <w:sz w:val="18"/>
          <w:szCs w:val="18"/>
          <w:color w:val="auto"/>
        </w:rPr>
      </w:pPr>
    </w:p>
    <w:p>
      <w:pPr>
        <w:ind w:left="1940" w:hanging="555"/>
        <w:spacing w:after="0"/>
        <w:tabs>
          <w:tab w:leader="none" w:pos="19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Grant</w:t>
      </w:r>
      <w:r>
        <w:rPr>
          <w:rFonts w:ascii="Times New Roman" w:cs="Times New Roman" w:eastAsia="Times New Roman" w:hAnsi="Times New Roman"/>
          <w:sz w:val="18"/>
          <w:szCs w:val="18"/>
          <w:color w:val="auto"/>
        </w:rPr>
        <w:t>. In accepting the Options, you acknowledge, understand and agree that:</w:t>
      </w:r>
    </w:p>
    <w:p>
      <w:pPr>
        <w:spacing w:after="0" w:line="200" w:lineRule="exact"/>
        <w:rPr>
          <w:rFonts w:ascii="Times New Roman" w:cs="Times New Roman" w:eastAsia="Times New Roman" w:hAnsi="Times New Roman"/>
          <w:sz w:val="18"/>
          <w:szCs w:val="18"/>
          <w:color w:val="auto"/>
        </w:rPr>
      </w:pPr>
    </w:p>
    <w:p>
      <w:pPr>
        <w:ind w:left="1300" w:right="200" w:firstLine="652"/>
        <w:spacing w:after="0" w:line="237" w:lineRule="auto"/>
        <w:tabs>
          <w:tab w:leader="none" w:pos="259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MSCI, it is discretionary in nature and it may be modified, amended, suspended or terminated by MSCI at any time, to the extent permitted by the Plan;</w:t>
      </w:r>
    </w:p>
    <w:p>
      <w:pPr>
        <w:spacing w:after="0" w:line="158" w:lineRule="exact"/>
        <w:rPr>
          <w:rFonts w:ascii="Times New Roman" w:cs="Times New Roman" w:eastAsia="Times New Roman" w:hAnsi="Times New Roman"/>
          <w:sz w:val="18"/>
          <w:szCs w:val="18"/>
          <w:color w:val="auto"/>
        </w:rPr>
      </w:pPr>
    </w:p>
    <w:p>
      <w:pPr>
        <w:ind w:left="1300" w:right="40" w:firstLine="652"/>
        <w:spacing w:after="0" w:line="231" w:lineRule="auto"/>
        <w:tabs>
          <w:tab w:leader="none" w:pos="258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58" w:lineRule="exact"/>
        <w:rPr>
          <w:rFonts w:ascii="Times New Roman" w:cs="Times New Roman" w:eastAsia="Times New Roman" w:hAnsi="Times New Roman"/>
          <w:sz w:val="18"/>
          <w:szCs w:val="18"/>
          <w:color w:val="auto"/>
        </w:rPr>
      </w:pPr>
    </w:p>
    <w:p>
      <w:pPr>
        <w:ind w:left="1300" w:firstLine="652"/>
        <w:spacing w:after="0" w:line="223" w:lineRule="auto"/>
        <w:tabs>
          <w:tab w:leader="none" w:pos="259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and all other awards of stock options and other equity-based awards, are discretionary, voluntary and occasional. This Award does not confer on you any contractual or other right or entitlement to receive another award of stock options, any other equity-based award or benefits in lieu of stock options at any time in the future or in respect of any future period. You agree that any release required under Section 5 of this Award Agreement is in exchange for the grant of Options hereunder, for which you have no current entitlement.</w:t>
      </w:r>
    </w:p>
    <w:p>
      <w:pPr>
        <w:spacing w:after="0" w:line="158" w:lineRule="exact"/>
        <w:rPr>
          <w:rFonts w:ascii="Times New Roman" w:cs="Times New Roman" w:eastAsia="Times New Roman" w:hAnsi="Times New Roman"/>
          <w:sz w:val="18"/>
          <w:szCs w:val="18"/>
          <w:color w:val="auto"/>
        </w:rPr>
      </w:pPr>
    </w:p>
    <w:p>
      <w:pPr>
        <w:ind w:left="1300" w:right="220" w:firstLine="652"/>
        <w:spacing w:after="0" w:line="224" w:lineRule="auto"/>
        <w:tabs>
          <w:tab w:leader="none" w:pos="258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has made this award to you in its sole discretion and only MSCI is a party to this Award Agreement. All decisions with respect to future stock options or other grants, if any, will be at the sole discretion of MSCI; accordingly, any rights you may have under this Award Agreement may be raised only against MSCI but not any Subsidiary or Affiliate (including, but not limited to, your employing entity);</w:t>
      </w:r>
    </w:p>
    <w:p>
      <w:pPr>
        <w:spacing w:after="0" w:line="15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Plan;</w:t>
      </w:r>
    </w:p>
    <w:p>
      <w:pPr>
        <w:spacing w:after="0" w:line="186"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and the Shares subject to the Options are not intended to replace any pension rights or</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64" w:lineRule="exact"/>
        <w:rPr>
          <w:rFonts w:ascii="Times New Roman" w:cs="Times New Roman" w:eastAsia="Times New Roman" w:hAnsi="Times New Roman"/>
          <w:sz w:val="18"/>
          <w:szCs w:val="18"/>
          <w:color w:val="auto"/>
        </w:rPr>
      </w:pPr>
    </w:p>
    <w:p>
      <w:pPr>
        <w:ind w:left="1300" w:right="40" w:firstLine="652"/>
        <w:spacing w:after="0" w:line="231" w:lineRule="auto"/>
        <w:tabs>
          <w:tab w:leader="none" w:pos="259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does not confer on you any right or entitlement to receive compensation in any specific amount. In addition, the Options and the Shares subject to the Options, and the income from and value of the same, are not part of normal or expected compensation for purposes of calculating any severance,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404" w:right="339" w:bottom="1440" w:gutter="0" w:footer="0" w:header="0"/>
        </w:sectPr>
      </w:pPr>
    </w:p>
    <w:bookmarkStart w:id="166" w:name="page167"/>
    <w:bookmarkEnd w:id="166"/>
    <w:p>
      <w:pPr>
        <w:ind w:left="1300" w:right="20"/>
        <w:spacing w:after="0" w:line="236" w:lineRule="auto"/>
        <w:rPr>
          <w:sz w:val="20"/>
          <w:szCs w:val="20"/>
          <w:color w:val="auto"/>
        </w:rPr>
      </w:pPr>
      <w:r>
        <w:rPr>
          <w:rFonts w:ascii="Times New Roman" w:cs="Times New Roman" w:eastAsia="Times New Roman" w:hAnsi="Times New Roman"/>
          <w:sz w:val="17"/>
          <w:szCs w:val="17"/>
          <w:color w:val="auto"/>
        </w:rPr>
        <w:t>termination, redundancy, dismissal, end-of-service payments, bonuses, long-service awards, holiday pay, pension or retirement or welfare benefits or similar payments, and in no event should be considered as compensation for, or relating in any way to, past services for the</w:t>
      </w:r>
    </w:p>
    <w:p>
      <w:pPr>
        <w:ind w:left="1300"/>
        <w:spacing w:after="0"/>
        <w:rPr>
          <w:sz w:val="20"/>
          <w:szCs w:val="20"/>
          <w:color w:val="auto"/>
        </w:rPr>
      </w:pPr>
      <w:r>
        <w:rPr>
          <w:rFonts w:ascii="Times New Roman" w:cs="Times New Roman" w:eastAsia="Times New Roman" w:hAnsi="Times New Roman"/>
          <w:sz w:val="18"/>
          <w:szCs w:val="18"/>
          <w:color w:val="auto"/>
        </w:rPr>
        <w:t>Company, the employer, or any Subsidiary;</w:t>
      </w:r>
    </w:p>
    <w:p>
      <w:pPr>
        <w:spacing w:after="0" w:line="165" w:lineRule="exact"/>
        <w:rPr>
          <w:sz w:val="20"/>
          <w:szCs w:val="20"/>
          <w:color w:val="auto"/>
        </w:rPr>
      </w:pPr>
    </w:p>
    <w:p>
      <w:pPr>
        <w:ind w:left="1300" w:right="100" w:firstLine="652"/>
        <w:spacing w:after="0" w:line="237" w:lineRule="auto"/>
        <w:tabs>
          <w:tab w:leader="none" w:pos="259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MSCI, the Options and the Shares subject to the Options, and the income from and value of the same, are not granted as consideration for, or in connection with, the service you may provide as a director of a Subsidiary;</w:t>
      </w:r>
    </w:p>
    <w:p>
      <w:pPr>
        <w:spacing w:after="0" w:line="17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cannot be predicted with certainty;</w:t>
      </w:r>
    </w:p>
    <w:p>
      <w:pPr>
        <w:spacing w:after="0" w:line="184" w:lineRule="exact"/>
        <w:rPr>
          <w:rFonts w:ascii="Times New Roman" w:cs="Times New Roman" w:eastAsia="Times New Roman" w:hAnsi="Times New Roman"/>
          <w:sz w:val="18"/>
          <w:szCs w:val="18"/>
          <w:color w:val="auto"/>
        </w:rPr>
      </w:pPr>
    </w:p>
    <w:p>
      <w:pPr>
        <w:ind w:left="1300" w:firstLine="652"/>
        <w:spacing w:after="0" w:line="237" w:lineRule="auto"/>
        <w:tabs>
          <w:tab w:leader="none" w:pos="259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exercise the Option and obtain Shares, the value of those Shares acquired upon exercise may increase or decrease in value, even below the Exercise Price;</w:t>
      </w:r>
    </w:p>
    <w:p>
      <w:pPr>
        <w:spacing w:after="0" w:line="171" w:lineRule="exact"/>
        <w:rPr>
          <w:rFonts w:ascii="Times New Roman" w:cs="Times New Roman" w:eastAsia="Times New Roman" w:hAnsi="Times New Roman"/>
          <w:sz w:val="18"/>
          <w:szCs w:val="18"/>
          <w:color w:val="auto"/>
        </w:rPr>
      </w:pPr>
    </w:p>
    <w:p>
      <w:pPr>
        <w:jc w:val="both"/>
        <w:ind w:left="1300" w:right="460" w:firstLine="652"/>
        <w:spacing w:after="0" w:line="226" w:lineRule="auto"/>
        <w:tabs>
          <w:tab w:leader="none" w:pos="258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Options resulting from your Termination of Service (for any reason whatsoever, whether or not later found to be invalid or in breach of employment laws in the jurisdiction where you are employed or the terms of your employment agreement, if any); and</w:t>
      </w:r>
    </w:p>
    <w:p>
      <w:pPr>
        <w:spacing w:after="0" w:line="171" w:lineRule="exact"/>
        <w:rPr>
          <w:rFonts w:ascii="Times New Roman" w:cs="Times New Roman" w:eastAsia="Times New Roman" w:hAnsi="Times New Roman"/>
          <w:sz w:val="18"/>
          <w:szCs w:val="18"/>
          <w:color w:val="auto"/>
        </w:rPr>
      </w:pPr>
    </w:p>
    <w:p>
      <w:pPr>
        <w:ind w:left="1300" w:right="80" w:firstLine="652"/>
        <w:spacing w:after="0" w:line="226" w:lineRule="auto"/>
        <w:tabs>
          <w:tab w:leader="none" w:pos="259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the Company shall not be liable for any foreign exchange rate fluctuation between your local currency and the U.S. Dollar that may affect the value of the Options or of any amounts due to you pursuant to the exercise of the Options or the subsequent sale of any Shares of Common Stock acquired upon exercise.</w:t>
      </w:r>
    </w:p>
    <w:p>
      <w:pPr>
        <w:spacing w:after="0" w:line="169" w:lineRule="exact"/>
        <w:rPr>
          <w:rFonts w:ascii="Times New Roman" w:cs="Times New Roman" w:eastAsia="Times New Roman" w:hAnsi="Times New Roman"/>
          <w:sz w:val="18"/>
          <w:szCs w:val="18"/>
          <w:color w:val="auto"/>
        </w:rPr>
      </w:pPr>
    </w:p>
    <w:p>
      <w:pPr>
        <w:jc w:val="both"/>
        <w:ind w:left="660" w:right="40" w:firstLine="725"/>
        <w:spacing w:after="0" w:line="238" w:lineRule="auto"/>
        <w:tabs>
          <w:tab w:leader="none" w:pos="195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Retirement Treatment</w:t>
      </w:r>
      <w:r>
        <w:rPr>
          <w:rFonts w:ascii="Times New Roman" w:cs="Times New Roman" w:eastAsia="Times New Roman" w:hAnsi="Times New Roman"/>
          <w:sz w:val="17"/>
          <w:szCs w:val="17"/>
          <w:color w:val="auto"/>
        </w:rPr>
        <w:t>. Notwithstanding anything to the contrary in this Section 21(c) of this Award Agreement, if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receives a legal opinion that there has been a legal judgment and/or legal development in your jurisdiction that likely would result in the favorable treatment that applies to the Options in the event of your retirement being deemed unlawful and/or discriminatory, the provisions of Section 5 of this Award Agreement regarding the treatment of the Options in the event of your Retirement Termination shall not be applicable to you.</w:t>
      </w:r>
    </w:p>
    <w:p>
      <w:pPr>
        <w:spacing w:after="0" w:line="158" w:lineRule="exact"/>
        <w:rPr>
          <w:rFonts w:ascii="Times New Roman" w:cs="Times New Roman" w:eastAsia="Times New Roman" w:hAnsi="Times New Roman"/>
          <w:sz w:val="17"/>
          <w:szCs w:val="17"/>
          <w:color w:val="auto"/>
        </w:rPr>
      </w:pPr>
    </w:p>
    <w:p>
      <w:pPr>
        <w:ind w:left="1940" w:hanging="555"/>
        <w:spacing w:after="0"/>
        <w:tabs>
          <w:tab w:leader="none" w:pos="19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w:t>
      </w:r>
    </w:p>
    <w:p>
      <w:pPr>
        <w:spacing w:after="0" w:line="1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62" w:lineRule="exact"/>
        <w:rPr>
          <w:sz w:val="20"/>
          <w:szCs w:val="20"/>
          <w:color w:val="auto"/>
        </w:rPr>
      </w:pPr>
    </w:p>
    <w:p>
      <w:pPr>
        <w:ind w:left="1300" w:right="80" w:firstLine="652"/>
        <w:spacing w:after="0" w:line="231" w:lineRule="auto"/>
        <w:tabs>
          <w:tab w:leader="none" w:pos="259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58" w:lineRule="exact"/>
        <w:rPr>
          <w:rFonts w:ascii="Times New Roman" w:cs="Times New Roman" w:eastAsia="Times New Roman" w:hAnsi="Times New Roman"/>
          <w:sz w:val="18"/>
          <w:szCs w:val="18"/>
          <w:color w:val="auto"/>
        </w:rPr>
      </w:pPr>
    </w:p>
    <w:p>
      <w:pPr>
        <w:ind w:left="1300" w:right="80" w:firstLine="652"/>
        <w:spacing w:after="0" w:line="231" w:lineRule="auto"/>
        <w:tabs>
          <w:tab w:leader="none" w:pos="258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56" w:lineRule="exact"/>
        <w:rPr>
          <w:rFonts w:ascii="Times New Roman" w:cs="Times New Roman" w:eastAsia="Times New Roman" w:hAnsi="Times New Roman"/>
          <w:sz w:val="18"/>
          <w:szCs w:val="18"/>
          <w:color w:val="auto"/>
        </w:rPr>
      </w:pPr>
    </w:p>
    <w:p>
      <w:pPr>
        <w:ind w:left="660" w:right="20" w:firstLine="725"/>
        <w:spacing w:after="0" w:line="220" w:lineRule="auto"/>
        <w:tabs>
          <w:tab w:leader="none" w:pos="195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Language</w:t>
      </w:r>
      <w:r>
        <w:rPr>
          <w:rFonts w:ascii="Times New Roman" w:cs="Times New Roman" w:eastAsia="Times New Roman" w:hAnsi="Times New Roman"/>
          <w:sz w:val="18"/>
          <w:szCs w:val="18"/>
          <w:color w:val="auto"/>
        </w:rPr>
        <w:t>. If you are a resident in a country where English is not an official language, you acknowledge that you are sufficiently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the Plan and all other documents, notices and legal proceedings entered into, given or instituted pursuant to the Options be written in English. If you have received this Award Agreement or any other document related to the Plan translated into a language other than English and if the meaning of the translated version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20"/>
          </w:cols>
          <w:pgMar w:left="320" w:top="1404" w:right="359" w:bottom="1440" w:gutter="0" w:footer="0" w:header="0"/>
        </w:sectPr>
      </w:pPr>
    </w:p>
    <w:bookmarkStart w:id="167" w:name="page168"/>
    <w:bookmarkEnd w:id="167"/>
    <w:p>
      <w:pPr>
        <w:ind w:left="660"/>
        <w:spacing w:after="0"/>
        <w:rPr>
          <w:sz w:val="20"/>
          <w:szCs w:val="20"/>
          <w:color w:val="auto"/>
        </w:rPr>
      </w:pPr>
      <w:r>
        <w:rPr>
          <w:rFonts w:ascii="Times New Roman" w:cs="Times New Roman" w:eastAsia="Times New Roman" w:hAnsi="Times New Roman"/>
          <w:sz w:val="18"/>
          <w:szCs w:val="18"/>
          <w:color w:val="auto"/>
        </w:rPr>
        <w:t>different than the English version, the English version will control, unless otherwise required by applicable law.</w:t>
      </w:r>
    </w:p>
    <w:p>
      <w:pPr>
        <w:spacing w:after="0" w:line="183" w:lineRule="exact"/>
        <w:rPr>
          <w:sz w:val="20"/>
          <w:szCs w:val="20"/>
          <w:color w:val="auto"/>
        </w:rPr>
      </w:pPr>
    </w:p>
    <w:p>
      <w:pPr>
        <w:ind w:left="660" w:right="100" w:firstLine="725"/>
        <w:spacing w:after="0" w:line="232" w:lineRule="auto"/>
        <w:tabs>
          <w:tab w:leader="none" w:pos="19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Delivery and Participation</w:t>
      </w:r>
      <w:r>
        <w:rPr>
          <w:rFonts w:ascii="Times New Roman" w:cs="Times New Roman" w:eastAsia="Times New Roman" w:hAnsi="Times New Roman"/>
          <w:sz w:val="18"/>
          <w:szCs w:val="18"/>
          <w:color w:val="auto"/>
        </w:rPr>
        <w:t>. MSCI may, in its sole discretion, decide to deliver any documents related to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55" w:lineRule="exact"/>
        <w:rPr>
          <w:rFonts w:ascii="Times New Roman" w:cs="Times New Roman" w:eastAsia="Times New Roman" w:hAnsi="Times New Roman"/>
          <w:sz w:val="18"/>
          <w:szCs w:val="18"/>
          <w:color w:val="auto"/>
        </w:rPr>
      </w:pPr>
    </w:p>
    <w:p>
      <w:pPr>
        <w:jc w:val="both"/>
        <w:ind w:left="660" w:right="180" w:firstLine="725"/>
        <w:spacing w:after="0" w:line="225" w:lineRule="auto"/>
        <w:tabs>
          <w:tab w:leader="none" w:pos="19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Notwithstanding any provisions in this Award Agreement, the Options shall be subject to any additional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 Moreover, if you relocate to one of the jurisdictions included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additional terms and conditions for such jurisdiction may apply to you, to the extent MSCI determines that the application of such terms and conditions is necessary or advisable for legal or administrative reasons.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constitutes part of this Award Agreement.</w:t>
      </w:r>
    </w:p>
    <w:p>
      <w:pPr>
        <w:spacing w:after="0" w:line="168" w:lineRule="exact"/>
        <w:rPr>
          <w:rFonts w:ascii="Times New Roman" w:cs="Times New Roman" w:eastAsia="Times New Roman" w:hAnsi="Times New Roman"/>
          <w:sz w:val="18"/>
          <w:szCs w:val="18"/>
          <w:color w:val="auto"/>
        </w:rPr>
      </w:pPr>
    </w:p>
    <w:p>
      <w:pPr>
        <w:ind w:left="660" w:right="60" w:firstLine="725"/>
        <w:spacing w:after="0" w:line="214" w:lineRule="auto"/>
        <w:tabs>
          <w:tab w:leader="none" w:pos="19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Restrictions/Market Abuse Laws</w:t>
      </w:r>
      <w:r>
        <w:rPr>
          <w:rFonts w:ascii="Times New Roman" w:cs="Times New Roman" w:eastAsia="Times New Roman" w:hAnsi="Times New Roman"/>
          <w:sz w:val="18"/>
          <w:szCs w:val="18"/>
          <w:color w:val="auto"/>
        </w:rPr>
        <w:t>. By accepting the Options, you acknowledge that you are bound by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56" w:lineRule="exact"/>
        <w:rPr>
          <w:rFonts w:ascii="Times New Roman" w:cs="Times New Roman" w:eastAsia="Times New Roman" w:hAnsi="Times New Roman"/>
          <w:sz w:val="18"/>
          <w:szCs w:val="18"/>
          <w:color w:val="auto"/>
        </w:rPr>
      </w:pPr>
    </w:p>
    <w:p>
      <w:pPr>
        <w:ind w:left="660" w:firstLine="725"/>
        <w:spacing w:after="0" w:line="218" w:lineRule="auto"/>
        <w:tabs>
          <w:tab w:leader="none" w:pos="19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Asset/Account, Exchange Control Reporting</w:t>
      </w:r>
      <w:r>
        <w:rPr>
          <w:rFonts w:ascii="Times New Roman" w:cs="Times New Roman" w:eastAsia="Times New Roman" w:hAnsi="Times New Roman"/>
          <w:sz w:val="18"/>
          <w:szCs w:val="18"/>
          <w:color w:val="auto"/>
        </w:rPr>
        <w:t>. Your country may have certain exchange control and/or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 xml:space="preserve">Defined Terms. </w:t>
      </w:r>
      <w:r>
        <w:rPr>
          <w:rFonts w:ascii="Times New Roman" w:cs="Times New Roman" w:eastAsia="Times New Roman" w:hAnsi="Times New Roman"/>
          <w:sz w:val="17"/>
          <w:szCs w:val="17"/>
          <w:color w:val="auto"/>
        </w:rPr>
        <w:t>For purposes of this Award Agreement, the following terms shall have the meanings set forth below:</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Eligibility</w:t>
      </w:r>
      <w:r>
        <w:rPr>
          <w:rFonts w:ascii="Times New Roman" w:cs="Times New Roman" w:eastAsia="Times New Roman" w:hAnsi="Times New Roman"/>
          <w:sz w:val="18"/>
          <w:szCs w:val="18"/>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55/10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5(b)) on or after the date that you attain 55/10 Retirement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04" w:right="339" w:bottom="1440" w:gutter="0" w:footer="0" w:header="0"/>
        </w:sectPr>
      </w:pPr>
    </w:p>
    <w:bookmarkStart w:id="168" w:name="page169"/>
    <w:bookmarkEnd w:id="16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Eligibility</w:t>
      </w:r>
      <w:r>
        <w:rPr>
          <w:rFonts w:ascii="Times New Roman" w:cs="Times New Roman" w:eastAsia="Times New Roman" w:hAnsi="Times New Roman"/>
          <w:sz w:val="18"/>
          <w:szCs w:val="18"/>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62/10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5(b)(ii)) on or after the date that you attain 62/10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Cancellation Event</w:t>
      </w:r>
      <w:r>
        <w:rPr>
          <w:rFonts w:ascii="Times New Roman" w:cs="Times New Roman" w:eastAsia="Times New Roman" w:hAnsi="Times New Roman"/>
          <w:sz w:val="18"/>
          <w:szCs w:val="18"/>
          <w:color w:val="auto"/>
        </w:rPr>
        <w:t>” will be deemed to have occurred under any one of the following circumstances:</w:t>
      </w:r>
    </w:p>
    <w:p>
      <w:pPr>
        <w:spacing w:after="0" w:line="229" w:lineRule="exact"/>
        <w:rPr>
          <w:sz w:val="20"/>
          <w:szCs w:val="20"/>
          <w:color w:val="auto"/>
        </w:rPr>
      </w:pPr>
    </w:p>
    <w:p>
      <w:pPr>
        <w:ind w:left="660" w:firstLine="644"/>
        <w:spacing w:after="0" w:line="282" w:lineRule="auto"/>
        <w:tabs>
          <w:tab w:leader="none" w:pos="168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misuse of Confidential Information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Award Agreement) or the failure to comply with your obligations under MSCI’s Code of Conduct or otherwise with respect to Confidential Information;</w:t>
      </w:r>
    </w:p>
    <w:p>
      <w:pPr>
        <w:spacing w:after="0" w:line="159" w:lineRule="exact"/>
        <w:rPr>
          <w:rFonts w:ascii="Times New Roman" w:cs="Times New Roman" w:eastAsia="Times New Roman" w:hAnsi="Times New Roman"/>
          <w:sz w:val="18"/>
          <w:szCs w:val="18"/>
          <w:color w:val="auto"/>
        </w:rPr>
      </w:pPr>
    </w:p>
    <w:p>
      <w:pPr>
        <w:ind w:left="660" w:right="340" w:firstLine="644"/>
        <w:spacing w:after="0" w:line="284" w:lineRule="auto"/>
        <w:tabs>
          <w:tab w:leader="none" w:pos="169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from the Company for Cause (or a later determination that you could have been terminated for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determination is made within six months of termination);</w:t>
      </w:r>
    </w:p>
    <w:p>
      <w:pPr>
        <w:spacing w:after="0" w:line="160"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 fraudulent act or participation in misconduct which leads to a material restatement of the Company’s financial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affirmatively accept the terms of this Award Agreement by [●].</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right="120" w:firstLine="644"/>
        <w:spacing w:after="0" w:line="256" w:lineRule="auto"/>
        <w:tabs>
          <w:tab w:leader="none" w:pos="168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87" w:lineRule="exact"/>
        <w:rPr>
          <w:rFonts w:ascii="Times New Roman" w:cs="Times New Roman" w:eastAsia="Times New Roman" w:hAnsi="Times New Roman"/>
          <w:sz w:val="18"/>
          <w:szCs w:val="18"/>
          <w:color w:val="auto"/>
        </w:rPr>
      </w:pPr>
    </w:p>
    <w:p>
      <w:pPr>
        <w:ind w:left="660" w:right="100" w:firstLine="644"/>
        <w:spacing w:after="0" w:line="266" w:lineRule="auto"/>
        <w:tabs>
          <w:tab w:leader="none" w:pos="169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73" w:lineRule="exact"/>
        <w:rPr>
          <w:rFonts w:ascii="Times New Roman" w:cs="Times New Roman" w:eastAsia="Times New Roman" w:hAnsi="Times New Roman"/>
          <w:sz w:val="18"/>
          <w:szCs w:val="18"/>
          <w:color w:val="auto"/>
        </w:rPr>
      </w:pPr>
    </w:p>
    <w:p>
      <w:pPr>
        <w:ind w:left="660" w:right="320" w:firstLine="644"/>
        <w:spacing w:after="0" w:line="284" w:lineRule="auto"/>
        <w:tabs>
          <w:tab w:leader="none" w:pos="168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or conviction of a felony under the laws of the United States or any state thereof or any other plea or confession of a similar crime in a jurisdiction in which the Company conducts business; or</w:t>
      </w:r>
    </w:p>
    <w:p>
      <w:pPr>
        <w:spacing w:after="0" w:line="160"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commission of a fraudulent act or participation in misconduct which leads to a material restatement of the Company’s financial</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13"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has the meaning ascribed to such term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 Head of Compensation and Benefits.</w:t>
      </w:r>
    </w:p>
    <w:p>
      <w:pPr>
        <w:spacing w:after="0" w:line="17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of any of the following without your prior written consent:</w:t>
      </w:r>
    </w:p>
    <w:p>
      <w:pPr>
        <w:spacing w:after="0" w:line="229" w:lineRule="exact"/>
        <w:rPr>
          <w:sz w:val="20"/>
          <w:szCs w:val="20"/>
          <w:color w:val="auto"/>
        </w:rPr>
      </w:pPr>
    </w:p>
    <w:p>
      <w:pPr>
        <w:jc w:val="both"/>
        <w:ind w:left="660" w:firstLine="644"/>
        <w:spacing w:after="0" w:line="266" w:lineRule="auto"/>
        <w:tabs>
          <w:tab w:leader="none" w:pos="172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8"/>
          <w:szCs w:val="18"/>
          <w:b w:val="1"/>
          <w:bCs w:val="1"/>
          <w:color w:val="auto"/>
        </w:rPr>
        <w:t>Equity Value</w:t>
      </w:r>
      <w:r>
        <w:rPr>
          <w:rFonts w:ascii="Times New Roman" w:cs="Times New Roman" w:eastAsia="Times New Roman" w:hAnsi="Times New Roman"/>
          <w:sz w:val="18"/>
          <w:szCs w:val="18"/>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9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more than 25 miles from the location of your principal job or office location prior to a Change in Control;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6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inaction that constitutes a material breach by the Company of any agreement pursuant to which you provide services to the Company;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Good Reason shall not be deemed to exist unless (x) you provide the Company with written notice of your intent to terminate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for Good Reason within 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413" w:right="339" w:bottom="1440" w:gutter="0" w:footer="0" w:header="0"/>
        </w:sectPr>
      </w:pPr>
    </w:p>
    <w:bookmarkStart w:id="170" w:name="page171"/>
    <w:bookmarkEnd w:id="170"/>
    <w:p>
      <w:pPr>
        <w:spacing w:after="0" w:line="282" w:lineRule="auto"/>
        <w:rPr>
          <w:sz w:val="20"/>
          <w:szCs w:val="20"/>
          <w:color w:val="auto"/>
        </w:rPr>
      </w:pPr>
      <w:r>
        <w:rPr>
          <w:rFonts w:ascii="Times New Roman" w:cs="Times New Roman" w:eastAsia="Times New Roman" w:hAnsi="Times New Roman"/>
          <w:sz w:val="18"/>
          <w:szCs w:val="18"/>
          <w:color w:val="auto"/>
        </w:rPr>
        <w:t>days following receipt of such notice and (z) you actually resign from employment with the Company within 60 days after the expiration of the cure period descried in clause (y).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Eligibility</w:t>
      </w:r>
      <w:r>
        <w:rPr>
          <w:rFonts w:ascii="Times New Roman" w:cs="Times New Roman" w:eastAsia="Times New Roman" w:hAnsi="Times New Roman"/>
          <w:sz w:val="18"/>
          <w:szCs w:val="18"/>
          <w:color w:val="auto"/>
        </w:rPr>
        <w:t>” means your attainment, at any time on or prior to February 7, 2019, of any of the following criteria:</w:t>
      </w:r>
    </w:p>
    <w:p>
      <w:pPr>
        <w:spacing w:after="0" w:line="229" w:lineRule="exact"/>
        <w:rPr>
          <w:sz w:val="20"/>
          <w:szCs w:val="20"/>
          <w:color w:val="auto"/>
        </w:rPr>
      </w:pPr>
    </w:p>
    <w:p>
      <w:pPr>
        <w:ind w:left="1680" w:hanging="376"/>
        <w:spacing w:after="0"/>
        <w:tabs>
          <w:tab w:leader="none" w:pos="1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and 12 years of service with the Company as a Managing Director or comparable officer; or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50 and 15 years as an officer of the Company; or</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 55 with five years of service with the Company and age plus years of service equals or exceeds 65; or</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years of service with the Company;</w:t>
      </w:r>
    </w:p>
    <w:p>
      <w:pPr>
        <w:spacing w:after="0" w:line="223"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this definition, service with the Company will include any period of service with the following entities and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predecessors:</w:t>
      </w:r>
    </w:p>
    <w:p>
      <w:pPr>
        <w:spacing w:after="0" w:line="160" w:lineRule="exact"/>
        <w:rPr>
          <w:sz w:val="20"/>
          <w:szCs w:val="20"/>
          <w:color w:val="auto"/>
        </w:rPr>
      </w:pPr>
    </w:p>
    <w:p>
      <w:pPr>
        <w:ind w:left="2300" w:hanging="348"/>
        <w:spacing w:after="0"/>
        <w:tabs>
          <w:tab w:leader="none" w:pos="2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Barra Inc. and its subsidiaries, prior to the acquisition by the Company;</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International Perspectives S.A., prior to the acquisition by the Company;</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w:t>
      </w:r>
    </w:p>
    <w:p>
      <w:pPr>
        <w:spacing w:after="0" w:line="22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Group Inc. and its subsidiaries (“</w:t>
      </w:r>
      <w:r>
        <w:rPr>
          <w:rFonts w:ascii="Times New Roman" w:cs="Times New Roman" w:eastAsia="Times New Roman" w:hAnsi="Times New Roman"/>
          <w:sz w:val="18"/>
          <w:szCs w:val="18"/>
          <w:b w:val="1"/>
          <w:bCs w:val="1"/>
          <w:color w:val="auto"/>
        </w:rPr>
        <w:t>MS Group</w:t>
      </w:r>
      <w:r>
        <w:rPr>
          <w:rFonts w:ascii="Times New Roman" w:cs="Times New Roman" w:eastAsia="Times New Roman" w:hAnsi="Times New Roman"/>
          <w:sz w:val="18"/>
          <w:szCs w:val="18"/>
          <w:color w:val="auto"/>
        </w:rPr>
        <w:t>”) prior to the merger with and into Dean Witter, Discover &amp;</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and</w:t>
      </w:r>
    </w:p>
    <w:p>
      <w:pPr>
        <w:spacing w:after="0" w:line="203" w:lineRule="exact"/>
        <w:rPr>
          <w:sz w:val="20"/>
          <w:szCs w:val="20"/>
          <w:color w:val="auto"/>
        </w:rPr>
      </w:pPr>
    </w:p>
    <w:p>
      <w:pPr>
        <w:ind w:left="1300" w:right="20" w:firstLine="652"/>
        <w:spacing w:after="0" w:line="257" w:lineRule="auto"/>
        <w:tabs>
          <w:tab w:leader="none" w:pos="233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Witter, Discover &amp; Co. and its subsidiaries (“</w:t>
      </w:r>
      <w:r>
        <w:rPr>
          <w:rFonts w:ascii="Times New Roman" w:cs="Times New Roman" w:eastAsia="Times New Roman" w:hAnsi="Times New Roman"/>
          <w:sz w:val="18"/>
          <w:szCs w:val="18"/>
          <w:b w:val="1"/>
          <w:bCs w:val="1"/>
          <w:color w:val="auto"/>
        </w:rPr>
        <w:t>DWD</w:t>
      </w:r>
      <w:r>
        <w:rPr>
          <w:rFonts w:ascii="Times New Roman" w:cs="Times New Roman" w:eastAsia="Times New Roman" w:hAnsi="Times New Roman"/>
          <w:sz w:val="18"/>
          <w:szCs w:val="18"/>
          <w:color w:val="auto"/>
        </w:rPr>
        <w:t xml:space="preserve">”) prior to the merger of Morgan Stanley Group Inc. with and into Dean Witter, Discover &amp; 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8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76"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Retirement Termination</w:t>
      </w:r>
      <w:r>
        <w:rPr>
          <w:rFonts w:ascii="Times New Roman" w:cs="Times New Roman" w:eastAsia="Times New Roman" w:hAnsi="Times New Roman"/>
          <w:sz w:val="18"/>
          <w:szCs w:val="18"/>
          <w:color w:val="auto"/>
        </w:rPr>
        <w:t>” means your Termination of Service with the Company (other than (x) under circumstances involving any Cancellation Event (other than the required notice periods), (y) due to your death or Disability or (z) under the circumstances set forth in Section 5(b)) on or after the date that you attain Legacy Retirement Eligibility.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Requirements</w:t>
      </w:r>
      <w:r>
        <w:rPr>
          <w:rFonts w:ascii="Times New Roman" w:cs="Times New Roman" w:eastAsia="Times New Roman" w:hAnsi="Times New Roman"/>
          <w:sz w:val="18"/>
          <w:szCs w:val="18"/>
          <w:color w:val="auto"/>
        </w:rPr>
        <w:t>” means prior written notice to MSCI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417" w:right="339" w:bottom="1440" w:gutter="0" w:footer="0" w:header="0"/>
        </w:sectPr>
      </w:pPr>
    </w:p>
    <w:bookmarkStart w:id="171" w:name="page172"/>
    <w:bookmarkEnd w:id="171"/>
    <w:p>
      <w:pPr>
        <w:ind w:left="660" w:right="20" w:firstLine="644"/>
        <w:spacing w:after="0" w:line="282" w:lineRule="auto"/>
        <w:tabs>
          <w:tab w:leader="none" w:pos="168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if you are a member of the MSCI Executive Committee (or a successor or equivalent committee) at the time of notice of resignation; or</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if you are a Managing Director of the Company (or equivalent title) at the time of notice of resignation.</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Eligible Participant</w:t>
      </w:r>
      <w:r>
        <w:rPr>
          <w:rFonts w:ascii="Times New Roman" w:cs="Times New Roman" w:eastAsia="Times New Roman" w:hAnsi="Times New Roman"/>
          <w:sz w:val="18"/>
          <w:szCs w:val="18"/>
          <w:color w:val="auto"/>
        </w:rPr>
        <w:t>” means any Participant who, as of the applicable date of determination, satisfies the requirements for Legacy Retirement Eligibility, 55/10 Retirement Eligibility or 62/10 Retirement Eligibility, as the case may be.</w:t>
      </w:r>
    </w:p>
    <w:p>
      <w:pPr>
        <w:spacing w:after="0" w:line="15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Retirement Termination</w:t>
      </w:r>
      <w:r>
        <w:rPr>
          <w:rFonts w:ascii="Times New Roman" w:cs="Times New Roman" w:eastAsia="Times New Roman" w:hAnsi="Times New Roman"/>
          <w:sz w:val="18"/>
          <w:szCs w:val="18"/>
          <w:color w:val="auto"/>
        </w:rPr>
        <w:t>” means a Legacy Retirement Termination, a 55/10 Retirement Termination or a 62/10 Retirement Termination,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40"/>
          </w:cols>
          <w:pgMar w:left="320" w:top="1417" w:right="539" w:bottom="1440" w:gutter="0" w:footer="0" w:header="0"/>
        </w:sectPr>
      </w:pPr>
    </w:p>
    <w:bookmarkStart w:id="172" w:name="page173"/>
    <w:bookmarkEnd w:id="172"/>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PERFORMANCE CONDITION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Participants are subject to the provisions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Capitalized terms used and not otherwise defined herein shall have the meanings ascribed to them in the Award Agreement.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subject to any additional terms and conditions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Award Agreement for your jurisdiction.</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Confidential Information; Assignment of Inventions.</w:t>
      </w:r>
    </w:p>
    <w:p>
      <w:pPr>
        <w:spacing w:after="0" w:line="185" w:lineRule="exact"/>
        <w:rPr>
          <w:sz w:val="20"/>
          <w:szCs w:val="20"/>
          <w:color w:val="auto"/>
        </w:rPr>
      </w:pPr>
    </w:p>
    <w:p>
      <w:pPr>
        <w:ind w:left="660" w:right="60" w:firstLine="725"/>
        <w:spacing w:after="0" w:line="247" w:lineRule="auto"/>
        <w:tabs>
          <w:tab w:leader="none" w:pos="195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52" w:lineRule="exact"/>
        <w:rPr>
          <w:rFonts w:ascii="Times New Roman" w:cs="Times New Roman" w:eastAsia="Times New Roman" w:hAnsi="Times New Roman"/>
          <w:sz w:val="17"/>
          <w:szCs w:val="17"/>
          <w:color w:val="auto"/>
        </w:rPr>
      </w:pPr>
    </w:p>
    <w:p>
      <w:pPr>
        <w:ind w:left="660" w:firstLine="725"/>
        <w:spacing w:after="0" w:line="223" w:lineRule="auto"/>
        <w:tabs>
          <w:tab w:leader="none" w:pos="195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prohibit you from disclosing Confidential Information if such disclosure is required by law, governmental process or valid legal process.</w:t>
      </w:r>
    </w:p>
    <w:p>
      <w:pPr>
        <w:spacing w:after="0" w:line="158" w:lineRule="exact"/>
        <w:rPr>
          <w:rFonts w:ascii="Times New Roman" w:cs="Times New Roman" w:eastAsia="Times New Roman" w:hAnsi="Times New Roman"/>
          <w:sz w:val="18"/>
          <w:szCs w:val="18"/>
          <w:color w:val="auto"/>
        </w:rPr>
      </w:pPr>
    </w:p>
    <w:p>
      <w:pPr>
        <w:ind w:left="660" w:right="60" w:firstLine="725"/>
        <w:spacing w:after="0" w:line="228" w:lineRule="auto"/>
        <w:tabs>
          <w:tab w:leader="none" w:pos="1953"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74" w:lineRule="exact"/>
        <w:rPr>
          <w:rFonts w:ascii="Times New Roman" w:cs="Times New Roman" w:eastAsia="Times New Roman" w:hAnsi="Times New Roman"/>
          <w:sz w:val="17"/>
          <w:szCs w:val="17"/>
          <w:color w:val="auto"/>
        </w:rPr>
      </w:pPr>
    </w:p>
    <w:p>
      <w:pPr>
        <w:ind w:left="660" w:right="40" w:firstLine="725"/>
        <w:spacing w:after="0" w:line="217" w:lineRule="auto"/>
        <w:tabs>
          <w:tab w:leader="none" w:pos="195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73" w:lineRule="exact"/>
        <w:rPr>
          <w:rFonts w:ascii="Times New Roman" w:cs="Times New Roman" w:eastAsia="Times New Roman" w:hAnsi="Times New Roman"/>
          <w:sz w:val="18"/>
          <w:szCs w:val="18"/>
          <w:color w:val="auto"/>
        </w:rPr>
      </w:pPr>
    </w:p>
    <w:p>
      <w:pPr>
        <w:ind w:left="660" w:right="100" w:firstLine="725"/>
        <w:spacing w:after="0" w:line="215" w:lineRule="auto"/>
        <w:tabs>
          <w:tab w:leader="none" w:pos="195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nothing in this Award Agreement (including with respect to confidential information, trade secrets, and other obligations) precludes or otherwise limits your ability to (i)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any other federal, state or local governmental agency or commission (“</w:t>
      </w:r>
      <w:r>
        <w:rPr>
          <w:rFonts w:ascii="Times New Roman" w:cs="Times New Roman" w:eastAsia="Times New Roman" w:hAnsi="Times New Roman"/>
          <w:sz w:val="18"/>
          <w:szCs w:val="18"/>
          <w:b w:val="1"/>
          <w:bCs w:val="1"/>
          <w:color w:val="auto"/>
        </w:rPr>
        <w:t>Government Agency</w:t>
      </w:r>
      <w:r>
        <w:rPr>
          <w:rFonts w:ascii="Times New Roman" w:cs="Times New Roman" w:eastAsia="Times New Roman" w:hAnsi="Times New Roman"/>
          <w:sz w:val="18"/>
          <w:szCs w:val="18"/>
          <w:color w:val="auto"/>
        </w:rPr>
        <w:t>”) or self-regulatory organization regarding possible legal violations, without disclosure to the Company, or (ii)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440"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requires you to waive any monetary award or other payment that you might become entitled to from the SEC or any other Government Agency.</w:t>
      </w:r>
    </w:p>
    <w:p>
      <w:pPr>
        <w:spacing w:after="0" w:line="185" w:lineRule="exact"/>
        <w:rPr>
          <w:sz w:val="20"/>
          <w:szCs w:val="20"/>
          <w:color w:val="auto"/>
        </w:rPr>
      </w:pPr>
    </w:p>
    <w:p>
      <w:pPr>
        <w:ind w:left="660" w:firstLine="725"/>
        <w:spacing w:after="0" w:line="216" w:lineRule="auto"/>
        <w:tabs>
          <w:tab w:leader="none" w:pos="194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(B)solely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5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 xml:space="preserve">Non-Compete. </w:t>
      </w:r>
      <w:r>
        <w:rPr>
          <w:rFonts w:ascii="Times New Roman" w:cs="Times New Roman" w:eastAsia="Times New Roman" w:hAnsi="Times New Roman"/>
          <w:sz w:val="17"/>
          <w:szCs w:val="17"/>
          <w:color w:val="auto"/>
        </w:rPr>
        <w:t>During your employment or service with the Company and for a period of one year following the termination of</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your employment or service with the Company for any reason (the “</w:t>
      </w:r>
      <w:r>
        <w:rPr>
          <w:rFonts w:ascii="Times New Roman" w:cs="Times New Roman" w:eastAsia="Times New Roman" w:hAnsi="Times New Roman"/>
          <w:sz w:val="18"/>
          <w:szCs w:val="18"/>
          <w:b w:val="1"/>
          <w:bCs w:val="1"/>
          <w:color w:val="auto"/>
        </w:rPr>
        <w:t>Non-Compete Restricted Period</w:t>
      </w:r>
      <w:r>
        <w:rPr>
          <w:rFonts w:ascii="Times New Roman" w:cs="Times New Roman" w:eastAsia="Times New Roman" w:hAnsi="Times New Roman"/>
          <w:sz w:val="18"/>
          <w:szCs w:val="18"/>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w:t>
      </w:r>
    </w:p>
    <w:p>
      <w:pPr>
        <w:spacing w:after="0" w:line="2"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72"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Non-Solicit and No-Hire.</w:t>
      </w:r>
      <w:r>
        <w:rPr>
          <w:rFonts w:ascii="Times New Roman" w:cs="Times New Roman" w:eastAsia="Times New Roman" w:hAnsi="Times New Roman"/>
          <w:sz w:val="17"/>
          <w:szCs w:val="17"/>
          <w:color w:val="auto"/>
        </w:rPr>
        <w:t xml:space="preserve">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7"/>
          <w:szCs w:val="17"/>
          <w:b w:val="1"/>
          <w:bCs w:val="1"/>
          <w:color w:val="auto"/>
        </w:rPr>
        <w:t>Non-Solicit Restricted Period</w:t>
      </w:r>
      <w:r>
        <w:rPr>
          <w:rFonts w:ascii="Times New Roman" w:cs="Times New Roman" w:eastAsia="Times New Roman" w:hAnsi="Times New Roman"/>
          <w:sz w:val="17"/>
          <w:szCs w:val="17"/>
          <w:color w:val="auto"/>
        </w:rPr>
        <w:t>”), you shall not, directly or indirectly,</w:t>
      </w:r>
    </w:p>
    <w:p>
      <w:pPr>
        <w:spacing w:after="0" w:line="1" w:lineRule="exact"/>
        <w:rPr>
          <w:sz w:val="20"/>
          <w:szCs w:val="20"/>
          <w:color w:val="auto"/>
        </w:rPr>
      </w:pPr>
    </w:p>
    <w:p>
      <w:pPr>
        <w:ind w:firstLine="8"/>
        <w:spacing w:after="0" w:line="211" w:lineRule="auto"/>
        <w:tabs>
          <w:tab w:leader="none" w:pos="2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encourage any employee of the Company to terminate his or her employment with the Company, (b) hire or otherwise engage any employee of the Company prior to the date on which such person has not been employed by the Company or any of its Subsidiaries for a period of at least one year or</w:t>
      </w:r>
    </w:p>
    <w:p>
      <w:pPr>
        <w:ind w:right="60" w:firstLine="8"/>
        <w:spacing w:after="0" w:line="223" w:lineRule="auto"/>
        <w:tabs>
          <w:tab w:leader="none" w:pos="24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59" w:lineRule="exact"/>
        <w:rPr>
          <w:sz w:val="20"/>
          <w:szCs w:val="20"/>
          <w:color w:val="auto"/>
        </w:rPr>
      </w:pPr>
    </w:p>
    <w:p>
      <w:pPr>
        <w:ind w:right="34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Subject to your rights pursuant to Sections 1(e) and 1(f) above, at all times during your employment or service with the Company and after termination of your employment or service with the Company for any reason, you will not knowingly make any</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72" w:lineRule="exact"/>
        <w:rPr>
          <w:sz w:val="20"/>
          <w:szCs w:val="20"/>
          <w:color w:val="auto"/>
        </w:rPr>
      </w:pPr>
    </w:p>
    <w:p>
      <w:pPr>
        <w:ind w:right="280"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 xml:space="preserve"> You acknowledge that the terms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w:t>
      </w:r>
    </w:p>
    <w:p>
      <w:pPr>
        <w:spacing w:after="0" w:line="1" w:lineRule="exact"/>
        <w:rPr>
          <w:sz w:val="20"/>
          <w:szCs w:val="20"/>
          <w:color w:val="auto"/>
        </w:rPr>
      </w:pPr>
    </w:p>
    <w:p>
      <w:pPr>
        <w:ind w:right="200"/>
        <w:spacing w:after="0" w:line="219" w:lineRule="auto"/>
        <w:rPr>
          <w:sz w:val="20"/>
          <w:szCs w:val="20"/>
          <w:color w:val="auto"/>
        </w:rPr>
      </w:pPr>
      <w:r>
        <w:rPr>
          <w:rFonts w:ascii="Times New Roman" w:cs="Times New Roman" w:eastAsia="Times New Roman" w:hAnsi="Times New Roman"/>
          <w:sz w:val="17"/>
          <w:szCs w:val="17"/>
          <w:color w:val="auto"/>
        </w:rPr>
        <w:t xml:space="preserve">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 xml:space="preserve">enforceable and that comes closest to expressing the intention of the invalid or unenforceable term or provision, and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that there would be no adequate remedy at law or</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 xml:space="preserve">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20"/>
          </w:cols>
          <w:pgMar w:left="320" w:top="1404" w:right="359" w:bottom="1440" w:gutter="0" w:footer="0" w:header="0"/>
        </w:sectPr>
      </w:pPr>
    </w:p>
    <w:bookmarkStart w:id="175" w:name="page176"/>
    <w:bookmarkEnd w:id="175"/>
    <w:p>
      <w:pPr>
        <w:ind w:right="280"/>
        <w:spacing w:after="0" w:line="263" w:lineRule="auto"/>
        <w:rPr>
          <w:sz w:val="20"/>
          <w:szCs w:val="20"/>
          <w:color w:val="auto"/>
        </w:rPr>
      </w:pPr>
      <w:r>
        <w:rPr>
          <w:rFonts w:ascii="Times New Roman" w:cs="Times New Roman" w:eastAsia="Times New Roman" w:hAnsi="Times New Roman"/>
          <w:sz w:val="17"/>
          <w:szCs w:val="17"/>
          <w:color w:val="auto"/>
        </w:rPr>
        <w:t xml:space="preserve">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 xml:space="preserve">Definitions. </w:t>
      </w:r>
      <w:r>
        <w:rPr>
          <w:rFonts w:ascii="Times New Roman" w:cs="Times New Roman" w:eastAsia="Times New Roman" w:hAnsi="Times New Roman"/>
          <w:sz w:val="17"/>
          <w:szCs w:val="17"/>
          <w:color w:val="auto"/>
        </w:rPr>
        <w:t>For purposes of this</w:t>
      </w:r>
      <w:r>
        <w:rPr>
          <w:rFonts w:ascii="Times New Roman" w:cs="Times New Roman" w:eastAsia="Times New Roman" w:hAnsi="Times New Roman"/>
          <w:sz w:val="17"/>
          <w:szCs w:val="17"/>
          <w:u w:val="single" w:color="auto"/>
          <w:color w:val="auto"/>
        </w:rPr>
        <w:t xml:space="preserve"> Exhibit B </w:t>
      </w:r>
      <w:r>
        <w:rPr>
          <w:rFonts w:ascii="Times New Roman" w:cs="Times New Roman" w:eastAsia="Times New Roman" w:hAnsi="Times New Roman"/>
          <w:sz w:val="17"/>
          <w:szCs w:val="17"/>
          <w:color w:val="auto"/>
        </w:rPr>
        <w:t>and the Award Agreement, the following terms shall have the following meanings:</w:t>
      </w:r>
    </w:p>
    <w:p>
      <w:pPr>
        <w:spacing w:after="0" w:line="194"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any person, entity or business that is engaged in, or that owns a significant equity, voting, financial or other interest in an entity that is engaged in, one or more Competing Businesses.</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Business</w:t>
      </w:r>
      <w:r>
        <w:rPr>
          <w:rFonts w:ascii="Times New Roman" w:cs="Times New Roman" w:eastAsia="Times New Roman" w:hAnsi="Times New Roman"/>
          <w:sz w:val="18"/>
          <w:szCs w:val="18"/>
          <w:color w:val="auto"/>
        </w:rPr>
        <w:t>” means any business or activity that competes with the MSCI Business or is reasonably anticipated to compete with the MSCI Business.</w:t>
      </w:r>
    </w:p>
    <w:p>
      <w:pPr>
        <w:spacing w:after="0" w:line="15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 Information shall in no event include (x) any Confidential Information which was generally available to the public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8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MSCI Business</w:t>
      </w:r>
      <w:r>
        <w:rPr>
          <w:rFonts w:ascii="Times New Roman" w:cs="Times New Roman" w:eastAsia="Times New Roman" w:hAnsi="Times New Roman"/>
          <w:sz w:val="18"/>
          <w:szCs w:val="18"/>
          <w:color w:val="auto"/>
        </w:rPr>
        <w:t>” means any business, or part thereof, engaged in, contemplated or actively planned by the Company as of your Termination Date that you were actively involved in, provided services to, or participated in the planning of, during your employment or service with the Company.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7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Services</w:t>
      </w:r>
      <w:r>
        <w:rPr>
          <w:rFonts w:ascii="Times New Roman" w:cs="Times New Roman" w:eastAsia="Times New Roman" w:hAnsi="Times New Roman"/>
          <w:sz w:val="18"/>
          <w:szCs w:val="18"/>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404" w:right="339" w:bottom="1440" w:gutter="0" w:footer="0" w:header="0"/>
        </w:sectPr>
      </w:pPr>
    </w:p>
    <w:bookmarkStart w:id="176" w:name="page177"/>
    <w:bookmarkEnd w:id="176"/>
    <w:p>
      <w:pPr>
        <w:spacing w:after="0" w:line="282" w:lineRule="auto"/>
        <w:rPr>
          <w:sz w:val="20"/>
          <w:szCs w:val="20"/>
          <w:color w:val="auto"/>
        </w:rPr>
      </w:pPr>
      <w:r>
        <w:rPr>
          <w:rFonts w:ascii="Times New Roman" w:cs="Times New Roman" w:eastAsia="Times New Roman" w:hAnsi="Times New Roman"/>
          <w:sz w:val="18"/>
          <w:szCs w:val="18"/>
          <w:color w:val="auto"/>
        </w:rPr>
        <w:t>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860"/>
          </w:cols>
          <w:pgMar w:left="320" w:top="1417" w:right="7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JURISDICTION-SPECIFIC TERMS AND CONDITIONS</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120"/>
          </w:cols>
          <w:pgMar w:left="1440" w:top="1413" w:right="339" w:bottom="1440" w:gutter="0" w:footer="0" w:header="0"/>
        </w:sectPr>
      </w:pPr>
    </w:p>
    <w:bookmarkStart w:id="178" w:name="page179"/>
    <w:bookmarkEnd w:id="178"/>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28,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C.D. Baer Pettit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MSCI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Bishops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 6EG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 Transition and Advisory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Baer,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letter is a transition and advisory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you and MSCI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66" w:lineRule="exact"/>
        <w:rPr>
          <w:sz w:val="20"/>
          <w:szCs w:val="20"/>
          <w:color w:val="auto"/>
        </w:rPr>
      </w:pPr>
    </w:p>
    <w:p>
      <w:pPr>
        <w:jc w:val="both"/>
        <w:ind w:left="340" w:hanging="332"/>
        <w:spacing w:after="0" w:line="282" w:lineRule="auto"/>
        <w:tabs>
          <w:tab w:leader="none" w:pos="355"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Transition Date. </w:t>
      </w:r>
      <w:r>
        <w:rPr>
          <w:rFonts w:ascii="Arial" w:cs="Arial" w:eastAsia="Arial" w:hAnsi="Arial"/>
          <w:sz w:val="18"/>
          <w:szCs w:val="18"/>
          <w:color w:val="auto"/>
        </w:rPr>
        <w:t>As of the close of February 28, 2026 (the “</w:t>
      </w:r>
      <w:r>
        <w:rPr>
          <w:rFonts w:ascii="Arial" w:cs="Arial" w:eastAsia="Arial" w:hAnsi="Arial"/>
          <w:sz w:val="18"/>
          <w:szCs w:val="18"/>
          <w:b w:val="1"/>
          <w:bCs w:val="1"/>
          <w:color w:val="auto"/>
        </w:rPr>
        <w:t>Transition Date</w:t>
      </w:r>
      <w:r>
        <w:rPr>
          <w:rFonts w:ascii="Arial" w:cs="Arial" w:eastAsia="Arial" w:hAnsi="Arial"/>
          <w:sz w:val="18"/>
          <w:szCs w:val="18"/>
          <w:color w:val="auto"/>
        </w:rPr>
        <w:t>”), you will retire from your positions as President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of Directors of the Company. Effective as of the Transition Date, you also resign, and are deemed to have resigned, from all offices, directorships, committee memberships and other positions you hold with the Company, MSCI Limited and each other subsidiary or affiliate of the Company. Your employment with MSCI Limited terminates on the Transition Date by mutual agreement under your UK employment letter dated April 27, 2021 (the “</w:t>
      </w:r>
      <w:r>
        <w:rPr>
          <w:rFonts w:ascii="Arial" w:cs="Arial" w:eastAsia="Arial" w:hAnsi="Arial"/>
          <w:sz w:val="18"/>
          <w:szCs w:val="18"/>
          <w:b w:val="1"/>
          <w:bCs w:val="1"/>
          <w:color w:val="auto"/>
        </w:rPr>
        <w:t>UK Employment Letter</w:t>
      </w:r>
      <w:r>
        <w:rPr>
          <w:rFonts w:ascii="Arial" w:cs="Arial" w:eastAsia="Arial" w:hAnsi="Arial"/>
          <w:sz w:val="18"/>
          <w:szCs w:val="18"/>
          <w:color w:val="auto"/>
        </w:rPr>
        <w:t>”) and a separate agreement between you and MSCI Limited (the “</w:t>
      </w:r>
      <w:r>
        <w:rPr>
          <w:rFonts w:ascii="Arial" w:cs="Arial" w:eastAsia="Arial" w:hAnsi="Arial"/>
          <w:sz w:val="18"/>
          <w:szCs w:val="18"/>
          <w:b w:val="1"/>
          <w:bCs w:val="1"/>
          <w:color w:val="auto"/>
        </w:rPr>
        <w:t>UK Release Agreement</w:t>
      </w:r>
      <w:r>
        <w:rPr>
          <w:rFonts w:ascii="Arial" w:cs="Arial" w:eastAsia="Arial" w:hAnsi="Arial"/>
          <w:sz w:val="18"/>
          <w:szCs w:val="18"/>
          <w:color w:val="auto"/>
        </w:rPr>
        <w:t>”). You will execute and deliver such documents and take such actions as the Company reasonably requests to effect or record the foregoing, including any required corporate or regulatory filings (including with Companies House) and resignation letters. For the avoidance of doubt, nothing in this Section 1 alters the treatment of your outstanding equity awards during the Advisory Period (as defined below) as set out in Section 3.</w:t>
      </w:r>
    </w:p>
    <w:p>
      <w:pPr>
        <w:spacing w:after="0" w:line="173" w:lineRule="exact"/>
        <w:rPr>
          <w:rFonts w:ascii="Arial" w:cs="Arial" w:eastAsia="Arial" w:hAnsi="Arial"/>
          <w:sz w:val="18"/>
          <w:szCs w:val="18"/>
          <w:color w:val="auto"/>
        </w:rPr>
      </w:pPr>
    </w:p>
    <w:p>
      <w:pPr>
        <w:jc w:val="both"/>
        <w:ind w:left="340" w:hanging="332"/>
        <w:spacing w:after="0" w:line="300" w:lineRule="auto"/>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Advisory Agreement. </w:t>
      </w:r>
      <w:r>
        <w:rPr>
          <w:rFonts w:ascii="Arial" w:cs="Arial" w:eastAsia="Arial" w:hAnsi="Arial"/>
          <w:sz w:val="18"/>
          <w:szCs w:val="18"/>
          <w:color w:val="auto"/>
        </w:rPr>
        <w:t>To assist the Company with a smooth transition after the Transition Date, commencing on March 1, 2026,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senior advisor to the Chief Executive Officer of the Company (the “</w:t>
      </w:r>
      <w:r>
        <w:rPr>
          <w:rFonts w:ascii="Arial" w:cs="Arial" w:eastAsia="Arial" w:hAnsi="Arial"/>
          <w:sz w:val="18"/>
          <w:szCs w:val="18"/>
          <w:b w:val="1"/>
          <w:bCs w:val="1"/>
          <w:color w:val="auto"/>
        </w:rPr>
        <w:t>CEO</w:t>
      </w:r>
      <w:r>
        <w:rPr>
          <w:rFonts w:ascii="Arial" w:cs="Arial" w:eastAsia="Arial" w:hAnsi="Arial"/>
          <w:sz w:val="18"/>
          <w:szCs w:val="18"/>
          <w:color w:val="auto"/>
        </w:rPr>
        <w:t>”), subject to the terms of this Agreement and the related Release (as defined below) attached as Exhibit A.</w:t>
      </w:r>
    </w:p>
    <w:p>
      <w:pPr>
        <w:spacing w:after="0" w:line="168" w:lineRule="exact"/>
        <w:rPr>
          <w:rFonts w:ascii="Arial" w:cs="Arial" w:eastAsia="Arial" w:hAnsi="Arial"/>
          <w:sz w:val="18"/>
          <w:szCs w:val="18"/>
          <w:color w:val="auto"/>
        </w:rPr>
      </w:pPr>
    </w:p>
    <w:p>
      <w:pPr>
        <w:ind w:left="980" w:hanging="648"/>
        <w:spacing w:after="0" w:line="287"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8"/>
          <w:szCs w:val="18"/>
          <w:b w:val="1"/>
          <w:bCs w:val="1"/>
          <w:color w:val="auto"/>
        </w:rPr>
        <w:t xml:space="preserve">Advisory Services. </w:t>
      </w:r>
      <w:r>
        <w:rPr>
          <w:rFonts w:ascii="Arial" w:cs="Arial" w:eastAsia="Arial" w:hAnsi="Arial"/>
          <w:sz w:val="18"/>
          <w:szCs w:val="18"/>
          <w:color w:val="auto"/>
        </w:rPr>
        <w:t>You agree to provide advisory services to the Company related to the transition of your responsibilities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matters as the Company may indicate from time to time commensurate with your seniority and stature preceding the Transition Date (the “</w:t>
      </w:r>
      <w:r>
        <w:rPr>
          <w:rFonts w:ascii="Arial" w:cs="Arial" w:eastAsia="Arial" w:hAnsi="Arial"/>
          <w:sz w:val="18"/>
          <w:szCs w:val="18"/>
          <w:b w:val="1"/>
          <w:bCs w:val="1"/>
          <w:color w:val="auto"/>
        </w:rPr>
        <w:t>Advisory Services</w:t>
      </w:r>
      <w:r>
        <w:rPr>
          <w:rFonts w:ascii="Arial" w:cs="Arial" w:eastAsia="Arial" w:hAnsi="Arial"/>
          <w:sz w:val="18"/>
          <w:szCs w:val="18"/>
          <w:color w:val="auto"/>
        </w:rPr>
        <w:t>”). You agree to exercise the highest degree of professionalism and utilize your expertise and creative talents in performing these services. You will report directly to the CEO and agree to make yourself reasonably available to perform such Advisory Services as the Company may request throughout the Advisory Period.</w:t>
      </w:r>
    </w:p>
    <w:p>
      <w:pPr>
        <w:spacing w:after="0" w:line="166" w:lineRule="exact"/>
        <w:rPr>
          <w:rFonts w:ascii="Arial" w:cs="Arial" w:eastAsia="Arial" w:hAnsi="Arial"/>
          <w:sz w:val="18"/>
          <w:szCs w:val="18"/>
          <w:color w:val="auto"/>
        </w:rPr>
      </w:pPr>
    </w:p>
    <w:p>
      <w:pPr>
        <w:ind w:left="960" w:hanging="648"/>
        <w:spacing w:after="0" w:line="288" w:lineRule="auto"/>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8"/>
          <w:szCs w:val="18"/>
          <w:b w:val="1"/>
          <w:bCs w:val="1"/>
          <w:color w:val="auto"/>
        </w:rPr>
        <w:t xml:space="preserve">Advisory Period. </w:t>
      </w:r>
      <w:r>
        <w:rPr>
          <w:rFonts w:ascii="Arial" w:cs="Arial" w:eastAsia="Arial" w:hAnsi="Arial"/>
          <w:sz w:val="18"/>
          <w:szCs w:val="18"/>
          <w:color w:val="auto"/>
        </w:rPr>
        <w:t>You agree to perform the Advisory Services from March 1, 2026 through August 15, 2026, unless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pursuant to Section 2.7 below or extended by agreement of you and the Company (the “</w:t>
      </w:r>
      <w:r>
        <w:rPr>
          <w:rFonts w:ascii="Arial" w:cs="Arial" w:eastAsia="Arial" w:hAnsi="Arial"/>
          <w:sz w:val="18"/>
          <w:szCs w:val="18"/>
          <w:b w:val="1"/>
          <w:bCs w:val="1"/>
          <w:color w:val="auto"/>
        </w:rPr>
        <w:t>Advisory Period</w:t>
      </w:r>
      <w:r>
        <w:rPr>
          <w:rFonts w:ascii="Arial" w:cs="Arial" w:eastAsia="Arial" w:hAnsi="Arial"/>
          <w:sz w:val="18"/>
          <w:szCs w:val="18"/>
          <w:color w:val="auto"/>
        </w:rPr>
        <w:t>”). Any agreement to extend the Advisory Period must be set forth in a writing signed by you and an authorized representative of the Company.</w:t>
      </w:r>
    </w:p>
    <w:p>
      <w:pPr>
        <w:sectPr>
          <w:pgSz w:w="11900" w:h="16838" w:orient="portrait"/>
          <w:cols w:equalWidth="0" w:num="1">
            <w:col w:w="11240"/>
          </w:cols>
          <w:pgMar w:left="320" w:top="1440" w:right="339" w:bottom="1440" w:gutter="0" w:footer="0" w:header="0"/>
        </w:sectPr>
      </w:pPr>
    </w:p>
    <w:bookmarkStart w:id="179" w:name="page180"/>
    <w:bookmarkEnd w:id="179"/>
    <w:p>
      <w:pPr>
        <w:jc w:val="both"/>
        <w:ind w:left="940" w:hanging="647"/>
        <w:spacing w:after="0" w:line="284" w:lineRule="auto"/>
        <w:tabs>
          <w:tab w:leader="none" w:pos="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color w:val="auto"/>
        </w:rPr>
        <w:t xml:space="preserve">Fees. </w:t>
      </w:r>
      <w:r>
        <w:rPr>
          <w:rFonts w:ascii="Arial" w:cs="Arial" w:eastAsia="Arial" w:hAnsi="Arial"/>
          <w:sz w:val="18"/>
          <w:szCs w:val="18"/>
          <w:color w:val="auto"/>
        </w:rPr>
        <w:t>During the Advisory Period, and provided that you remain in material compliance with the terms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pay you an advisory fee of £20,000 per month (the “</w:t>
      </w:r>
      <w:r>
        <w:rPr>
          <w:rFonts w:ascii="Arial" w:cs="Arial" w:eastAsia="Arial" w:hAnsi="Arial"/>
          <w:sz w:val="18"/>
          <w:szCs w:val="18"/>
          <w:b w:val="1"/>
          <w:bCs w:val="1"/>
          <w:color w:val="auto"/>
        </w:rPr>
        <w:t>Advisory Fees</w:t>
      </w:r>
      <w:r>
        <w:rPr>
          <w:rFonts w:ascii="Arial" w:cs="Arial" w:eastAsia="Arial" w:hAnsi="Arial"/>
          <w:sz w:val="18"/>
          <w:szCs w:val="18"/>
          <w:color w:val="auto"/>
        </w:rPr>
        <w:t>”). With respect to any breach that is capable of cure (as determined by the Company in good faith), the Company will provide written notice and a reasonable opportunity to cure before withholding any Advisory Fees. The Advisory Fees will be paid in cash, in arrears for each calendar month of service during the Advisory Period (pro rated for any partial months of service, as applicable), net of income tax and employee national insurance contributions liabilities under PAYE and other amounts as are required by applicable law and will be processed through the payroll of MSCI Limited (or another designated paying agent) on behalf of the Company. Notwithstanding the above, you remain responsible for accounting for and payment of any and all income tax and employee national insurance contributions liabilities or other taxes that may be due in respect of the Advisory Fees, except to the extent such amounts are deducted and remitted at source.</w:t>
      </w:r>
    </w:p>
    <w:p>
      <w:pPr>
        <w:spacing w:after="0" w:line="183" w:lineRule="exact"/>
        <w:rPr>
          <w:sz w:val="20"/>
          <w:szCs w:val="20"/>
          <w:color w:val="auto"/>
        </w:rPr>
      </w:pPr>
    </w:p>
    <w:p>
      <w:pPr>
        <w:jc w:val="both"/>
        <w:ind w:left="940" w:hanging="647"/>
        <w:spacing w:after="0" w:line="292" w:lineRule="auto"/>
        <w:tabs>
          <w:tab w:leader="none" w:pos="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color w:val="auto"/>
        </w:rPr>
        <w:t xml:space="preserve">Limitations on Authority. </w:t>
      </w:r>
      <w:r>
        <w:rPr>
          <w:rFonts w:ascii="Arial" w:cs="Arial" w:eastAsia="Arial" w:hAnsi="Arial"/>
          <w:sz w:val="18"/>
          <w:szCs w:val="18"/>
          <w:color w:val="auto"/>
        </w:rPr>
        <w:t>You have no responsibilities or authority other than as provided in this Agreement and no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bind the Company absent written authorization from the CEO. You will not represent that you have authority to act for the Company except as authorized.</w:t>
      </w:r>
    </w:p>
    <w:p>
      <w:pPr>
        <w:spacing w:after="0" w:line="176" w:lineRule="exact"/>
        <w:rPr>
          <w:sz w:val="20"/>
          <w:szCs w:val="20"/>
          <w:color w:val="auto"/>
        </w:rPr>
      </w:pPr>
    </w:p>
    <w:p>
      <w:pPr>
        <w:jc w:val="both"/>
        <w:ind w:left="960" w:hanging="647"/>
        <w:spacing w:after="0" w:line="282" w:lineRule="auto"/>
        <w:tabs>
          <w:tab w:leader="none" w:pos="9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color w:val="auto"/>
        </w:rPr>
        <w:t xml:space="preserve">Confidential Information and Inventions; Company Policies. </w:t>
      </w:r>
      <w:r>
        <w:rPr>
          <w:rFonts w:ascii="Arial" w:cs="Arial" w:eastAsia="Arial" w:hAnsi="Arial"/>
          <w:sz w:val="18"/>
          <w:szCs w:val="18"/>
          <w:color w:val="auto"/>
        </w:rPr>
        <w:t>You acknowledge and reaffirm your obligations in Annex 1</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Covenants) to the Release with respect to Confidential Information and Inventions (as defined in Annex 1). In addition, any and all work product you create in the course of performing the Advisory Services will be the sole and exclusive property of the Company, will be treated as “Inventions” for purposes of Annex 1, and is hereby assigned to the Company. You reaffirm your continuing obligations under the Company’s confidentiality and intellectual property policies, including the MSCI Intellectual Property and Proprietary Rights Policy and the MSCI Employee Privacy and Data Protection Policy. During the Advisory Period, you will comply with all applicable Company policies of which you are aware or are brought to your attention by the Company, including with regard to workplace conduct.</w:t>
      </w:r>
    </w:p>
    <w:p>
      <w:pPr>
        <w:spacing w:after="0" w:line="187" w:lineRule="exact"/>
        <w:rPr>
          <w:sz w:val="20"/>
          <w:szCs w:val="20"/>
          <w:color w:val="auto"/>
        </w:rPr>
      </w:pPr>
    </w:p>
    <w:p>
      <w:pPr>
        <w:jc w:val="both"/>
        <w:ind w:left="940" w:right="20" w:hanging="647"/>
        <w:spacing w:after="0" w:line="308" w:lineRule="auto"/>
        <w:tabs>
          <w:tab w:leader="none" w:pos="9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color w:val="auto"/>
        </w:rPr>
        <w:t>Other Work Activities</w:t>
      </w:r>
      <w:r>
        <w:rPr>
          <w:rFonts w:ascii="Arial" w:cs="Arial" w:eastAsia="Arial" w:hAnsi="Arial"/>
          <w:sz w:val="18"/>
          <w:szCs w:val="18"/>
          <w:color w:val="auto"/>
        </w:rPr>
        <w:t>. You agree that, during the Advisory Period, you will notify the Company, in writing, before you obtain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or perform work for, any business, or engage in any other work activity. Any such activity will also be subject to the Restrictive Covenants in Annex 1 to the Release.</w:t>
      </w:r>
    </w:p>
    <w:p>
      <w:pPr>
        <w:spacing w:after="0" w:line="189" w:lineRule="exact"/>
        <w:rPr>
          <w:sz w:val="20"/>
          <w:szCs w:val="20"/>
          <w:color w:val="auto"/>
        </w:rPr>
      </w:pPr>
    </w:p>
    <w:p>
      <w:pPr>
        <w:jc w:val="both"/>
        <w:ind w:left="960" w:hanging="647"/>
        <w:spacing w:after="0" w:line="295" w:lineRule="auto"/>
        <w:tabs>
          <w:tab w:leader="none" w:pos="9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b w:val="1"/>
          <w:bCs w:val="1"/>
          <w:color w:val="auto"/>
        </w:rPr>
        <w:t>Breach</w:t>
      </w:r>
      <w:r>
        <w:rPr>
          <w:rFonts w:ascii="Arial" w:cs="Arial" w:eastAsia="Arial" w:hAnsi="Arial"/>
          <w:sz w:val="18"/>
          <w:szCs w:val="18"/>
          <w:color w:val="auto"/>
        </w:rPr>
        <w:t>. Without waiving any other rights or remedies, the Company may terminate the Advisory Period (and your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immediately for your material breach of this Agreement, the UK Release Agreement, the Release or any of the Restrictive Covenants set out in Annex 1 to the Release. With respect to any breach that is capable of cure (as determined by the Company in good faith), the Company will provide written notice and a reasonable opportunity to cure before withholding any Advisory Fees or terminating the Advisory Period (and your Advisory Services), except that the Company may terminate immediately for any breach of the Restrictive Covenants.</w:t>
      </w:r>
    </w:p>
    <w:p>
      <w:pPr>
        <w:spacing w:after="0" w:line="66" w:lineRule="exact"/>
        <w:rPr>
          <w:sz w:val="20"/>
          <w:szCs w:val="20"/>
          <w:color w:val="auto"/>
        </w:rPr>
      </w:pPr>
    </w:p>
    <w:p>
      <w:pPr>
        <w:ind w:left="340" w:hanging="332"/>
        <w:spacing w:after="0" w:line="318" w:lineRule="auto"/>
        <w:tabs>
          <w:tab w:leader="none" w:pos="314"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Outstanding Equity Awards</w:t>
      </w:r>
      <w:r>
        <w:rPr>
          <w:rFonts w:ascii="Arial" w:cs="Arial" w:eastAsia="Arial" w:hAnsi="Arial"/>
          <w:sz w:val="18"/>
          <w:szCs w:val="18"/>
          <w:color w:val="auto"/>
        </w:rPr>
        <w:t>. For purposes of the Company’s equity incentive plans and your outstanding equity award agreements,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Period will be treated as continuous service with the Company and neither the Transition Date nor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0" w:right="339" w:bottom="1440" w:gutter="0" w:footer="0" w:header="0"/>
        </w:sectPr>
      </w:pPr>
    </w:p>
    <w:bookmarkStart w:id="180" w:name="page181"/>
    <w:bookmarkEnd w:id="180"/>
    <w:p>
      <w:pPr>
        <w:jc w:val="both"/>
        <w:ind w:left="340"/>
        <w:spacing w:after="0" w:line="239" w:lineRule="exact"/>
        <w:rPr>
          <w:sz w:val="20"/>
          <w:szCs w:val="20"/>
          <w:color w:val="auto"/>
        </w:rPr>
      </w:pPr>
      <w:r>
        <w:rPr>
          <w:rFonts w:ascii="Arial" w:cs="Arial" w:eastAsia="Arial" w:hAnsi="Arial"/>
          <w:sz w:val="18"/>
          <w:szCs w:val="18"/>
          <w:color w:val="auto"/>
        </w:rPr>
        <w:t>commencement of services under this Agreement will constitute a termination of service for purposes of such plans or award agreements. For purposes of retirement-related treatment under your outstanding equity awards, the Company will treat any applicable “Notice Requirements” as satisfied in connection with this transition, subject to your continued compliance with this Agreement and the applicable plan and award agreement terms, and as of the date hereof the Company has not determined that a “Cancellation Event” has occurred, without limiting the Company’s rights under the applicable plans or award agreements to determine otherwise based on facts and circumstances, including facts discovered after the date hereof. Any retirement-related treatment under your outstanding equity awards will be determined and administered in accordance with the applicable plan and award agreement terms, as in effect from time to time. Subject to your continued compliance with this Agreement and such plan and award agreement terms, if, as of the scheduled end of the Advisory Period, you meet the age and service requirements for “62/10” treatment under the applicable award agreements, such cessation of service is expected to qualify as a “62/10 Retirement Termination.” For the avoidance of doubt, any performance</w:t>
      </w:r>
      <w:r>
        <w:rPr>
          <w:rFonts w:ascii="MS PGothic" w:cs="MS PGothic" w:eastAsia="MS PGothic" w:hAnsi="MS PGothic"/>
          <w:sz w:val="18"/>
          <w:szCs w:val="18"/>
          <w:color w:val="auto"/>
        </w:rPr>
        <w:t>‑</w:t>
      </w:r>
      <w:r>
        <w:rPr>
          <w:rFonts w:ascii="Arial" w:cs="Arial" w:eastAsia="Arial" w:hAnsi="Arial"/>
          <w:sz w:val="18"/>
          <w:szCs w:val="18"/>
          <w:color w:val="auto"/>
        </w:rPr>
        <w:t>based awards will remain subject to achievement of applicable performance conditions.</w:t>
      </w:r>
    </w:p>
    <w:p>
      <w:pPr>
        <w:spacing w:after="0" w:line="113" w:lineRule="exact"/>
        <w:rPr>
          <w:sz w:val="20"/>
          <w:szCs w:val="20"/>
          <w:color w:val="auto"/>
        </w:rPr>
      </w:pPr>
    </w:p>
    <w:p>
      <w:pPr>
        <w:jc w:val="both"/>
        <w:ind w:left="340" w:hanging="332"/>
        <w:spacing w:after="0" w:line="286" w:lineRule="auto"/>
        <w:tabs>
          <w:tab w:leader="none" w:pos="31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Other Compensation or Benefits</w:t>
      </w:r>
      <w:r>
        <w:rPr>
          <w:rFonts w:ascii="Arial" w:cs="Arial" w:eastAsia="Arial" w:hAnsi="Arial"/>
          <w:sz w:val="18"/>
          <w:szCs w:val="18"/>
          <w:color w:val="auto"/>
        </w:rPr>
        <w:t>. You consent to the change in your status, function, duties, responsibilities 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Agreement and agree that, except as expressly provided in this Agreement, the UK Release Agreement, the Release, or your equity award agreements, nothing in this Agreement or the performance of it will (i) entitle you to any severance or separation pay, including any “Severance Payment” or severance practice described in your UK Employment Letter, (ii) constitute a “Qualifying Termination” under any equity award or a “good reason” basis for resignation under any plan, agreement or award, or (iii) otherwise entitle you to compensation or benefits after the Transition Date.</w:t>
      </w:r>
    </w:p>
    <w:p>
      <w:pPr>
        <w:spacing w:after="0" w:line="59" w:lineRule="exact"/>
        <w:rPr>
          <w:rFonts w:ascii="Arial" w:cs="Arial" w:eastAsia="Arial" w:hAnsi="Arial"/>
          <w:sz w:val="18"/>
          <w:szCs w:val="18"/>
          <w:color w:val="auto"/>
        </w:rPr>
      </w:pPr>
    </w:p>
    <w:p>
      <w:pPr>
        <w:jc w:val="both"/>
        <w:ind w:left="340" w:hanging="332"/>
        <w:spacing w:after="0" w:line="282"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Return of Company Property</w:t>
      </w:r>
      <w:r>
        <w:rPr>
          <w:rFonts w:ascii="Arial" w:cs="Arial" w:eastAsia="Arial" w:hAnsi="Arial"/>
          <w:sz w:val="18"/>
          <w:szCs w:val="18"/>
          <w:color w:val="auto"/>
        </w:rPr>
        <w:t>. No later than the last day of the Advisory Period, or earlier on request of the Company, you will return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all documents and other media in your possession or provided to you or created in the course of your employment with the Company or relating to, or containing information relating to, the Company or any of its clients or suppliers, and all property belonging to the Company in your possession, custody or control including, without limitation all credit cards, keys, security passes, laptops, mobile devices or tablets. You will not keep or make any copy in any format of anything referred to in this Section 5. For the avoidance of doubt, nothing in this Agreement or otherwise precludes you from retaining in your possession any documents relating to your employment with the Company including, but not limited to, employment contracts, side letters, appraisals, bonus and equity plans and the like and any such other property as the parties agree that you may retain.</w:t>
      </w:r>
    </w:p>
    <w:p>
      <w:pPr>
        <w:spacing w:after="0" w:line="79" w:lineRule="exact"/>
        <w:rPr>
          <w:rFonts w:ascii="Arial" w:cs="Arial" w:eastAsia="Arial" w:hAnsi="Arial"/>
          <w:sz w:val="18"/>
          <w:szCs w:val="18"/>
          <w:color w:val="auto"/>
        </w:rPr>
      </w:pPr>
    </w:p>
    <w:p>
      <w:pPr>
        <w:ind w:left="340" w:hanging="332"/>
        <w:spacing w:after="0" w:line="327" w:lineRule="auto"/>
        <w:tabs>
          <w:tab w:leader="none" w:pos="328"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Release and Restrictive Covenants</w:t>
      </w:r>
      <w:r>
        <w:rPr>
          <w:rFonts w:ascii="Arial" w:cs="Arial" w:eastAsia="Arial" w:hAnsi="Arial"/>
          <w:sz w:val="18"/>
          <w:szCs w:val="18"/>
          <w:color w:val="auto"/>
        </w:rPr>
        <w:t>. In exchange for good and valuable consideration, you agree to execute, and not revoke,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attached as Exhibit A (the “</w:t>
      </w:r>
      <w:r>
        <w:rPr>
          <w:rFonts w:ascii="Arial" w:cs="Arial" w:eastAsia="Arial" w:hAnsi="Arial"/>
          <w:sz w:val="18"/>
          <w:szCs w:val="18"/>
          <w:b w:val="1"/>
          <w:bCs w:val="1"/>
          <w:color w:val="auto"/>
        </w:rPr>
        <w:t>Release</w:t>
      </w:r>
      <w:r>
        <w:rPr>
          <w:rFonts w:ascii="Arial" w:cs="Arial" w:eastAsia="Arial" w:hAnsi="Arial"/>
          <w:sz w:val="18"/>
          <w:szCs w:val="18"/>
          <w:color w:val="auto"/>
        </w:rPr>
        <w:t>”) as follows.</w:t>
      </w:r>
    </w:p>
    <w:p>
      <w:pPr>
        <w:spacing w:after="0" w:line="124" w:lineRule="exact"/>
        <w:rPr>
          <w:rFonts w:ascii="Arial" w:cs="Arial" w:eastAsia="Arial" w:hAnsi="Arial"/>
          <w:sz w:val="18"/>
          <w:szCs w:val="18"/>
          <w:color w:val="auto"/>
        </w:rPr>
      </w:pPr>
    </w:p>
    <w:p>
      <w:pPr>
        <w:ind w:left="980" w:hanging="648"/>
        <w:spacing w:after="0" w:line="300"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8"/>
          <w:szCs w:val="18"/>
          <w:b w:val="1"/>
          <w:bCs w:val="1"/>
          <w:color w:val="auto"/>
        </w:rPr>
        <w:t>Timing</w:t>
      </w:r>
      <w:r>
        <w:rPr>
          <w:rFonts w:ascii="Arial" w:cs="Arial" w:eastAsia="Arial" w:hAnsi="Arial"/>
          <w:sz w:val="18"/>
          <w:szCs w:val="18"/>
          <w:color w:val="auto"/>
        </w:rPr>
        <w:t>. You will execute the Release (i) on the date you sign this Agreement and (ii) on or within 10 days after the last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Period. Each execution releases claims through its signature date and becomes effective in accordance with its terms, and the second execution must become effective to satisfy any release requirement in your equity award agreements.</w:t>
      </w:r>
    </w:p>
    <w:p>
      <w:pPr>
        <w:spacing w:after="0" w:line="168" w:lineRule="exact"/>
        <w:rPr>
          <w:rFonts w:ascii="Arial" w:cs="Arial" w:eastAsia="Arial" w:hAnsi="Arial"/>
          <w:sz w:val="18"/>
          <w:szCs w:val="18"/>
          <w:color w:val="auto"/>
        </w:rPr>
      </w:pPr>
    </w:p>
    <w:p>
      <w:pPr>
        <w:ind w:left="940" w:hanging="648"/>
        <w:spacing w:after="0" w:line="303" w:lineRule="auto"/>
        <w:rPr>
          <w:rFonts w:ascii="Arial" w:cs="Arial" w:eastAsia="Arial" w:hAnsi="Arial"/>
          <w:sz w:val="18"/>
          <w:szCs w:val="18"/>
          <w:color w:val="auto"/>
        </w:rPr>
      </w:pPr>
      <w:r>
        <w:rPr>
          <w:rFonts w:ascii="Arial" w:cs="Arial" w:eastAsia="Arial" w:hAnsi="Arial"/>
          <w:sz w:val="18"/>
          <w:szCs w:val="18"/>
          <w:color w:val="auto"/>
        </w:rPr>
        <w:t>6.2</w:t>
      </w:r>
      <w:r>
        <w:rPr>
          <w:rFonts w:ascii="Arial" w:cs="Arial" w:eastAsia="Arial" w:hAnsi="Arial"/>
          <w:sz w:val="18"/>
          <w:szCs w:val="18"/>
          <w:b w:val="1"/>
          <w:bCs w:val="1"/>
          <w:color w:val="auto"/>
        </w:rPr>
        <w:t>Restrictive Covenants</w:t>
      </w:r>
      <w:r>
        <w:rPr>
          <w:rFonts w:ascii="Arial" w:cs="Arial" w:eastAsia="Arial" w:hAnsi="Arial"/>
          <w:sz w:val="18"/>
          <w:szCs w:val="18"/>
          <w:color w:val="auto"/>
        </w:rPr>
        <w:t>. Annex 1 to the Release contains restrictive covenants substantially in the form set forth in Exhibit B to</w:t>
      </w:r>
      <w:r>
        <w:rPr>
          <w:rFonts w:ascii="Arial" w:cs="Arial" w:eastAsia="Arial" w:hAnsi="Arial"/>
          <w:sz w:val="18"/>
          <w:szCs w:val="18"/>
          <w:b w:val="1"/>
          <w:bCs w:val="1"/>
          <w:color w:val="auto"/>
        </w:rPr>
        <w:t xml:space="preserve"> </w:t>
      </w:r>
      <w:r>
        <w:rPr>
          <w:rFonts w:ascii="Arial" w:cs="Arial" w:eastAsia="Arial" w:hAnsi="Arial"/>
          <w:sz w:val="18"/>
          <w:szCs w:val="18"/>
          <w:color w:val="auto"/>
        </w:rPr>
        <w:t>your outstanding equity award agreements, including the United Kingdom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0" w:right="339" w:bottom="1440" w:gutter="0" w:footer="0" w:header="0"/>
        </w:sectPr>
      </w:pPr>
    </w:p>
    <w:bookmarkStart w:id="181" w:name="page182"/>
    <w:bookmarkEnd w:id="181"/>
    <w:p>
      <w:pPr>
        <w:ind w:left="940" w:right="20" w:hanging="647"/>
        <w:spacing w:after="0" w:line="318" w:lineRule="auto"/>
        <w:tabs>
          <w:tab w:leader="none" w:pos="9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b w:val="1"/>
          <w:bCs w:val="1"/>
          <w:color w:val="auto"/>
        </w:rPr>
        <w:t>Conditions to Benefits</w:t>
      </w:r>
      <w:r>
        <w:rPr>
          <w:rFonts w:ascii="Arial" w:cs="Arial" w:eastAsia="Arial" w:hAnsi="Arial"/>
          <w:sz w:val="18"/>
          <w:szCs w:val="18"/>
          <w:color w:val="auto"/>
        </w:rPr>
        <w:t>. Commencement and continuation of the Advisory Period and payment of Advisory Fees are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on timely execution and effectiveness of each execution of the Release and compliance with Annex 1 thereto.</w:t>
      </w:r>
    </w:p>
    <w:p>
      <w:pPr>
        <w:spacing w:after="0" w:line="140" w:lineRule="exact"/>
        <w:rPr>
          <w:sz w:val="20"/>
          <w:szCs w:val="20"/>
          <w:color w:val="auto"/>
        </w:rPr>
      </w:pPr>
    </w:p>
    <w:p>
      <w:pPr>
        <w:ind w:left="340" w:hanging="332"/>
        <w:spacing w:after="0" w:line="318" w:lineRule="auto"/>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and the payments and benefits provided hereunder are intended to be exempt from, or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U.S. Internal Revenue Code and the guidance thereunder, and shall be interpreted and administered accordingly.</w:t>
      </w:r>
    </w:p>
    <w:p>
      <w:pPr>
        <w:spacing w:after="0" w:line="153" w:lineRule="exact"/>
        <w:rPr>
          <w:rFonts w:ascii="Arial" w:cs="Arial" w:eastAsia="Arial" w:hAnsi="Arial"/>
          <w:sz w:val="18"/>
          <w:szCs w:val="18"/>
          <w:color w:val="auto"/>
        </w:rPr>
      </w:pPr>
    </w:p>
    <w:p>
      <w:pPr>
        <w:jc w:val="both"/>
        <w:ind w:left="340" w:hanging="332"/>
        <w:spacing w:after="0" w:line="239" w:lineRule="exact"/>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Securities, Trading and HSR Compliance</w:t>
      </w:r>
      <w:r>
        <w:rPr>
          <w:rFonts w:ascii="Arial" w:cs="Arial" w:eastAsia="Arial" w:hAnsi="Arial"/>
          <w:sz w:val="18"/>
          <w:szCs w:val="18"/>
          <w:color w:val="auto"/>
        </w:rPr>
        <w:t>. During the Advisory Period, you will comply with the MSCI Trading Policy for Transactions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MSCI Inc. Securities and obtain pre-approval from the General Counsel of all transactions in MSCI Inc. securities. You agree to cooperate with the Company regarding any required filings on Forms 4, 5 or 144. You acknowledge the application of Section 16 to your transactions while you are an officer or director, including potential short</w:t>
      </w:r>
      <w:r>
        <w:rPr>
          <w:rFonts w:ascii="MS PGothic" w:cs="MS PGothic" w:eastAsia="MS PGothic" w:hAnsi="MS PGothic"/>
          <w:sz w:val="18"/>
          <w:szCs w:val="18"/>
          <w:color w:val="auto"/>
        </w:rPr>
        <w:t>‑</w:t>
      </w:r>
      <w:r>
        <w:rPr>
          <w:rFonts w:ascii="Arial" w:cs="Arial" w:eastAsia="Arial" w:hAnsi="Arial"/>
          <w:sz w:val="18"/>
          <w:szCs w:val="18"/>
          <w:color w:val="auto"/>
        </w:rPr>
        <w:t>swing profit recovery. You acknowledge that any resale under Rule 144 must satisfy the rule’s conditions, including the 90</w:t>
      </w:r>
      <w:r>
        <w:rPr>
          <w:rFonts w:ascii="MS PGothic" w:cs="MS PGothic" w:eastAsia="MS PGothic" w:hAnsi="MS PGothic"/>
          <w:sz w:val="18"/>
          <w:szCs w:val="18"/>
          <w:color w:val="auto"/>
        </w:rPr>
        <w:t>‑</w:t>
      </w:r>
      <w:r>
        <w:rPr>
          <w:rFonts w:ascii="Arial" w:cs="Arial" w:eastAsia="Arial" w:hAnsi="Arial"/>
          <w:sz w:val="18"/>
          <w:szCs w:val="18"/>
          <w:color w:val="auto"/>
        </w:rPr>
        <w:t>day affiliate look</w:t>
      </w:r>
      <w:r>
        <w:rPr>
          <w:rFonts w:ascii="MS PGothic" w:cs="MS PGothic" w:eastAsia="MS PGothic" w:hAnsi="MS PGothic"/>
          <w:sz w:val="18"/>
          <w:szCs w:val="18"/>
          <w:color w:val="auto"/>
        </w:rPr>
        <w:t>‑</w:t>
      </w:r>
      <w:r>
        <w:rPr>
          <w:rFonts w:ascii="Arial" w:cs="Arial" w:eastAsia="Arial" w:hAnsi="Arial"/>
          <w:sz w:val="18"/>
          <w:szCs w:val="18"/>
          <w:color w:val="auto"/>
        </w:rPr>
        <w:t>back. From the date hereof through the Advisory Period, you will give the Company’s Legal Department advance written notice of any proposed acquisition of MSCI Inc. securities and, if advised that Hart</w:t>
      </w:r>
      <w:r>
        <w:rPr>
          <w:rFonts w:ascii="MS PGothic" w:cs="MS PGothic" w:eastAsia="MS PGothic" w:hAnsi="MS PGothic"/>
          <w:sz w:val="18"/>
          <w:szCs w:val="18"/>
          <w:color w:val="auto"/>
        </w:rPr>
        <w:t>‑</w:t>
      </w:r>
      <w:r>
        <w:rPr>
          <w:rFonts w:ascii="Arial" w:cs="Arial" w:eastAsia="Arial" w:hAnsi="Arial"/>
          <w:sz w:val="18"/>
          <w:szCs w:val="18"/>
          <w:color w:val="auto"/>
        </w:rPr>
        <w:t>Scott</w:t>
      </w:r>
      <w:r>
        <w:rPr>
          <w:rFonts w:ascii="MS PGothic" w:cs="MS PGothic" w:eastAsia="MS PGothic" w:hAnsi="MS PGothic"/>
          <w:sz w:val="18"/>
          <w:szCs w:val="18"/>
          <w:color w:val="auto"/>
        </w:rPr>
        <w:t>‑</w:t>
      </w:r>
      <w:r>
        <w:rPr>
          <w:rFonts w:ascii="Arial" w:cs="Arial" w:eastAsia="Arial" w:hAnsi="Arial"/>
          <w:sz w:val="18"/>
          <w:szCs w:val="18"/>
          <w:color w:val="auto"/>
        </w:rPr>
        <w:t>Rodino requirements may apply, you will coordinate timing and proceed only after the Company confirms that applicable requirements are satisfied.</w:t>
      </w:r>
    </w:p>
    <w:p>
      <w:pPr>
        <w:spacing w:after="0" w:line="221" w:lineRule="exact"/>
        <w:rPr>
          <w:rFonts w:ascii="Arial" w:cs="Arial" w:eastAsia="Arial" w:hAnsi="Arial"/>
          <w:sz w:val="18"/>
          <w:szCs w:val="18"/>
          <w:color w:val="auto"/>
        </w:rPr>
      </w:pPr>
    </w:p>
    <w:p>
      <w:pPr>
        <w:jc w:val="both"/>
        <w:ind w:left="340" w:hanging="332"/>
        <w:spacing w:after="0" w:line="282" w:lineRule="auto"/>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You agree to cooperate fully with the Company in connection with its actual or contemplated defence, prosecution,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of any claims or demands by or against third parties, or other matters arising from events, acts or failures to act that occurred during the period of your employment by the Company which relates to matters within your knowledge and experience. Such cooperation includes, without limitation, making yourself available to the Company upon reasonable notice, without subpoena, to provide truthful and accurate information in witness interviews and deposition and trial testimony. The Company will reimburse you for reasonable out-of-pocket expenses you incur in connection with any such cooperation and will make reasonable efforts to accommodate your scheduling needs. If you reasonably request reimbursement of legal fees in connection with required cooperation, the Company will consider such request in good faith.</w:t>
      </w:r>
    </w:p>
    <w:p>
      <w:pPr>
        <w:spacing w:after="0" w:line="173" w:lineRule="exact"/>
        <w:rPr>
          <w:rFonts w:ascii="Arial" w:cs="Arial" w:eastAsia="Arial" w:hAnsi="Arial"/>
          <w:sz w:val="18"/>
          <w:szCs w:val="18"/>
          <w:color w:val="auto"/>
        </w:rPr>
      </w:pPr>
    </w:p>
    <w:p>
      <w:pPr>
        <w:jc w:val="both"/>
        <w:ind w:left="340" w:hanging="332"/>
        <w:spacing w:after="0" w:line="286" w:lineRule="auto"/>
        <w:tabs>
          <w:tab w:leader="none" w:pos="333"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Agreement, together with the Release (including Annex 1 thereto) and the UK Release Agreement, is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respect to its subject matter and supersedes any prior understandings. No assignment by you is permitted. This Agreement is governed by the laws of the State of New York. Any dispute arising out of or related to this Agreement will be brought in the state or federal courts located in New York County, New York, and each party submits to such courts’ exclusive jurisdiction. Notices under this Agreement must be in writing and delivered by hand, overnight courier or email to the addresses on file. This Agreement may be executed in counterparts and by electronic signature.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0"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Please signify your agreement to these terms by signing below where indicated.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J. Gutowski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J. Gutowski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and on behalf of MSCI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C.D. Baer Pettit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 Baer Pettit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1417"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 Release and Restrictive Covenants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This Release and Restrictive Covenants (this “</w:t>
      </w:r>
      <w:r>
        <w:rPr>
          <w:rFonts w:ascii="Arial" w:cs="Arial" w:eastAsia="Arial" w:hAnsi="Arial"/>
          <w:sz w:val="18"/>
          <w:szCs w:val="18"/>
          <w:b w:val="1"/>
          <w:bCs w:val="1"/>
          <w:color w:val="auto"/>
        </w:rPr>
        <w:t>Release</w:t>
      </w:r>
      <w:r>
        <w:rPr>
          <w:rFonts w:ascii="Arial" w:cs="Arial" w:eastAsia="Arial" w:hAnsi="Arial"/>
          <w:sz w:val="18"/>
          <w:szCs w:val="18"/>
          <w:color w:val="auto"/>
        </w:rPr>
        <w:t>”) is entered into by and between MSCI Inc., for itself and its subsidiaries and affiliates (together, the “</w:t>
      </w:r>
      <w:r>
        <w:rPr>
          <w:rFonts w:ascii="Arial" w:cs="Arial" w:eastAsia="Arial" w:hAnsi="Arial"/>
          <w:sz w:val="18"/>
          <w:szCs w:val="18"/>
          <w:b w:val="1"/>
          <w:bCs w:val="1"/>
          <w:color w:val="auto"/>
        </w:rPr>
        <w:t>Company</w:t>
      </w:r>
      <w:r>
        <w:rPr>
          <w:rFonts w:ascii="Arial" w:cs="Arial" w:eastAsia="Arial" w:hAnsi="Arial"/>
          <w:sz w:val="18"/>
          <w:szCs w:val="18"/>
          <w:color w:val="auto"/>
        </w:rPr>
        <w:t>”), and C.D. Baer Pettit (“</w:t>
      </w:r>
      <w:r>
        <w:rPr>
          <w:rFonts w:ascii="Arial" w:cs="Arial" w:eastAsia="Arial" w:hAnsi="Arial"/>
          <w:sz w:val="18"/>
          <w:szCs w:val="18"/>
          <w:b w:val="1"/>
          <w:bCs w:val="1"/>
          <w:color w:val="auto"/>
        </w:rPr>
        <w:t>you</w:t>
      </w:r>
      <w:r>
        <w:rPr>
          <w:rFonts w:ascii="Arial" w:cs="Arial" w:eastAsia="Arial" w:hAnsi="Arial"/>
          <w:sz w:val="18"/>
          <w:szCs w:val="18"/>
          <w:color w:val="auto"/>
        </w:rPr>
        <w:t>”) in connection with your transition and advisory letter agreement dated January 28, 2026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but not defined have the meanings set forth in the Agreement.</w:t>
      </w:r>
    </w:p>
    <w:p>
      <w:pPr>
        <w:spacing w:after="0" w:line="185" w:lineRule="exact"/>
        <w:rPr>
          <w:sz w:val="20"/>
          <w:szCs w:val="20"/>
          <w:color w:val="auto"/>
        </w:rPr>
      </w:pPr>
    </w:p>
    <w:p>
      <w:pPr>
        <w:jc w:val="both"/>
        <w:ind w:left="660" w:hanging="328"/>
        <w:spacing w:after="0" w:line="255" w:lineRule="auto"/>
        <w:tabs>
          <w:tab w:leader="none" w:pos="6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exchange for the Advisory Fees, the advisory engagement and other consideration provided under the Agreement that you are not otherwise entitled to receive, you agree to execute, and not revoke, this Release (i) on the date you sign the Agreement and (ii) on or within 10 days after the last day of the Advisory Period (each, an “</w:t>
      </w:r>
      <w:r>
        <w:rPr>
          <w:rFonts w:ascii="Arial" w:cs="Arial" w:eastAsia="Arial" w:hAnsi="Arial"/>
          <w:sz w:val="18"/>
          <w:szCs w:val="18"/>
          <w:b w:val="1"/>
          <w:bCs w:val="1"/>
          <w:color w:val="auto"/>
        </w:rPr>
        <w:t>Execution</w:t>
      </w:r>
      <w:r>
        <w:rPr>
          <w:rFonts w:ascii="Arial" w:cs="Arial" w:eastAsia="Arial" w:hAnsi="Arial"/>
          <w:sz w:val="18"/>
          <w:szCs w:val="18"/>
          <w:color w:val="auto"/>
        </w:rPr>
        <w:t>”). Each Execution releases claims through its signature date and is effective upon signature. The second Execution must become effective to satisfy the release requirement under your equity award agreements. If you fail to timely complete an Execution, the Company may terminate the Advisory Period and cease any unpaid Advisory Fees, and treat you as not having satisfied the release condition under your equity awards and you will not receive any equity treatment (including 62/10 full career treatment) under your equity award agreements that is conditioned on a satisfactory release. In addition, any breach by you of the Release or the Restrictive Covenants set out in Annex 1 will constitute a material breach of the Agreement.</w:t>
      </w:r>
    </w:p>
    <w:p>
      <w:pPr>
        <w:spacing w:after="0" w:line="72" w:lineRule="exact"/>
        <w:rPr>
          <w:rFonts w:ascii="Arial" w:cs="Arial" w:eastAsia="Arial" w:hAnsi="Arial"/>
          <w:sz w:val="18"/>
          <w:szCs w:val="18"/>
          <w:color w:val="auto"/>
        </w:rPr>
      </w:pPr>
    </w:p>
    <w:p>
      <w:pPr>
        <w:ind w:left="640" w:hanging="308"/>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Release of Claims.</w:t>
      </w:r>
    </w:p>
    <w:p>
      <w:pPr>
        <w:spacing w:after="0" w:line="117" w:lineRule="exact"/>
        <w:rPr>
          <w:rFonts w:ascii="Arial" w:cs="Arial" w:eastAsia="Arial" w:hAnsi="Arial"/>
          <w:sz w:val="18"/>
          <w:szCs w:val="18"/>
          <w:color w:val="auto"/>
        </w:rPr>
      </w:pPr>
    </w:p>
    <w:p>
      <w:pPr>
        <w:jc w:val="right"/>
        <w:ind w:left="1300" w:hanging="324"/>
        <w:spacing w:after="0" w:line="251" w:lineRule="auto"/>
        <w:rPr>
          <w:rFonts w:ascii="Arial" w:cs="Arial" w:eastAsia="Arial" w:hAnsi="Arial"/>
          <w:sz w:val="18"/>
          <w:szCs w:val="18"/>
          <w:color w:val="auto"/>
        </w:rPr>
      </w:pPr>
      <w:r>
        <w:rPr>
          <w:rFonts w:ascii="Arial" w:cs="Arial" w:eastAsia="Arial" w:hAnsi="Arial"/>
          <w:sz w:val="18"/>
          <w:szCs w:val="18"/>
          <w:color w:val="auto"/>
        </w:rPr>
        <w:t>a.  Released Claims. Except for the Excluded Claims (as defined below) and any rights granted under this Release or the Agreement, you, for yourself and for your heirs, assigns, executors and administrators, hereby release, remise and forever discharge the Company, its parents, subsidiaries, affiliates, divisions, predecessors, successors, assigns, directors, officers, partners, attorneys, shareholders, administrators, employees, agents, representatives, employment benefit plans, plan administrators, fiduciaries, trustees, insurers and re-insurers, and all of their predecessors, successors and assigns (collectively, the “</w:t>
      </w:r>
      <w:r>
        <w:rPr>
          <w:rFonts w:ascii="Arial" w:cs="Arial" w:eastAsia="Arial" w:hAnsi="Arial"/>
          <w:sz w:val="18"/>
          <w:szCs w:val="18"/>
          <w:b w:val="1"/>
          <w:bCs w:val="1"/>
          <w:color w:val="auto"/>
        </w:rPr>
        <w:t>Releasees</w:t>
      </w:r>
      <w:r>
        <w:rPr>
          <w:rFonts w:ascii="Arial" w:cs="Arial" w:eastAsia="Arial" w:hAnsi="Arial"/>
          <w:sz w:val="18"/>
          <w:szCs w:val="18"/>
          <w:color w:val="auto"/>
        </w:rPr>
        <w:t>”), of and from all claims, causes of action, covenants, contracts, agreements, promises, damages, disputes, demands and all other manner of actions whatsoever, in law or in equity, that you ever had, may have had, now have, or that your heirs, assigns, executors or administrators hereinafter can, shall or may have, whether known or unknown, asserted or unasserted, suspected or unsuspected, in any jurisdiction in the world, as a result of (i) your employment, service or other relationship with the Company (including service as an officer or director of the Company or any of its subsidiaries or affiliates), (ii) your provision of services to the Company (including the Advisory Services), (iii) the transition described in the Agreement and (iv) the termination of any such employment, service or other relationship, or any act or omission which has occurred at any time up to and including the date of the applicable Execution of this Release (the “</w:t>
      </w:r>
      <w:r>
        <w:rPr>
          <w:rFonts w:ascii="Arial" w:cs="Arial" w:eastAsia="Arial" w:hAnsi="Arial"/>
          <w:sz w:val="18"/>
          <w:szCs w:val="18"/>
          <w:b w:val="1"/>
          <w:bCs w:val="1"/>
          <w:color w:val="auto"/>
        </w:rPr>
        <w:t>Released Claims</w:t>
      </w:r>
      <w:r>
        <w:rPr>
          <w:rFonts w:ascii="Arial" w:cs="Arial" w:eastAsia="Arial" w:hAnsi="Arial"/>
          <w:sz w:val="18"/>
          <w:szCs w:val="18"/>
          <w:color w:val="auto"/>
        </w:rPr>
        <w:t>”). Without limiting your rights that cannot be waived, the Released Claims released include, but are not limited to, any and all claims: (i) for monetary damages; (ii) related to your provision of services to the Company or the termination thereof; (iii) to compensation, severance or similar benefits; (iv) to expenses, attorneys’ fees or other indemnities;</w:t>
      </w:r>
    </w:p>
    <w:p>
      <w:pPr>
        <w:spacing w:after="0" w:line="10" w:lineRule="exact"/>
        <w:rPr>
          <w:rFonts w:ascii="Arial" w:cs="Arial" w:eastAsia="Arial" w:hAnsi="Arial"/>
          <w:sz w:val="18"/>
          <w:szCs w:val="18"/>
          <w:color w:val="auto"/>
        </w:rPr>
      </w:pPr>
    </w:p>
    <w:p>
      <w:pPr>
        <w:jc w:val="both"/>
        <w:ind w:left="1300"/>
        <w:spacing w:after="0" w:line="255" w:lineRule="auto"/>
        <w:rPr>
          <w:rFonts w:ascii="Arial" w:cs="Arial" w:eastAsia="Arial" w:hAnsi="Arial"/>
          <w:sz w:val="18"/>
          <w:szCs w:val="18"/>
          <w:color w:val="auto"/>
        </w:rPr>
      </w:pPr>
      <w:r>
        <w:rPr>
          <w:rFonts w:ascii="Arial" w:cs="Arial" w:eastAsia="Arial" w:hAnsi="Arial"/>
          <w:sz w:val="18"/>
          <w:szCs w:val="18"/>
          <w:color w:val="auto"/>
        </w:rPr>
        <w:t>(v) based on actions or failure to act on or before the applicable Execution; (vi) for other personal remedies or damages sought in any legal proceeding or charge filed with any court or federal, state or local agency either by such an entity or by a person claiming to act on your behalf or in your interest; (vii) for breach of contract and breach of the implied covenant of good faith and fair dealing; (viii) under federal, state or local statutes, including claims for discrimination, harassment,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184" w:name="page185"/>
    <w:bookmarkEnd w:id="184"/>
    <w:p>
      <w:pPr>
        <w:jc w:val="both"/>
        <w:ind w:left="320"/>
        <w:spacing w:after="0" w:line="256" w:lineRule="auto"/>
        <w:rPr>
          <w:sz w:val="20"/>
          <w:szCs w:val="20"/>
          <w:color w:val="auto"/>
        </w:rPr>
      </w:pPr>
      <w:r>
        <w:rPr>
          <w:rFonts w:ascii="Arial" w:cs="Arial" w:eastAsia="Arial" w:hAnsi="Arial"/>
          <w:sz w:val="18"/>
          <w:szCs w:val="18"/>
          <w:color w:val="auto"/>
        </w:rPr>
        <w:t>retaliation or attorneys’ fees; (ix) under other laws of general application in any jurisdiction in the world, such as any federal, state or local law enforcing express or implied contracts or covenants, or any other federal, state or local laws providing relief for alleged wrongful discharge, physical or personal injury, emotional distress, fraud, fraudulent inducement, negligent misrepresentation, defamation, invasion of privacy, violation of public policy and similar or related claims; (x) under common law based on any tort, contract or other theory now or hereinafter recognized in any jurisdiction in the world; and (xi) under any other statute, regulation, common law or decision in any jurisdiction in the world that may apply to your services or relationship with the Company.</w:t>
      </w:r>
    </w:p>
    <w:p>
      <w:pPr>
        <w:spacing w:after="0" w:line="75" w:lineRule="exact"/>
        <w:rPr>
          <w:sz w:val="20"/>
          <w:szCs w:val="20"/>
          <w:color w:val="auto"/>
        </w:rPr>
      </w:pPr>
    </w:p>
    <w:p>
      <w:pPr>
        <w:jc w:val="both"/>
        <w:ind w:left="320" w:hanging="320"/>
        <w:spacing w:after="0" w:line="253" w:lineRule="auto"/>
        <w:tabs>
          <w:tab w:leader="none" w:pos="3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Participation in Agency Proceedings. You understand that nothing in this Release is intended to or shall limit, prevent, impede or interfere with your non-waivable right, without prior notice to the Company, to: (i) communicate with, provide information to, file a charge or complaint with, or initiate, comply with a subpoena from, testify at, assist with or participate in any manner in an investigation regarding the Company’s past or future conduct conducted by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Equal Employment Opportunity Commission, the National Labor Relations Board, the New York Division of Human Rights, a local commission on human rights, a federal or state attorney general or other federal, state or local governmental agencies or bodies; (ii) engage in any activities protected under whistleblower statutes or receive and fully retain a monetary award from a government-administered whistleblower award program, including but not limited to awards for whistleblowers to the SEC, for providing information directly to a government agency; (iii) file or disclose any facts necessary to receive unemployment insurance, Medicaid or other public benefits; or (iv) communicate with an attorney retained by you. Notwithstanding the above, by entering into this Release, you understand and agree that you are waiving any and all rights to recover any monetary relief or other personal relief directly from the Company or any of the Releasees as a result of any such government proceedings, including any subsequent legal action, filed by you or by anyone else on your behalf, with respect to any Released Claims.</w:t>
      </w:r>
    </w:p>
    <w:p>
      <w:pPr>
        <w:spacing w:after="0" w:line="77" w:lineRule="exact"/>
        <w:rPr>
          <w:rFonts w:ascii="Arial" w:cs="Arial" w:eastAsia="Arial" w:hAnsi="Arial"/>
          <w:sz w:val="18"/>
          <w:szCs w:val="18"/>
          <w:color w:val="auto"/>
        </w:rPr>
      </w:pPr>
    </w:p>
    <w:p>
      <w:pPr>
        <w:ind w:left="320" w:right="20" w:hanging="320"/>
        <w:spacing w:after="0" w:line="262" w:lineRule="auto"/>
        <w:tabs>
          <w:tab w:leader="none" w:pos="2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Claims Excluded from Release. Notwithstanding the foregoing, the Released Claims do not include any claims or other rights that cannot be released or waived as a matter of law including, but not limited to, any claims in respect of: (i) personal injury; (ii) your rights as a shareholder of the Company; (iii) defamation; (iv) any pension rights or pension benefits which have accrued to you; and (v) any claims by you to enforce the terms of the Agreement and/or the separate release agreement between you and MSCI Limited (the "</w:t>
      </w:r>
      <w:r>
        <w:rPr>
          <w:rFonts w:ascii="Arial" w:cs="Arial" w:eastAsia="Arial" w:hAnsi="Arial"/>
          <w:sz w:val="18"/>
          <w:szCs w:val="18"/>
          <w:b w:val="1"/>
          <w:bCs w:val="1"/>
          <w:color w:val="auto"/>
        </w:rPr>
        <w:t>UK Release Agreement</w:t>
      </w:r>
      <w:r>
        <w:rPr>
          <w:rFonts w:ascii="Arial" w:cs="Arial" w:eastAsia="Arial" w:hAnsi="Arial"/>
          <w:sz w:val="18"/>
          <w:szCs w:val="18"/>
          <w:color w:val="auto"/>
        </w:rPr>
        <w:t>") (collectively, the “</w:t>
      </w:r>
      <w:r>
        <w:rPr>
          <w:rFonts w:ascii="Arial" w:cs="Arial" w:eastAsia="Arial" w:hAnsi="Arial"/>
          <w:sz w:val="18"/>
          <w:szCs w:val="18"/>
          <w:b w:val="1"/>
          <w:bCs w:val="1"/>
          <w:color w:val="auto"/>
        </w:rPr>
        <w:t>Excluded Claims</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jc w:val="both"/>
        <w:ind w:left="320" w:hanging="320"/>
        <w:spacing w:after="0" w:line="262" w:lineRule="auto"/>
        <w:tabs>
          <w:tab w:leader="none" w:pos="3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Assignment of Claims</w:t>
      </w:r>
      <w:r>
        <w:rPr>
          <w:rFonts w:ascii="Arial" w:cs="Arial" w:eastAsia="Arial" w:hAnsi="Arial"/>
          <w:sz w:val="18"/>
          <w:szCs w:val="18"/>
          <w:b w:val="1"/>
          <w:bCs w:val="1"/>
          <w:color w:val="auto"/>
        </w:rPr>
        <w:t>.</w:t>
      </w:r>
      <w:r>
        <w:rPr>
          <w:rFonts w:ascii="Arial" w:cs="Arial" w:eastAsia="Arial" w:hAnsi="Arial"/>
          <w:sz w:val="18"/>
          <w:szCs w:val="18"/>
          <w:color w:val="auto"/>
        </w:rPr>
        <w:t xml:space="preserve"> You represent and warrant that you have not previously filed or joined in any claims that are released in this Release and that you have not given or sold any portion of any claims released herein to anyone else, and that you will indemnify and hold harmless the Releasees from all liabilities, claims, demands, costs, expenses and/or attorneys’ fees incurred as a result of any such prior assignment or transfer.</w:t>
      </w:r>
    </w:p>
    <w:p>
      <w:pPr>
        <w:spacing w:after="0" w:line="68" w:lineRule="exact"/>
        <w:rPr>
          <w:rFonts w:ascii="Arial" w:cs="Arial" w:eastAsia="Arial" w:hAnsi="Arial"/>
          <w:sz w:val="18"/>
          <w:szCs w:val="18"/>
          <w:color w:val="auto"/>
        </w:rPr>
      </w:pPr>
    </w:p>
    <w:p>
      <w:pPr>
        <w:jc w:val="both"/>
        <w:ind w:left="320" w:hanging="320"/>
        <w:spacing w:after="0" w:line="257" w:lineRule="auto"/>
        <w:tabs>
          <w:tab w:leader="none" w:pos="3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Finality of Release. EXCEPT AS OUTLINED ABOVE AND SAVE IN RESPECT OF THE EXCLUDED CLAIMS, BY SIGNING THIS RELEASE, YOU WILL WAIVE ANY RIGHT YOU MAY HAVE HAD TO PURSUE OR BRING A LAWSUIT OR MAKE ANY LEGAL CLAIM AGAINST THE COMPANY OR THE RELEASEES, INCLUDING, BUT NOT LIMITED TO, CLAIMS THAT IN ANY WAY ARISE FROM OR RELATE TO YOUR EMPLOYMENT, SERVICE OR OTHER RELATIONSHIP WITH THE COMPANY, YOUR PROVISION OF SERVICES (INCLUDING THE ADVISORY SERVICES) OR THE TERMINATION OF ANY OF THE FOREGOING, UP TO AND INCLUDING THE DATE OF THE APPLICABLE EXECUTION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60"/>
          </w:cols>
          <w:pgMar w:left="1300" w:top="1417" w:right="339" w:bottom="1440" w:gutter="0" w:footer="0" w:header="0"/>
        </w:sectPr>
      </w:pPr>
    </w:p>
    <w:bookmarkStart w:id="185" w:name="page186"/>
    <w:bookmarkEnd w:id="185"/>
    <w:p>
      <w:pPr>
        <w:ind w:left="1300"/>
        <w:spacing w:after="0" w:line="287" w:lineRule="auto"/>
        <w:rPr>
          <w:sz w:val="20"/>
          <w:szCs w:val="20"/>
          <w:color w:val="auto"/>
        </w:rPr>
      </w:pPr>
      <w:r>
        <w:rPr>
          <w:rFonts w:ascii="Arial" w:cs="Arial" w:eastAsia="Arial" w:hAnsi="Arial"/>
          <w:sz w:val="18"/>
          <w:szCs w:val="18"/>
          <w:color w:val="auto"/>
        </w:rPr>
        <w:t>RELEASE. YOU AGREE NOT TO PURSUE OR BRING ANY SUCH LAWSUIT OR LEGAL CLAIM SEEKING MONETARY OR OTHER RELIEF.</w:t>
      </w:r>
    </w:p>
    <w:p>
      <w:pPr>
        <w:spacing w:after="0" w:line="45" w:lineRule="exact"/>
        <w:rPr>
          <w:sz w:val="20"/>
          <w:szCs w:val="20"/>
          <w:color w:val="auto"/>
        </w:rPr>
      </w:pPr>
    </w:p>
    <w:p>
      <w:pPr>
        <w:ind w:left="1300" w:hanging="320"/>
        <w:spacing w:after="0" w:line="287" w:lineRule="auto"/>
        <w:tabs>
          <w:tab w:leader="none" w:pos="127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Admission of Liability. You understand and agree that this Release shall not be deemed or construed at any time or for any purpose as an admission of any liability or wrongdoing by either you or the Company.</w:t>
      </w:r>
    </w:p>
    <w:p>
      <w:pPr>
        <w:spacing w:after="0" w:line="44" w:lineRule="exact"/>
        <w:rPr>
          <w:rFonts w:ascii="Arial" w:cs="Arial" w:eastAsia="Arial" w:hAnsi="Arial"/>
          <w:sz w:val="18"/>
          <w:szCs w:val="18"/>
          <w:color w:val="auto"/>
        </w:rPr>
      </w:pPr>
    </w:p>
    <w:p>
      <w:pPr>
        <w:ind w:left="1300" w:right="520" w:hanging="320"/>
        <w:spacing w:after="0" w:line="262" w:lineRule="auto"/>
        <w:tabs>
          <w:tab w:leader="none" w:pos="128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Agreement Not to Sue. Except as specifically stated in this Release and save in respect of the Excluded Claims and/or except as required by law that cannot be waived, you agree not to pursue any action or seek damages or any other remedies for any Released Claims. You agree to execute any and all documents necessary to request dismissal or withdrawal, or to opt-out, of such claims with prejudice.</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3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Restrictive Covenants. As additional consideration for this Release, the Agreement and any equity treatment, you reaffirm and agree to be bound by the restrictive covenants set out in Annex 1 (the “</w:t>
      </w:r>
      <w:r>
        <w:rPr>
          <w:rFonts w:ascii="Arial" w:cs="Arial" w:eastAsia="Arial" w:hAnsi="Arial"/>
          <w:sz w:val="18"/>
          <w:szCs w:val="18"/>
          <w:b w:val="1"/>
          <w:bCs w:val="1"/>
          <w:color w:val="auto"/>
        </w:rPr>
        <w:t>Restrictive Covenants</w:t>
      </w:r>
      <w:r>
        <w:rPr>
          <w:rFonts w:ascii="Arial" w:cs="Arial" w:eastAsia="Arial" w:hAnsi="Arial"/>
          <w:sz w:val="18"/>
          <w:szCs w:val="18"/>
          <w:color w:val="auto"/>
        </w:rPr>
        <w:t>”), which are substantially in the form set forth in Exhibit B to your equity award agreements. The Restrictive Covenants are incorporated into this Release and form part of this Release for all purposes.</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3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Severability. If any term, provision, covenant or condition of this Release is held to be invalid, void or unenforceable, the remainder of the provisions of this Release shall remain in full force and effect and shall in no way be affected, impaired or invalidated thereby.</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Remedies. You acknowledge that the Company’s damages at law would be an inadequate remedy for your breach of any provision of this Release, and agree that, in the event of such breach, the Company may obtain temporary and permanent injunctive relief restraining you from such breach. Nothing contained in this Release shall be construed as prohibiting the Company from pursuing any other remedies available at law or equity for such breach or threatened breach. Notwithstanding any such relief, all of the other terms of this Release, including, without limitation, your release of claims, shall remain in full force and effect.</w:t>
      </w:r>
    </w:p>
    <w:p>
      <w:pPr>
        <w:spacing w:after="0" w:line="71"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Acknowledgment of Full Understanding. YOU ACKNOWLEDGE AND AGREE THAT YOU HAVE FULLY READ, UNDERSTAND AND VOLUNTARILY ENTER INTO THIS RELEASE. YOU FURTHER ACKNOWLEDGE THAT YOUR SIGNATURE BELOW IS AN AGREEMENT TO RELEASE THE COMPANY AND THE RELEASEES FROM ANY AND ALL RELEASED CLAIMS (AS DEFINED HEREIN).</w:t>
      </w:r>
    </w:p>
    <w:p>
      <w:pPr>
        <w:spacing w:after="0" w:line="81" w:lineRule="exact"/>
        <w:rPr>
          <w:rFonts w:ascii="Arial" w:cs="Arial" w:eastAsia="Arial" w:hAnsi="Arial"/>
          <w:sz w:val="18"/>
          <w:szCs w:val="18"/>
          <w:color w:val="auto"/>
        </w:rPr>
      </w:pPr>
    </w:p>
    <w:p>
      <w:pPr>
        <w:jc w:val="both"/>
        <w:ind w:left="660" w:hanging="328"/>
        <w:spacing w:after="0" w:line="286"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Miscellaneous. This Release is part of and incorporated into the Agreement and, together with the Agreement and the UK Release Agreement, constitutes the entire agreement with respect to the subject matter of this Release and supersedes any prior understandings. No assignment by you is permitted. This Release is governed by the laws of the State of New York. Any dispute arising out of or related to this Release will be brought in the state or federal courts located in New York County, New York, and each party submits to such courts’ exclusive jurisdiction. Notices under this Release will be provided in accordance with the notice provisions of the Agreement. This Release may be executed by electronic signature.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Agreed: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 Baer Pettit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186" w:name="page187"/>
    <w:bookmarkEnd w:id="186"/>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1 – Restrictive Covenants</w:t>
      </w:r>
    </w:p>
    <w:p>
      <w:pPr>
        <w:spacing w:after="0" w:line="1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Capitalized terms used and not otherwise defined herein shall have the meanings ascribed to them in the relevant equity award agreement.</w:t>
      </w:r>
    </w:p>
    <w:p>
      <w:pPr>
        <w:spacing w:after="0" w:line="117" w:lineRule="exact"/>
        <w:rPr>
          <w:sz w:val="20"/>
          <w:szCs w:val="20"/>
          <w:color w:val="auto"/>
        </w:rPr>
      </w:pPr>
    </w:p>
    <w:p>
      <w:pPr>
        <w:ind w:left="680" w:hanging="348"/>
        <w:spacing w:after="0"/>
        <w:tabs>
          <w:tab w:leader="none" w:pos="68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Confidential Information; Assignment of Inventions</w:t>
      </w:r>
      <w:r>
        <w:rPr>
          <w:rFonts w:ascii="Arial" w:cs="Arial" w:eastAsia="Arial" w:hAnsi="Arial"/>
          <w:sz w:val="18"/>
          <w:szCs w:val="18"/>
          <w:color w:val="auto"/>
        </w:rPr>
        <w:t>.</w:t>
      </w:r>
    </w:p>
    <w:p>
      <w:pPr>
        <w:spacing w:after="0" w:line="117" w:lineRule="exact"/>
        <w:rPr>
          <w:sz w:val="20"/>
          <w:szCs w:val="20"/>
          <w:color w:val="auto"/>
        </w:rPr>
      </w:pPr>
    </w:p>
    <w:p>
      <w:pPr>
        <w:jc w:val="both"/>
        <w:ind w:left="660" w:hanging="328"/>
        <w:spacing w:after="0" w:line="262" w:lineRule="auto"/>
        <w:tabs>
          <w:tab w:leader="none" w:pos="6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68" w:lineRule="exact"/>
        <w:rPr>
          <w:rFonts w:ascii="Arial" w:cs="Arial" w:eastAsia="Arial" w:hAnsi="Arial"/>
          <w:sz w:val="18"/>
          <w:szCs w:val="18"/>
          <w:color w:val="auto"/>
        </w:rPr>
      </w:pPr>
    </w:p>
    <w:p>
      <w:pPr>
        <w:jc w:val="both"/>
        <w:ind w:left="660" w:hanging="328"/>
        <w:spacing w:after="0" w:line="259" w:lineRule="auto"/>
        <w:tabs>
          <w:tab w:leader="none" w:pos="63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of a termination of your employment or service with the Company for any reason, you shall deliver to the Company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Annex 1 shall prohibit you from disclosing Confidential Information if such disclosure is required by law, governmental process or valid legal process.</w:t>
      </w:r>
    </w:p>
    <w:p>
      <w:pPr>
        <w:spacing w:after="0" w:line="71" w:lineRule="exact"/>
        <w:rPr>
          <w:rFonts w:ascii="Arial" w:cs="Arial" w:eastAsia="Arial" w:hAnsi="Arial"/>
          <w:sz w:val="18"/>
          <w:szCs w:val="18"/>
          <w:color w:val="auto"/>
        </w:rPr>
      </w:pPr>
    </w:p>
    <w:p>
      <w:pPr>
        <w:jc w:val="both"/>
        <w:ind w:left="660" w:hanging="328"/>
        <w:spacing w:after="0" w:line="255" w:lineRule="auto"/>
        <w:tabs>
          <w:tab w:leader="none" w:pos="63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the Company with prompt written notice so that the Company, at its sole cost and expense, may seek a protective order or other appropriate remedy or waive compliance with the provisions of this Section 1 of this Annex 1.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first sentence of this Section 1(c), you hereby agree to comply with the requirements of any and all agreements that you have entered into, or may in the future enter into, with the Company with respect to the use or disclosure of any of the Confidential Information.</w:t>
      </w:r>
    </w:p>
    <w:p>
      <w:pPr>
        <w:spacing w:after="0" w:line="72" w:lineRule="exact"/>
        <w:rPr>
          <w:rFonts w:ascii="Arial" w:cs="Arial" w:eastAsia="Arial" w:hAnsi="Arial"/>
          <w:sz w:val="18"/>
          <w:szCs w:val="18"/>
          <w:color w:val="auto"/>
        </w:rPr>
      </w:pPr>
    </w:p>
    <w:p>
      <w:pPr>
        <w:jc w:val="both"/>
        <w:ind w:left="660" w:hanging="328"/>
        <w:spacing w:after="0" w:line="257" w:lineRule="auto"/>
        <w:tabs>
          <w:tab w:leader="none" w:pos="63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74" w:lineRule="exact"/>
        <w:rPr>
          <w:rFonts w:ascii="Arial" w:cs="Arial" w:eastAsia="Arial" w:hAnsi="Arial"/>
          <w:sz w:val="18"/>
          <w:szCs w:val="18"/>
          <w:color w:val="auto"/>
        </w:rPr>
      </w:pPr>
    </w:p>
    <w:p>
      <w:pPr>
        <w:jc w:val="both"/>
        <w:ind w:left="660" w:hanging="328"/>
        <w:spacing w:after="0" w:line="255" w:lineRule="auto"/>
        <w:tabs>
          <w:tab w:leader="none" w:pos="6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nothing in this Annex 1 (including with respect to confidential information, trade secrets, and other obligations) precludes or otherwise limits your ability to (i) communicate directly with and provide information, including documents, not otherwise protected from disclosure by any applicable law or privilege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or any other federal, state or local governmental agency or commission (“</w:t>
      </w:r>
      <w:r>
        <w:rPr>
          <w:rFonts w:ascii="Arial" w:cs="Arial" w:eastAsia="Arial" w:hAnsi="Arial"/>
          <w:sz w:val="18"/>
          <w:szCs w:val="18"/>
          <w:b w:val="1"/>
          <w:bCs w:val="1"/>
          <w:color w:val="auto"/>
        </w:rPr>
        <w:t>Government Agency</w:t>
      </w:r>
      <w:r>
        <w:rPr>
          <w:rFonts w:ascii="Arial" w:cs="Arial" w:eastAsia="Arial" w:hAnsi="Arial"/>
          <w:sz w:val="18"/>
          <w:szCs w:val="18"/>
          <w:color w:val="auto"/>
        </w:rPr>
        <w:t>”) or self-regulatory organization regarding possible legal violations, without disclosure to the Company, or (ii)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87" w:name="page188"/>
    <w:bookmarkEnd w:id="187"/>
    <w:p>
      <w:pPr>
        <w:jc w:val="both"/>
        <w:ind w:left="328"/>
        <w:spacing w:after="0" w:line="262" w:lineRule="auto"/>
        <w:rPr>
          <w:sz w:val="20"/>
          <w:szCs w:val="20"/>
          <w:color w:val="auto"/>
        </w:rPr>
      </w:pPr>
      <w:r>
        <w:rPr>
          <w:rFonts w:ascii="Arial" w:cs="Arial" w:eastAsia="Arial" w:hAnsi="Arial"/>
          <w:sz w:val="18"/>
          <w:szCs w:val="18"/>
          <w:color w:val="auto"/>
        </w:rPr>
        <w:t>authorization of the Company to make such reports or disclosure, and you shall not be required to notify the Company that such reports or disclosures have been made. The Company may not retaliate against you for any of these activities, and nothing in this Annex 1 or otherwise requires you to waive any monetary award or other payment that you might become entitled to from the SEC or any other Government Agency.</w:t>
      </w:r>
    </w:p>
    <w:p>
      <w:pPr>
        <w:spacing w:after="0" w:line="68" w:lineRule="exact"/>
        <w:rPr>
          <w:sz w:val="20"/>
          <w:szCs w:val="20"/>
          <w:color w:val="auto"/>
        </w:rPr>
      </w:pPr>
    </w:p>
    <w:p>
      <w:pPr>
        <w:jc w:val="both"/>
        <w:ind w:left="328" w:hanging="328"/>
        <w:spacing w:after="0" w:line="255" w:lineRule="auto"/>
        <w:tabs>
          <w:tab w:leader="none" w:pos="3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Annex 1 is intended to conflict with 18 U.S.C. §1833(b) or create liability for disclosures of trade secrets that are expressly allowed by such Section.</w:t>
      </w:r>
    </w:p>
    <w:p>
      <w:pPr>
        <w:spacing w:after="0" w:line="73" w:lineRule="exact"/>
        <w:rPr>
          <w:sz w:val="20"/>
          <w:szCs w:val="20"/>
          <w:color w:val="auto"/>
        </w:rPr>
      </w:pPr>
    </w:p>
    <w:p>
      <w:pPr>
        <w:ind w:left="308" w:hanging="308"/>
        <w:spacing w:after="0"/>
        <w:tabs>
          <w:tab w:leader="none" w:pos="308"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Non-Compete Restrictions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288" w:hanging="640"/>
        <w:spacing w:after="0" w:line="268" w:lineRule="auto"/>
        <w:tabs>
          <w:tab w:leader="none" w:pos="1265"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No Working for or Setting up a Competing Business. </w:t>
      </w:r>
      <w:r>
        <w:rPr>
          <w:rFonts w:ascii="Arial" w:cs="Arial" w:eastAsia="Arial" w:hAnsi="Arial"/>
          <w:sz w:val="18"/>
          <w:szCs w:val="18"/>
          <w:color w:val="auto"/>
        </w:rPr>
        <w:t>You agree that during the twelve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you will not, directly or indirectly, for your own benefit or that of others, in competition with the Company:</w:t>
      </w:r>
    </w:p>
    <w:p>
      <w:pPr>
        <w:spacing w:after="0" w:line="62" w:lineRule="exact"/>
        <w:rPr>
          <w:rFonts w:ascii="Arial" w:cs="Arial" w:eastAsia="Arial" w:hAnsi="Arial"/>
          <w:sz w:val="18"/>
          <w:szCs w:val="18"/>
          <w:color w:val="auto"/>
        </w:rPr>
      </w:pPr>
    </w:p>
    <w:p>
      <w:pPr>
        <w:ind w:left="1628" w:hanging="170"/>
        <w:spacing w:after="0" w:line="287" w:lineRule="auto"/>
        <w:tabs>
          <w:tab w:leader="none" w:pos="162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 be employed by; (b) be engaged by; or (c) otherwise provide services to, a Competing Business which is being carried out or to be carried out in any Restricted Territory; or</w:t>
      </w:r>
    </w:p>
    <w:p>
      <w:pPr>
        <w:spacing w:after="0" w:line="44" w:lineRule="exact"/>
        <w:rPr>
          <w:rFonts w:ascii="Arial" w:cs="Arial" w:eastAsia="Arial" w:hAnsi="Arial"/>
          <w:sz w:val="18"/>
          <w:szCs w:val="18"/>
          <w:color w:val="auto"/>
        </w:rPr>
      </w:pPr>
    </w:p>
    <w:p>
      <w:pPr>
        <w:ind w:left="1628" w:hanging="170"/>
        <w:spacing w:after="0" w:line="287" w:lineRule="auto"/>
        <w:tabs>
          <w:tab w:leader="none" w:pos="162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 set up; or (b) carry on, a Competing Business which is being carried out or to be carried out in any Restricted Territory.</w:t>
      </w:r>
    </w:p>
    <w:p>
      <w:pPr>
        <w:spacing w:after="0" w:line="44" w:lineRule="exact"/>
        <w:rPr>
          <w:rFonts w:ascii="Arial" w:cs="Arial" w:eastAsia="Arial" w:hAnsi="Arial"/>
          <w:sz w:val="18"/>
          <w:szCs w:val="18"/>
          <w:color w:val="auto"/>
        </w:rPr>
      </w:pPr>
    </w:p>
    <w:p>
      <w:pPr>
        <w:ind w:left="1288" w:hanging="640"/>
        <w:spacing w:after="0" w:line="287" w:lineRule="auto"/>
        <w:tabs>
          <w:tab w:leader="none" w:pos="1265"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No Shareholding in a Competing Business. </w:t>
      </w:r>
      <w:r>
        <w:rPr>
          <w:rFonts w:ascii="Arial" w:cs="Arial" w:eastAsia="Arial" w:hAnsi="Arial"/>
          <w:sz w:val="18"/>
          <w:szCs w:val="18"/>
          <w:color w:val="auto"/>
        </w:rPr>
        <w:t>You agree that during the twelve months following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directly or indirectly:</w:t>
      </w:r>
    </w:p>
    <w:p>
      <w:pPr>
        <w:spacing w:after="0" w:line="44" w:lineRule="exact"/>
        <w:rPr>
          <w:rFonts w:ascii="Arial" w:cs="Arial" w:eastAsia="Arial" w:hAnsi="Arial"/>
          <w:sz w:val="18"/>
          <w:szCs w:val="18"/>
          <w:color w:val="auto"/>
        </w:rPr>
      </w:pPr>
    </w:p>
    <w:p>
      <w:pPr>
        <w:ind w:left="1608" w:hanging="150"/>
        <w:spacing w:after="0"/>
        <w:tabs>
          <w:tab w:leader="none" w:pos="1608" w:val="left"/>
        </w:tabs>
        <w:numPr>
          <w:ilvl w:val="2"/>
          <w:numId w:val="165"/>
        </w:numPr>
        <w:rPr>
          <w:rFonts w:ascii="Arial" w:cs="Arial" w:eastAsia="Arial" w:hAnsi="Arial"/>
          <w:sz w:val="18"/>
          <w:szCs w:val="18"/>
          <w:color w:val="auto"/>
        </w:rPr>
      </w:pPr>
      <w:r>
        <w:rPr>
          <w:rFonts w:ascii="Arial" w:cs="Arial" w:eastAsia="Arial" w:hAnsi="Arial"/>
          <w:sz w:val="18"/>
          <w:szCs w:val="18"/>
          <w:color w:val="auto"/>
        </w:rPr>
        <w:t>hold more than 1% of the shares in a Competing Business which is quoted on any recognised stock exchange; or</w:t>
      </w:r>
    </w:p>
    <w:p>
      <w:pPr>
        <w:spacing w:after="0" w:line="117" w:lineRule="exact"/>
        <w:rPr>
          <w:rFonts w:ascii="Arial" w:cs="Arial" w:eastAsia="Arial" w:hAnsi="Arial"/>
          <w:sz w:val="18"/>
          <w:szCs w:val="18"/>
          <w:color w:val="auto"/>
        </w:rPr>
      </w:pPr>
    </w:p>
    <w:p>
      <w:pPr>
        <w:ind w:left="1608" w:hanging="150"/>
        <w:spacing w:after="0"/>
        <w:tabs>
          <w:tab w:leader="none" w:pos="1608" w:val="left"/>
        </w:tabs>
        <w:numPr>
          <w:ilvl w:val="2"/>
          <w:numId w:val="165"/>
        </w:numPr>
        <w:rPr>
          <w:rFonts w:ascii="Arial" w:cs="Arial" w:eastAsia="Arial" w:hAnsi="Arial"/>
          <w:sz w:val="18"/>
          <w:szCs w:val="18"/>
          <w:color w:val="auto"/>
        </w:rPr>
      </w:pPr>
      <w:r>
        <w:rPr>
          <w:rFonts w:ascii="Arial" w:cs="Arial" w:eastAsia="Arial" w:hAnsi="Arial"/>
          <w:sz w:val="18"/>
          <w:szCs w:val="18"/>
          <w:color w:val="auto"/>
        </w:rPr>
        <w:t>hold any of the shares in a Competing Business which is not quoted on a recognised stock exchange.</w:t>
      </w:r>
    </w:p>
    <w:p>
      <w:pPr>
        <w:spacing w:after="0" w:line="117" w:lineRule="exact"/>
        <w:rPr>
          <w:rFonts w:ascii="Arial" w:cs="Arial" w:eastAsia="Arial" w:hAnsi="Arial"/>
          <w:sz w:val="18"/>
          <w:szCs w:val="18"/>
          <w:color w:val="auto"/>
        </w:rPr>
      </w:pPr>
    </w:p>
    <w:p>
      <w:pPr>
        <w:ind w:left="1288" w:right="20" w:hanging="640"/>
        <w:spacing w:after="0" w:line="287" w:lineRule="auto"/>
        <w:tabs>
          <w:tab w:leader="none" w:pos="1255"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No Dealing with Customers and Prospective Customers. </w:t>
      </w:r>
      <w:r>
        <w:rPr>
          <w:rFonts w:ascii="Arial" w:cs="Arial" w:eastAsia="Arial" w:hAnsi="Arial"/>
          <w:sz w:val="18"/>
          <w:szCs w:val="18"/>
          <w:color w:val="auto"/>
        </w:rPr>
        <w:t>You agree that during the twelve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you will not, in any Capacity, in competition with the Company:</w:t>
      </w:r>
    </w:p>
    <w:p>
      <w:pPr>
        <w:spacing w:after="0" w:line="44" w:lineRule="exact"/>
        <w:rPr>
          <w:rFonts w:ascii="Arial" w:cs="Arial" w:eastAsia="Arial" w:hAnsi="Arial"/>
          <w:sz w:val="18"/>
          <w:szCs w:val="18"/>
          <w:color w:val="auto"/>
        </w:rPr>
      </w:pPr>
    </w:p>
    <w:p>
      <w:pPr>
        <w:ind w:left="1608" w:hanging="150"/>
        <w:spacing w:after="0"/>
        <w:tabs>
          <w:tab w:leader="none" w:pos="1608"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 develop; or (b) provide, products or services for any Customer or Prospective Customer; or</w:t>
      </w:r>
    </w:p>
    <w:p>
      <w:pPr>
        <w:spacing w:after="0" w:line="117" w:lineRule="exact"/>
        <w:rPr>
          <w:rFonts w:ascii="Arial" w:cs="Arial" w:eastAsia="Arial" w:hAnsi="Arial"/>
          <w:sz w:val="18"/>
          <w:szCs w:val="18"/>
          <w:color w:val="auto"/>
        </w:rPr>
      </w:pPr>
    </w:p>
    <w:p>
      <w:pPr>
        <w:ind w:left="1628" w:hanging="170"/>
        <w:spacing w:after="0" w:line="287" w:lineRule="auto"/>
        <w:tabs>
          <w:tab w:leader="none" w:pos="162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otherwise (i) deal with; (ii) accept; or (iii) facilitate the acceptance of the custom of, any Customer or Prospective Customer.</w:t>
      </w:r>
    </w:p>
    <w:p>
      <w:pPr>
        <w:spacing w:after="0" w:line="44" w:lineRule="exact"/>
        <w:rPr>
          <w:rFonts w:ascii="Arial" w:cs="Arial" w:eastAsia="Arial" w:hAnsi="Arial"/>
          <w:sz w:val="18"/>
          <w:szCs w:val="18"/>
          <w:color w:val="auto"/>
        </w:rPr>
      </w:pPr>
    </w:p>
    <w:p>
      <w:pPr>
        <w:ind w:left="308" w:hanging="308"/>
        <w:spacing w:after="0"/>
        <w:tabs>
          <w:tab w:leader="none" w:pos="308"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Non-Solicit and No-Hire Restrictions.</w:t>
      </w:r>
    </w:p>
    <w:p>
      <w:pPr>
        <w:spacing w:after="0" w:line="117" w:lineRule="exact"/>
        <w:rPr>
          <w:rFonts w:ascii="Arial" w:cs="Arial" w:eastAsia="Arial" w:hAnsi="Arial"/>
          <w:sz w:val="18"/>
          <w:szCs w:val="18"/>
          <w:color w:val="auto"/>
        </w:rPr>
      </w:pPr>
    </w:p>
    <w:p>
      <w:pPr>
        <w:ind w:left="1288" w:hanging="640"/>
        <w:spacing w:after="0" w:line="287" w:lineRule="auto"/>
        <w:tabs>
          <w:tab w:leader="none" w:pos="1265"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of Customers and Prospective Customers. </w:t>
      </w:r>
      <w:r>
        <w:rPr>
          <w:rFonts w:ascii="Arial" w:cs="Arial" w:eastAsia="Arial" w:hAnsi="Arial"/>
          <w:sz w:val="18"/>
          <w:szCs w:val="18"/>
          <w:color w:val="auto"/>
        </w:rPr>
        <w:t>You agree that during the twelve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you will not, in any Capacity, in competition with the Company:</w:t>
      </w:r>
    </w:p>
    <w:p>
      <w:pPr>
        <w:spacing w:after="0" w:line="44" w:lineRule="exact"/>
        <w:rPr>
          <w:rFonts w:ascii="Arial" w:cs="Arial" w:eastAsia="Arial" w:hAnsi="Arial"/>
          <w:sz w:val="18"/>
          <w:szCs w:val="18"/>
          <w:color w:val="auto"/>
        </w:rPr>
      </w:pPr>
    </w:p>
    <w:p>
      <w:pPr>
        <w:ind w:left="968" w:right="40" w:firstLine="976"/>
        <w:spacing w:after="0" w:line="287" w:lineRule="auto"/>
        <w:tabs>
          <w:tab w:leader="none" w:pos="2248" w:val="left"/>
        </w:tabs>
        <w:numPr>
          <w:ilvl w:val="3"/>
          <w:numId w:val="165"/>
        </w:numPr>
        <w:rPr>
          <w:rFonts w:ascii="Arial" w:cs="Arial" w:eastAsia="Arial" w:hAnsi="Arial"/>
          <w:sz w:val="18"/>
          <w:szCs w:val="18"/>
          <w:color w:val="auto"/>
        </w:rPr>
      </w:pPr>
      <w:r>
        <w:rPr>
          <w:rFonts w:ascii="Arial" w:cs="Arial" w:eastAsia="Arial" w:hAnsi="Arial"/>
          <w:sz w:val="18"/>
          <w:szCs w:val="18"/>
          <w:color w:val="auto"/>
        </w:rPr>
        <w:t>(a) solicit; or (b) assist in soliciting, the custom or business of any Customer or Prospective Customer (which shall include, without limitation, excluding the Company from a new business opportunity);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8"/>
          </w:cols>
          <w:pgMar w:left="652" w:top="1417" w:right="339" w:bottom="1440" w:gutter="0" w:footer="0" w:header="0"/>
        </w:sectPr>
      </w:pPr>
    </w:p>
    <w:bookmarkStart w:id="188" w:name="page189"/>
    <w:bookmarkEnd w:id="188"/>
    <w:p>
      <w:pPr>
        <w:jc w:val="both"/>
        <w:ind w:left="968" w:right="160" w:firstLine="976"/>
        <w:spacing w:after="0" w:line="268" w:lineRule="auto"/>
        <w:tabs>
          <w:tab w:leader="none" w:pos="224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seek to reduce the amount of business which a Customer or Prospective Customer conducts or intends to conduct with the Company; or (b) adversely affect the terms on which a Customer or Prospective Customer conducts its business with the Company.</w:t>
      </w:r>
    </w:p>
    <w:p>
      <w:pPr>
        <w:spacing w:after="0" w:line="62" w:lineRule="exact"/>
        <w:rPr>
          <w:rFonts w:ascii="Arial" w:cs="Arial" w:eastAsia="Arial" w:hAnsi="Arial"/>
          <w:sz w:val="18"/>
          <w:szCs w:val="18"/>
          <w:color w:val="auto"/>
        </w:rPr>
      </w:pPr>
    </w:p>
    <w:p>
      <w:pPr>
        <w:ind w:left="968" w:hanging="320"/>
        <w:spacing w:after="0" w:line="287" w:lineRule="auto"/>
        <w:tabs>
          <w:tab w:leader="none" w:pos="914"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 xml:space="preserve">No Solicitation of Key People. </w:t>
      </w:r>
      <w:r>
        <w:rPr>
          <w:rFonts w:ascii="Arial" w:cs="Arial" w:eastAsia="Arial" w:hAnsi="Arial"/>
          <w:sz w:val="18"/>
          <w:szCs w:val="18"/>
          <w:color w:val="auto"/>
        </w:rPr>
        <w:t>You agree that during the twelve months following the Termination Date you will not,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w:t>
      </w:r>
    </w:p>
    <w:p>
      <w:pPr>
        <w:spacing w:after="0" w:line="44" w:lineRule="exact"/>
        <w:rPr>
          <w:rFonts w:ascii="Arial" w:cs="Arial" w:eastAsia="Arial" w:hAnsi="Arial"/>
          <w:sz w:val="18"/>
          <w:szCs w:val="18"/>
          <w:color w:val="auto"/>
        </w:rPr>
      </w:pPr>
    </w:p>
    <w:p>
      <w:pPr>
        <w:ind w:left="968" w:right="460" w:firstLine="976"/>
        <w:spacing w:after="0" w:line="287" w:lineRule="auto"/>
        <w:tabs>
          <w:tab w:leader="none" w:pos="224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solicit; (b) attempt to solicit; (c) assist in soliciting; (d) entice away; or (e) try to entice away, from the Company any Key Person; or</w:t>
      </w:r>
    </w:p>
    <w:p>
      <w:pPr>
        <w:spacing w:after="0" w:line="45" w:lineRule="exact"/>
        <w:rPr>
          <w:sz w:val="20"/>
          <w:szCs w:val="20"/>
          <w:color w:val="auto"/>
        </w:rPr>
      </w:pPr>
    </w:p>
    <w:p>
      <w:pPr>
        <w:ind w:left="2248" w:hanging="304"/>
        <w:spacing w:after="0"/>
        <w:tabs>
          <w:tab w:leader="none" w:pos="2248" w:val="left"/>
        </w:tabs>
        <w:numPr>
          <w:ilvl w:val="2"/>
          <w:numId w:val="168"/>
        </w:numPr>
        <w:rPr>
          <w:rFonts w:ascii="Arial" w:cs="Arial" w:eastAsia="Arial" w:hAnsi="Arial"/>
          <w:sz w:val="18"/>
          <w:szCs w:val="18"/>
          <w:color w:val="auto"/>
        </w:rPr>
      </w:pPr>
      <w:r>
        <w:rPr>
          <w:rFonts w:ascii="Arial" w:cs="Arial" w:eastAsia="Arial" w:hAnsi="Arial"/>
          <w:sz w:val="18"/>
          <w:szCs w:val="18"/>
          <w:color w:val="auto"/>
        </w:rPr>
        <w:t>be personally involved to a material extent in (a) accepting into employment; (b) recruiting; (c) engaging; or</w:t>
      </w:r>
    </w:p>
    <w:p>
      <w:pPr>
        <w:spacing w:after="0" w:line="27" w:lineRule="exact"/>
        <w:rPr>
          <w:rFonts w:ascii="Arial" w:cs="Arial" w:eastAsia="Arial" w:hAnsi="Arial"/>
          <w:sz w:val="18"/>
          <w:szCs w:val="18"/>
          <w:color w:val="auto"/>
        </w:rPr>
      </w:pPr>
    </w:p>
    <w:p>
      <w:pPr>
        <w:ind w:left="1248" w:hanging="276"/>
        <w:spacing w:after="0"/>
        <w:tabs>
          <w:tab w:leader="none" w:pos="124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otherwise using the services of, any Key Person.</w:t>
      </w:r>
    </w:p>
    <w:p>
      <w:pPr>
        <w:spacing w:after="0" w:line="99" w:lineRule="exact"/>
        <w:rPr>
          <w:rFonts w:ascii="Arial" w:cs="Arial" w:eastAsia="Arial" w:hAnsi="Arial"/>
          <w:sz w:val="18"/>
          <w:szCs w:val="18"/>
          <w:color w:val="auto"/>
        </w:rPr>
      </w:pPr>
    </w:p>
    <w:p>
      <w:pPr>
        <w:ind w:left="968" w:right="20" w:hanging="320"/>
        <w:spacing w:after="0" w:line="287" w:lineRule="auto"/>
        <w:tabs>
          <w:tab w:leader="none" w:pos="904"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No Interference with Suppliers. </w:t>
      </w:r>
      <w:r>
        <w:rPr>
          <w:rFonts w:ascii="Arial" w:cs="Arial" w:eastAsia="Arial" w:hAnsi="Arial"/>
          <w:sz w:val="18"/>
          <w:szCs w:val="18"/>
          <w:color w:val="auto"/>
        </w:rPr>
        <w:t>You agree that during the twelve months following the Termination Date you will not,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w:t>
      </w:r>
    </w:p>
    <w:p>
      <w:pPr>
        <w:spacing w:after="0" w:line="44" w:lineRule="exact"/>
        <w:rPr>
          <w:rFonts w:ascii="Arial" w:cs="Arial" w:eastAsia="Arial" w:hAnsi="Arial"/>
          <w:sz w:val="18"/>
          <w:szCs w:val="18"/>
          <w:color w:val="auto"/>
        </w:rPr>
      </w:pPr>
    </w:p>
    <w:p>
      <w:pPr>
        <w:ind w:left="968" w:right="20" w:firstLine="976"/>
        <w:spacing w:after="0" w:line="318" w:lineRule="auto"/>
        <w:tabs>
          <w:tab w:leader="none" w:pos="2248" w:val="left"/>
        </w:tabs>
        <w:numPr>
          <w:ilvl w:val="2"/>
          <w:numId w:val="170"/>
        </w:numPr>
        <w:rPr>
          <w:rFonts w:ascii="Arial" w:cs="Arial" w:eastAsia="Arial" w:hAnsi="Arial"/>
          <w:sz w:val="17"/>
          <w:szCs w:val="17"/>
          <w:color w:val="auto"/>
        </w:rPr>
      </w:pPr>
      <w:r>
        <w:rPr>
          <w:rFonts w:ascii="Arial" w:cs="Arial" w:eastAsia="Arial" w:hAnsi="Arial"/>
          <w:sz w:val="17"/>
          <w:szCs w:val="17"/>
          <w:color w:val="auto"/>
        </w:rPr>
        <w:t>interfere with the supply of goods or services to the Company from any Supplier (including, without limitation, inducing or encouraging the Supplier adversely to vary the terms on which it conducts business with the Company); or</w:t>
      </w:r>
    </w:p>
    <w:p>
      <w:pPr>
        <w:spacing w:after="0" w:line="22" w:lineRule="exact"/>
        <w:rPr>
          <w:sz w:val="20"/>
          <w:szCs w:val="20"/>
          <w:color w:val="auto"/>
        </w:rPr>
      </w:pPr>
    </w:p>
    <w:p>
      <w:pPr>
        <w:ind w:left="1948"/>
        <w:spacing w:after="0"/>
        <w:rPr>
          <w:sz w:val="20"/>
          <w:szCs w:val="20"/>
          <w:color w:val="auto"/>
        </w:rPr>
      </w:pPr>
      <w:r>
        <w:rPr>
          <w:rFonts w:ascii="Arial" w:cs="Arial" w:eastAsia="Arial" w:hAnsi="Arial"/>
          <w:sz w:val="18"/>
          <w:szCs w:val="18"/>
          <w:color w:val="auto"/>
        </w:rPr>
        <w:t>(ii) induce or encourage any Supplier to cease or decline to supply goods or services to the Company in the</w:t>
      </w:r>
    </w:p>
    <w:p>
      <w:pPr>
        <w:spacing w:after="0" w:line="27" w:lineRule="exact"/>
        <w:rPr>
          <w:sz w:val="20"/>
          <w:szCs w:val="20"/>
          <w:color w:val="auto"/>
        </w:rPr>
      </w:pPr>
    </w:p>
    <w:p>
      <w:pPr>
        <w:ind w:left="968"/>
        <w:spacing w:after="0"/>
        <w:rPr>
          <w:sz w:val="20"/>
          <w:szCs w:val="20"/>
          <w:color w:val="auto"/>
        </w:rPr>
      </w:pPr>
      <w:r>
        <w:rPr>
          <w:rFonts w:ascii="Arial" w:cs="Arial" w:eastAsia="Arial" w:hAnsi="Arial"/>
          <w:sz w:val="18"/>
          <w:szCs w:val="18"/>
          <w:color w:val="auto"/>
        </w:rPr>
        <w:t>future.</w:t>
      </w:r>
    </w:p>
    <w:p>
      <w:pPr>
        <w:spacing w:after="0" w:line="99" w:lineRule="exact"/>
        <w:rPr>
          <w:sz w:val="20"/>
          <w:szCs w:val="20"/>
          <w:color w:val="auto"/>
        </w:rPr>
      </w:pPr>
    </w:p>
    <w:p>
      <w:pPr>
        <w:ind w:left="908" w:hanging="260"/>
        <w:spacing w:after="0"/>
        <w:tabs>
          <w:tab w:leader="none" w:pos="908"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 xml:space="preserve">No Connection after Termination. </w:t>
      </w:r>
      <w:r>
        <w:rPr>
          <w:rFonts w:ascii="Arial" w:cs="Arial" w:eastAsia="Arial" w:hAnsi="Arial"/>
          <w:sz w:val="18"/>
          <w:szCs w:val="18"/>
          <w:color w:val="auto"/>
        </w:rPr>
        <w:t>Following the Termination Date you will not:</w:t>
      </w:r>
    </w:p>
    <w:p>
      <w:pPr>
        <w:spacing w:after="0" w:line="117" w:lineRule="exact"/>
        <w:rPr>
          <w:rFonts w:ascii="Arial" w:cs="Arial" w:eastAsia="Arial" w:hAnsi="Arial"/>
          <w:sz w:val="18"/>
          <w:szCs w:val="18"/>
          <w:color w:val="auto"/>
        </w:rPr>
      </w:pPr>
    </w:p>
    <w:p>
      <w:pPr>
        <w:ind w:left="968" w:right="340" w:firstLine="976"/>
        <w:spacing w:after="0" w:line="287" w:lineRule="auto"/>
        <w:tabs>
          <w:tab w:leader="none" w:pos="2248"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represent yourself, or permit yourself to be represented, as being employed or engaged by the Company (except where agreed by the Company);</w:t>
      </w:r>
    </w:p>
    <w:p>
      <w:pPr>
        <w:spacing w:after="0" w:line="44" w:lineRule="exact"/>
        <w:rPr>
          <w:rFonts w:ascii="Arial" w:cs="Arial" w:eastAsia="Arial" w:hAnsi="Arial"/>
          <w:sz w:val="18"/>
          <w:szCs w:val="18"/>
          <w:color w:val="auto"/>
        </w:rPr>
      </w:pPr>
    </w:p>
    <w:p>
      <w:pPr>
        <w:ind w:left="968" w:right="200" w:firstLine="976"/>
        <w:spacing w:after="0" w:line="287" w:lineRule="auto"/>
        <w:tabs>
          <w:tab w:leader="none" w:pos="2248" w:val="left"/>
        </w:tabs>
        <w:numPr>
          <w:ilvl w:val="2"/>
          <w:numId w:val="171"/>
        </w:numPr>
        <w:rPr>
          <w:rFonts w:ascii="Arial" w:cs="Arial" w:eastAsia="Arial" w:hAnsi="Arial"/>
          <w:sz w:val="18"/>
          <w:szCs w:val="18"/>
          <w:color w:val="auto"/>
        </w:rPr>
      </w:pPr>
      <w:r>
        <w:rPr>
          <w:rFonts w:ascii="Arial" w:cs="Arial" w:eastAsia="Arial" w:hAnsi="Arial"/>
          <w:sz w:val="18"/>
          <w:szCs w:val="18"/>
          <w:color w:val="auto"/>
        </w:rPr>
        <w:t>represent, promote, advertise or refer to your previous connection with the Company in a way which seeks to utilise the goodwill of the Company;</w:t>
      </w:r>
    </w:p>
    <w:p>
      <w:pPr>
        <w:spacing w:after="0" w:line="44" w:lineRule="exact"/>
        <w:rPr>
          <w:rFonts w:ascii="Arial" w:cs="Arial" w:eastAsia="Arial" w:hAnsi="Arial"/>
          <w:sz w:val="18"/>
          <w:szCs w:val="18"/>
          <w:color w:val="auto"/>
        </w:rPr>
      </w:pPr>
    </w:p>
    <w:p>
      <w:pPr>
        <w:ind w:left="2228" w:hanging="284"/>
        <w:spacing w:after="0"/>
        <w:tabs>
          <w:tab w:leader="none" w:pos="2228" w:val="left"/>
        </w:tabs>
        <w:numPr>
          <w:ilvl w:val="2"/>
          <w:numId w:val="171"/>
        </w:numPr>
        <w:rPr>
          <w:rFonts w:ascii="Arial" w:cs="Arial" w:eastAsia="Arial" w:hAnsi="Arial"/>
          <w:sz w:val="18"/>
          <w:szCs w:val="18"/>
          <w:color w:val="auto"/>
        </w:rPr>
      </w:pPr>
      <w:r>
        <w:rPr>
          <w:rFonts w:ascii="Arial" w:cs="Arial" w:eastAsia="Arial" w:hAnsi="Arial"/>
          <w:sz w:val="18"/>
          <w:szCs w:val="18"/>
          <w:color w:val="auto"/>
        </w:rPr>
        <w:t>knowingly do anything that might reasonably be expected to damage the goodwill or reputation of the</w:t>
      </w:r>
    </w:p>
    <w:p>
      <w:pPr>
        <w:spacing w:after="0" w:line="27"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Company; or</w:t>
      </w:r>
    </w:p>
    <w:p>
      <w:pPr>
        <w:spacing w:after="0" w:line="99" w:lineRule="exact"/>
        <w:rPr>
          <w:rFonts w:ascii="Arial" w:cs="Arial" w:eastAsia="Arial" w:hAnsi="Arial"/>
          <w:sz w:val="18"/>
          <w:szCs w:val="18"/>
          <w:color w:val="auto"/>
        </w:rPr>
      </w:pPr>
    </w:p>
    <w:p>
      <w:pPr>
        <w:jc w:val="both"/>
        <w:ind w:left="968" w:right="40" w:firstLine="976"/>
        <w:spacing w:after="0" w:line="268" w:lineRule="auto"/>
        <w:tabs>
          <w:tab w:leader="none" w:pos="223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carry on, or cause or permit to be carried on, any business using any name or branding which is or has been used by the Company or which is in the reasonable opinion of the Company calculated or likely to cause confusion with such a name or branding in the minds of members of the public or imply a connection with the Company.</w:t>
      </w:r>
    </w:p>
    <w:p>
      <w:pPr>
        <w:spacing w:after="0" w:line="62" w:lineRule="exact"/>
        <w:rPr>
          <w:rFonts w:ascii="Arial" w:cs="Arial" w:eastAsia="Arial" w:hAnsi="Arial"/>
          <w:sz w:val="18"/>
          <w:szCs w:val="18"/>
          <w:color w:val="auto"/>
        </w:rPr>
      </w:pPr>
    </w:p>
    <w:p>
      <w:pPr>
        <w:jc w:val="both"/>
        <w:ind w:left="328" w:hanging="328"/>
        <w:spacing w:after="0" w:line="259" w:lineRule="auto"/>
        <w:tabs>
          <w:tab w:leader="none" w:pos="302"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Subject to your rights pursuant to Sections 1(e) and 1(f) above, at all times during your employment or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71" w:lineRule="exact"/>
        <w:rPr>
          <w:rFonts w:ascii="Arial" w:cs="Arial" w:eastAsia="Arial" w:hAnsi="Arial"/>
          <w:sz w:val="18"/>
          <w:szCs w:val="18"/>
          <w:color w:val="auto"/>
        </w:rPr>
      </w:pPr>
    </w:p>
    <w:p>
      <w:pPr>
        <w:ind w:left="308" w:hanging="308"/>
        <w:spacing w:after="0"/>
        <w:tabs>
          <w:tab w:leader="none" w:pos="308"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General Terms Applicable to the Restrictions</w:t>
      </w:r>
    </w:p>
    <w:p>
      <w:pPr>
        <w:spacing w:after="0" w:line="104" w:lineRule="exact"/>
        <w:rPr>
          <w:sz w:val="20"/>
          <w:szCs w:val="20"/>
          <w:color w:val="auto"/>
        </w:rPr>
      </w:pPr>
    </w:p>
    <w:p>
      <w:pPr>
        <w:ind w:left="328" w:right="80" w:firstLine="405"/>
        <w:spacing w:after="0"/>
        <w:rPr>
          <w:sz w:val="20"/>
          <w:szCs w:val="20"/>
          <w:color w:val="auto"/>
        </w:rPr>
      </w:pPr>
      <w:r>
        <w:rPr>
          <w:rFonts w:ascii="Arial" w:cs="Arial" w:eastAsia="Arial" w:hAnsi="Arial"/>
          <w:sz w:val="18"/>
          <w:szCs w:val="18"/>
          <w:color w:val="auto"/>
        </w:rPr>
        <w:t>(a)The duration of the restrictions set out in this Annex 1 will be reduced by any period during which you have been required by your employer both not to attend work and not to perform any duties of employment.</w:t>
      </w:r>
    </w:p>
    <w:p>
      <w:pPr>
        <w:spacing w:after="0" w:line="180" w:lineRule="exact"/>
        <w:rPr>
          <w:sz w:val="20"/>
          <w:szCs w:val="20"/>
          <w:color w:val="auto"/>
        </w:rPr>
      </w:pPr>
    </w:p>
    <w:p>
      <w:pPr>
        <w:jc w:val="both"/>
        <w:ind w:left="328" w:firstLine="401"/>
        <w:spacing w:after="0" w:line="268" w:lineRule="auto"/>
        <w:tabs>
          <w:tab w:leader="none" w:pos="10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You agree that the obligations contained in this Annex 1 are reasonable and necessary to protect the legitimate business interests of the Company. You confirm that you have had the opportunity to take independent legal advice on the terms of this 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8"/>
          </w:cols>
          <w:pgMar w:left="652" w:top="1417" w:right="339" w:bottom="1440" w:gutter="0" w:footer="0" w:header="0"/>
        </w:sectPr>
      </w:pPr>
    </w:p>
    <w:bookmarkStart w:id="189" w:name="page190"/>
    <w:bookmarkEnd w:id="189"/>
    <w:p>
      <w:pPr>
        <w:ind w:left="328" w:firstLine="401"/>
        <w:spacing w:after="0" w:line="287" w:lineRule="auto"/>
        <w:tabs>
          <w:tab w:leader="none" w:pos="101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Save for the obligations at Section 2(b), none of the obligations contained in this Annex 1 prevent you from holding any shares or other securities in any company.</w:t>
      </w:r>
    </w:p>
    <w:p>
      <w:pPr>
        <w:spacing w:after="0" w:line="44" w:lineRule="exact"/>
        <w:rPr>
          <w:rFonts w:ascii="Arial" w:cs="Arial" w:eastAsia="Arial" w:hAnsi="Arial"/>
          <w:sz w:val="18"/>
          <w:szCs w:val="18"/>
          <w:color w:val="auto"/>
        </w:rPr>
      </w:pPr>
    </w:p>
    <w:p>
      <w:pPr>
        <w:ind w:left="328" w:firstLine="401"/>
        <w:spacing w:after="0" w:line="287" w:lineRule="auto"/>
        <w:tabs>
          <w:tab w:leader="none" w:pos="104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Each restriction in this Annex 1 is intended to and will apply after the Termination Date, regardless of whether your termination is lawful. The restrictions will apply even if termination results from a breach of your employment contract.</w:t>
      </w:r>
    </w:p>
    <w:p>
      <w:pPr>
        <w:spacing w:after="0" w:line="44" w:lineRule="exact"/>
        <w:rPr>
          <w:rFonts w:ascii="Arial" w:cs="Arial" w:eastAsia="Arial" w:hAnsi="Arial"/>
          <w:sz w:val="18"/>
          <w:szCs w:val="18"/>
          <w:color w:val="auto"/>
        </w:rPr>
      </w:pPr>
    </w:p>
    <w:p>
      <w:pPr>
        <w:ind w:left="328" w:firstLine="401"/>
        <w:spacing w:after="0" w:line="287" w:lineRule="auto"/>
        <w:tabs>
          <w:tab w:leader="none" w:pos="102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None of the restrictions in this Annex 1 shall prevent you from doing anything for which the Company has given its prior written consent, and the Company encourages you to seek such consent.</w:t>
      </w:r>
    </w:p>
    <w:p>
      <w:pPr>
        <w:spacing w:after="0" w:line="44" w:lineRule="exact"/>
        <w:rPr>
          <w:rFonts w:ascii="Arial" w:cs="Arial" w:eastAsia="Arial" w:hAnsi="Arial"/>
          <w:sz w:val="18"/>
          <w:szCs w:val="18"/>
          <w:color w:val="auto"/>
        </w:rPr>
      </w:pPr>
    </w:p>
    <w:p>
      <w:pPr>
        <w:jc w:val="both"/>
        <w:ind w:left="328" w:hanging="328"/>
        <w:spacing w:after="0" w:line="252" w:lineRule="auto"/>
        <w:tabs>
          <w:tab w:leader="none" w:pos="316"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Certain Remedies</w:t>
      </w:r>
      <w:r>
        <w:rPr>
          <w:rFonts w:ascii="Arial" w:cs="Arial" w:eastAsia="Arial" w:hAnsi="Arial"/>
          <w:sz w:val="18"/>
          <w:szCs w:val="18"/>
          <w:color w:val="auto"/>
        </w:rPr>
        <w:t>. You acknowledge that the terms of this Annex 1 are reasonable and necessary in light of your unique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and knowledge of 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Annex 1 is invalid or unenforceable, the parties agree that the court or arbitrator 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Annex 1 shall be enforceable as so modified after the expiration of the time within which the judgment or decision may be appealed. You acknowledge that the Company and its shareholders would be irreparably harmed by any breach of this Annex 1 and that there would be no adequate remedy at law or in damages to compensate the Company and its shareholders for any such breach. You agree that the Company shall be entitled to injunctive relief, without having to post bond or other security, requiring specific performance by you of your obligations in this Annex 1 in addition to any other remedy to which the Company is entitled at law or in equity, and you consent to the entry thereof. You agree that the restricted periods under Sections 2 and 3, as applicable, shall be extended by any and all periods during which you are in breach of this Annex 1.</w:t>
      </w:r>
    </w:p>
    <w:p>
      <w:pPr>
        <w:spacing w:after="0" w:line="86" w:lineRule="exact"/>
        <w:rPr>
          <w:rFonts w:ascii="Arial" w:cs="Arial" w:eastAsia="Arial" w:hAnsi="Arial"/>
          <w:sz w:val="18"/>
          <w:szCs w:val="18"/>
          <w:color w:val="auto"/>
        </w:rPr>
      </w:pPr>
    </w:p>
    <w:p>
      <w:pPr>
        <w:ind w:left="308" w:hanging="308"/>
        <w:spacing w:after="0"/>
        <w:tabs>
          <w:tab w:leader="none" w:pos="308"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Annex 1, the following terms shall have the following meanings:</w:t>
      </w:r>
    </w:p>
    <w:p>
      <w:pPr>
        <w:spacing w:after="0" w:line="360" w:lineRule="exact"/>
        <w:rPr>
          <w:rFonts w:ascii="Arial" w:cs="Arial" w:eastAsia="Arial" w:hAnsi="Arial"/>
          <w:sz w:val="18"/>
          <w:szCs w:val="18"/>
          <w:color w:val="auto"/>
        </w:rPr>
      </w:pPr>
    </w:p>
    <w:p>
      <w:pPr>
        <w:ind w:left="328"/>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Capacity</w:t>
      </w:r>
      <w:r>
        <w:rPr>
          <w:rFonts w:ascii="Arial" w:cs="Arial" w:eastAsia="Arial" w:hAnsi="Arial"/>
          <w:sz w:val="18"/>
          <w:szCs w:val="18"/>
          <w:color w:val="auto"/>
        </w:rPr>
        <w:t>” means whether you are acting (i) directly or indirectly (through any other person, firm or company); (ii) alone or jointly with others; (iii) as principal, agent, consultant, officer, director, shadow director, partner, LLP member, independent contractor, worker or employee; or (iv) for your own benefit or that of others.</w:t>
      </w:r>
    </w:p>
    <w:p>
      <w:pPr>
        <w:spacing w:after="0" w:line="170" w:lineRule="exact"/>
        <w:rPr>
          <w:rFonts w:ascii="Arial" w:cs="Arial" w:eastAsia="Arial" w:hAnsi="Arial"/>
          <w:sz w:val="18"/>
          <w:szCs w:val="18"/>
          <w:color w:val="auto"/>
        </w:rPr>
      </w:pPr>
    </w:p>
    <w:p>
      <w:pPr>
        <w:ind w:left="328" w:right="6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Competing Business</w:t>
      </w:r>
      <w:r>
        <w:rPr>
          <w:rFonts w:ascii="Arial" w:cs="Arial" w:eastAsia="Arial" w:hAnsi="Arial"/>
          <w:sz w:val="18"/>
          <w:szCs w:val="18"/>
          <w:color w:val="auto"/>
        </w:rPr>
        <w:t>” means any business which competes with or is preparing to compete with (i) any business carried on by the Company on the Termination Date; or (ii) any business which, on the Termination Date, the Company is proposing to carry on and has taken material steps towards conducting; and in each of cases (i) and (ii) in respect of which business of the Company you:</w:t>
      </w:r>
    </w:p>
    <w:p>
      <w:pPr>
        <w:spacing w:after="0" w:line="170" w:lineRule="exact"/>
        <w:rPr>
          <w:rFonts w:ascii="Arial" w:cs="Arial" w:eastAsia="Arial" w:hAnsi="Arial"/>
          <w:sz w:val="18"/>
          <w:szCs w:val="18"/>
          <w:color w:val="auto"/>
        </w:rPr>
      </w:pPr>
    </w:p>
    <w:p>
      <w:pPr>
        <w:ind w:left="968" w:right="360" w:firstLine="976"/>
        <w:spacing w:after="0" w:line="287" w:lineRule="auto"/>
        <w:tabs>
          <w:tab w:leader="none" w:pos="2248" w:val="left"/>
        </w:tabs>
        <w:numPr>
          <w:ilvl w:val="2"/>
          <w:numId w:val="175"/>
        </w:numPr>
        <w:rPr>
          <w:rFonts w:ascii="Arial" w:cs="Arial" w:eastAsia="Arial" w:hAnsi="Arial"/>
          <w:sz w:val="18"/>
          <w:szCs w:val="18"/>
          <w:color w:val="auto"/>
        </w:rPr>
      </w:pPr>
      <w:r>
        <w:rPr>
          <w:rFonts w:ascii="Arial" w:cs="Arial" w:eastAsia="Arial" w:hAnsi="Arial"/>
          <w:sz w:val="18"/>
          <w:szCs w:val="18"/>
          <w:color w:val="auto"/>
        </w:rPr>
        <w:t>had material responsibilities (including, without limitation, supervisory or management responsibilities) or carried out material duties; or</w:t>
      </w:r>
    </w:p>
    <w:p>
      <w:pPr>
        <w:spacing w:after="0" w:line="152" w:lineRule="exact"/>
        <w:rPr>
          <w:rFonts w:ascii="Arial" w:cs="Arial" w:eastAsia="Arial" w:hAnsi="Arial"/>
          <w:sz w:val="18"/>
          <w:szCs w:val="18"/>
          <w:color w:val="auto"/>
        </w:rPr>
      </w:pPr>
    </w:p>
    <w:p>
      <w:pPr>
        <w:ind w:left="2248" w:hanging="304"/>
        <w:spacing w:after="0"/>
        <w:tabs>
          <w:tab w:leader="none" w:pos="2248" w:val="left"/>
        </w:tabs>
        <w:numPr>
          <w:ilvl w:val="2"/>
          <w:numId w:val="175"/>
        </w:numPr>
        <w:rPr>
          <w:rFonts w:ascii="Arial" w:cs="Arial" w:eastAsia="Arial" w:hAnsi="Arial"/>
          <w:sz w:val="18"/>
          <w:szCs w:val="18"/>
          <w:color w:val="auto"/>
        </w:rPr>
      </w:pPr>
      <w:r>
        <w:rPr>
          <w:rFonts w:ascii="Arial" w:cs="Arial" w:eastAsia="Arial" w:hAnsi="Arial"/>
          <w:sz w:val="18"/>
          <w:szCs w:val="18"/>
          <w:color w:val="auto"/>
        </w:rPr>
        <w:t>otherwise obtained Relevant Confidential Information,</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in each case in the course of your employment at any time in the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8"/>
          </w:cols>
          <w:pgMar w:left="652" w:top="1417" w:right="339" w:bottom="1440" w:gutter="0" w:footer="0" w:header="0"/>
        </w:sectPr>
      </w:pPr>
    </w:p>
    <w:bookmarkStart w:id="190" w:name="page191"/>
    <w:bookmarkEnd w:id="190"/>
    <w:p>
      <w:pPr>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all proprietary or confidential matters or trade secrets of, and confidential and competitively valuable information concerning, the Company (whether or not such information is in written form and whether or not it is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 hereunder or under any other confidentiality agreement you have entered into with the Company, including, but not limited to, the MSCI Code of Ethics and Business Conduct.</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Customer</w:t>
      </w:r>
      <w:r>
        <w:rPr>
          <w:rFonts w:ascii="Arial" w:cs="Arial" w:eastAsia="Arial" w:hAnsi="Arial"/>
          <w:sz w:val="18"/>
          <w:szCs w:val="18"/>
          <w:color w:val="auto"/>
        </w:rPr>
        <w:t>” means any customer or client of the Company:</w:t>
      </w:r>
    </w:p>
    <w:p>
      <w:pPr>
        <w:spacing w:after="0" w:line="225" w:lineRule="exact"/>
        <w:rPr>
          <w:sz w:val="20"/>
          <w:szCs w:val="20"/>
          <w:color w:val="auto"/>
        </w:rPr>
      </w:pPr>
    </w:p>
    <w:p>
      <w:pPr>
        <w:ind w:left="1920" w:hanging="304"/>
        <w:spacing w:after="0"/>
        <w:tabs>
          <w:tab w:leader="none" w:pos="19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whom you have had material dealings; or</w:t>
      </w:r>
    </w:p>
    <w:p>
      <w:pPr>
        <w:spacing w:after="0" w:line="225" w:lineRule="exact"/>
        <w:rPr>
          <w:rFonts w:ascii="Arial" w:cs="Arial" w:eastAsia="Arial" w:hAnsi="Arial"/>
          <w:sz w:val="18"/>
          <w:szCs w:val="18"/>
          <w:color w:val="auto"/>
        </w:rPr>
      </w:pPr>
    </w:p>
    <w:p>
      <w:pPr>
        <w:ind w:right="2800" w:firstLine="1616"/>
        <w:spacing w:after="0" w:line="500" w:lineRule="auto"/>
        <w:tabs>
          <w:tab w:leader="none" w:pos="19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respect of whom you have obtained Relevant Confidential Information, in each case at any time during the Relevant Period.</w:t>
      </w:r>
    </w:p>
    <w:p>
      <w:pPr>
        <w:spacing w:after="0" w:line="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means any (i) director or officer; (ii) employee who is employed at Vice President or above (or any equivalent career level); or (iii) individual who is engaged as a consultant at an equivalent level to such an employee, in each case of or by the Company; and</w:t>
      </w:r>
    </w:p>
    <w:p>
      <w:pPr>
        <w:spacing w:after="0" w:line="171" w:lineRule="exact"/>
        <w:rPr>
          <w:sz w:val="20"/>
          <w:szCs w:val="20"/>
          <w:color w:val="auto"/>
        </w:rPr>
      </w:pPr>
    </w:p>
    <w:p>
      <w:pPr>
        <w:ind w:left="1920" w:hanging="304"/>
        <w:spacing w:after="0"/>
        <w:tabs>
          <w:tab w:leader="none" w:pos="1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whom you have had material dealings; or</w:t>
      </w:r>
    </w:p>
    <w:p>
      <w:pPr>
        <w:spacing w:after="0" w:line="225" w:lineRule="exact"/>
        <w:rPr>
          <w:rFonts w:ascii="Arial" w:cs="Arial" w:eastAsia="Arial" w:hAnsi="Arial"/>
          <w:sz w:val="18"/>
          <w:szCs w:val="18"/>
          <w:color w:val="auto"/>
        </w:rPr>
      </w:pPr>
    </w:p>
    <w:p>
      <w:pPr>
        <w:ind w:left="1300" w:right="140" w:firstLine="316"/>
        <w:spacing w:after="0" w:line="268" w:lineRule="auto"/>
        <w:tabs>
          <w:tab w:leader="none" w:pos="19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respect of whom you have obtained Confidential Information about their skills, role, responsibilities, expertise, or other Confidential Information or material non-public information relevant to their potential recruitment or engagement,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at any time during the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980" w:top="1417" w:right="399" w:bottom="1440" w:gutter="0" w:footer="0" w:header="0"/>
        </w:sectPr>
      </w:pPr>
    </w:p>
    <w:bookmarkStart w:id="191" w:name="page192"/>
    <w:bookmarkEnd w:id="191"/>
    <w:p>
      <w:pPr>
        <w:ind w:left="328" w:right="3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Customer</w:t>
      </w:r>
      <w:r>
        <w:rPr>
          <w:rFonts w:ascii="Arial" w:cs="Arial" w:eastAsia="Arial" w:hAnsi="Arial"/>
          <w:sz w:val="18"/>
          <w:szCs w:val="18"/>
          <w:color w:val="auto"/>
        </w:rPr>
        <w:t>” means any person, firm, company or other entity with whom the Company has had any negotiations or material discussions regarding the possible supply of products or services by the Company and:</w:t>
      </w:r>
    </w:p>
    <w:p>
      <w:pPr>
        <w:spacing w:after="0" w:line="153" w:lineRule="exact"/>
        <w:rPr>
          <w:sz w:val="20"/>
          <w:szCs w:val="20"/>
          <w:color w:val="auto"/>
        </w:rPr>
      </w:pPr>
    </w:p>
    <w:p>
      <w:pPr>
        <w:ind w:left="2248" w:hanging="434"/>
        <w:spacing w:after="0"/>
        <w:tabs>
          <w:tab w:leader="none" w:pos="22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 whom you have had material dealings; or</w:t>
      </w:r>
    </w:p>
    <w:p>
      <w:pPr>
        <w:spacing w:after="0" w:line="225" w:lineRule="exact"/>
        <w:rPr>
          <w:rFonts w:ascii="Arial" w:cs="Arial" w:eastAsia="Arial" w:hAnsi="Arial"/>
          <w:sz w:val="18"/>
          <w:szCs w:val="18"/>
          <w:color w:val="auto"/>
        </w:rPr>
      </w:pPr>
    </w:p>
    <w:p>
      <w:pPr>
        <w:ind w:left="328" w:right="2860" w:firstLine="1535"/>
        <w:spacing w:after="0" w:line="500" w:lineRule="auto"/>
        <w:tabs>
          <w:tab w:leader="none" w:pos="225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 respect of whom you have obtained Relevant Confidential Information, in each case at any time during the Relevant Period.</w:t>
      </w:r>
    </w:p>
    <w:p>
      <w:pPr>
        <w:spacing w:after="0" w:line="2" w:lineRule="exact"/>
        <w:rPr>
          <w:sz w:val="20"/>
          <w:szCs w:val="20"/>
          <w:color w:val="auto"/>
        </w:rPr>
      </w:pPr>
    </w:p>
    <w:p>
      <w:pPr>
        <w:ind w:left="328" w:right="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Confidential Information</w:t>
      </w:r>
      <w:r>
        <w:rPr>
          <w:rFonts w:ascii="Arial" w:cs="Arial" w:eastAsia="Arial" w:hAnsi="Arial"/>
          <w:sz w:val="18"/>
          <w:szCs w:val="18"/>
          <w:color w:val="auto"/>
        </w:rPr>
        <w:t>” means Confidential Information which would be of value to any business which competes or is preparing to compete with the Company, including, without limitation, Confidential Information that would enable it to:</w:t>
      </w:r>
    </w:p>
    <w:p>
      <w:pPr>
        <w:spacing w:after="0" w:line="153" w:lineRule="exact"/>
        <w:rPr>
          <w:sz w:val="20"/>
          <w:szCs w:val="20"/>
          <w:color w:val="auto"/>
        </w:rPr>
      </w:pPr>
    </w:p>
    <w:p>
      <w:pPr>
        <w:ind w:left="968" w:right="180" w:firstLine="846"/>
        <w:spacing w:after="0" w:line="287" w:lineRule="auto"/>
        <w:tabs>
          <w:tab w:leader="none" w:pos="22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review, amend, change or introduce products, services, systems, processes, proposals, forecasts, terms of trade or strategies (including, but not limited to, marketing and/or sales strategies); or</w:t>
      </w:r>
    </w:p>
    <w:p>
      <w:pPr>
        <w:spacing w:after="0" w:line="152" w:lineRule="exact"/>
        <w:rPr>
          <w:rFonts w:ascii="Arial" w:cs="Arial" w:eastAsia="Arial" w:hAnsi="Arial"/>
          <w:sz w:val="18"/>
          <w:szCs w:val="18"/>
          <w:color w:val="auto"/>
        </w:rPr>
      </w:pPr>
    </w:p>
    <w:p>
      <w:pPr>
        <w:ind w:left="2248" w:hanging="434"/>
        <w:spacing w:after="0"/>
        <w:tabs>
          <w:tab w:leader="none" w:pos="22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otherwise gain a competitive advantage.</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the 12 months immediately preceding the Termination Date.</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Territory</w:t>
      </w:r>
      <w:r>
        <w:rPr>
          <w:rFonts w:ascii="Arial" w:cs="Arial" w:eastAsia="Arial" w:hAnsi="Arial"/>
          <w:sz w:val="18"/>
          <w:szCs w:val="18"/>
          <w:color w:val="auto"/>
        </w:rPr>
        <w:t>” means:</w:t>
      </w:r>
    </w:p>
    <w:p>
      <w:pPr>
        <w:spacing w:after="0" w:line="225" w:lineRule="exact"/>
        <w:rPr>
          <w:sz w:val="20"/>
          <w:szCs w:val="20"/>
          <w:color w:val="auto"/>
        </w:rPr>
      </w:pPr>
    </w:p>
    <w:p>
      <w:pPr>
        <w:ind w:left="2248" w:hanging="385"/>
        <w:spacing w:after="0"/>
        <w:tabs>
          <w:tab w:leader="none" w:pos="22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United Kingdom; or</w:t>
      </w:r>
    </w:p>
    <w:p>
      <w:pPr>
        <w:spacing w:after="0" w:line="225" w:lineRule="exact"/>
        <w:rPr>
          <w:rFonts w:ascii="Arial" w:cs="Arial" w:eastAsia="Arial" w:hAnsi="Arial"/>
          <w:sz w:val="18"/>
          <w:szCs w:val="18"/>
          <w:color w:val="auto"/>
        </w:rPr>
      </w:pPr>
    </w:p>
    <w:p>
      <w:pPr>
        <w:ind w:left="1628" w:right="240" w:firstLine="235"/>
        <w:spacing w:after="0" w:line="268" w:lineRule="auto"/>
        <w:tabs>
          <w:tab w:leader="none" w:pos="2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country where the Company carries out business and in relation to which you have had material responsibilities (including, without limitation, supervisory or management responsibilities) or carried out material duties during the Relevant Period; or</w:t>
      </w:r>
    </w:p>
    <w:p>
      <w:pPr>
        <w:spacing w:after="0" w:line="170" w:lineRule="exact"/>
        <w:rPr>
          <w:rFonts w:ascii="Arial" w:cs="Arial" w:eastAsia="Arial" w:hAnsi="Arial"/>
          <w:sz w:val="18"/>
          <w:szCs w:val="18"/>
          <w:color w:val="auto"/>
        </w:rPr>
      </w:pPr>
    </w:p>
    <w:p>
      <w:pPr>
        <w:ind w:left="1628" w:right="240" w:firstLine="235"/>
        <w:spacing w:after="0" w:line="287" w:lineRule="auto"/>
        <w:tabs>
          <w:tab w:leader="none" w:pos="22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other country where the Company carries out business and in relation to which you acquired Relevant Confidential Information during the Relevant Period.</w:t>
      </w:r>
    </w:p>
    <w:p>
      <w:pPr>
        <w:spacing w:after="0" w:line="153" w:lineRule="exact"/>
        <w:rPr>
          <w:sz w:val="20"/>
          <w:szCs w:val="20"/>
          <w:color w:val="auto"/>
        </w:rPr>
      </w:pPr>
    </w:p>
    <w:p>
      <w:pPr>
        <w:ind w:left="328" w:right="540"/>
        <w:spacing w:after="0" w:line="3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Supplier</w:t>
      </w:r>
      <w:r>
        <w:rPr>
          <w:rFonts w:ascii="Arial" w:cs="Arial" w:eastAsia="Arial" w:hAnsi="Arial"/>
          <w:sz w:val="17"/>
          <w:szCs w:val="17"/>
          <w:color w:val="auto"/>
        </w:rPr>
        <w:t>” means any person, firm, company, or other entity (i) with whom you have had material dealings during the Relevant Period; (ii) in respect of whom you have obtained Relevant Confidential Information during the Relevant Period; and who:</w:t>
      </w:r>
    </w:p>
    <w:p>
      <w:pPr>
        <w:spacing w:after="0" w:line="22" w:lineRule="exact"/>
        <w:rPr>
          <w:sz w:val="20"/>
          <w:szCs w:val="20"/>
          <w:color w:val="auto"/>
        </w:rPr>
      </w:pPr>
    </w:p>
    <w:p>
      <w:pPr>
        <w:ind w:left="2248" w:hanging="385"/>
        <w:spacing w:after="0"/>
        <w:tabs>
          <w:tab w:leader="none" w:pos="22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has supplied goods or services to the Company during the Relevant Period; or</w:t>
      </w:r>
    </w:p>
    <w:p>
      <w:pPr>
        <w:spacing w:after="0" w:line="117" w:lineRule="exact"/>
        <w:rPr>
          <w:rFonts w:ascii="Arial" w:cs="Arial" w:eastAsia="Arial" w:hAnsi="Arial"/>
          <w:sz w:val="18"/>
          <w:szCs w:val="18"/>
          <w:color w:val="auto"/>
        </w:rPr>
      </w:pPr>
    </w:p>
    <w:p>
      <w:pPr>
        <w:ind w:left="1628" w:right="280" w:firstLine="235"/>
        <w:spacing w:after="0" w:line="287" w:lineRule="auto"/>
        <w:tabs>
          <w:tab w:leader="none" w:pos="2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has agreed prior to the Termination Date to supply goods or services to the Company, with such supply to commence at any time in the twelve months following the Termination Date; or</w:t>
      </w:r>
    </w:p>
    <w:p>
      <w:pPr>
        <w:spacing w:after="0" w:line="44" w:lineRule="exact"/>
        <w:rPr>
          <w:rFonts w:ascii="Arial" w:cs="Arial" w:eastAsia="Arial" w:hAnsi="Arial"/>
          <w:sz w:val="18"/>
          <w:szCs w:val="18"/>
          <w:color w:val="auto"/>
        </w:rPr>
      </w:pPr>
    </w:p>
    <w:p>
      <w:pPr>
        <w:ind w:left="1628" w:right="400" w:firstLine="235"/>
        <w:spacing w:after="0" w:line="287" w:lineRule="auto"/>
        <w:tabs>
          <w:tab w:leader="none" w:pos="22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at the Termination Date, supplies goods or services to the Company under a contract or arrangement between that supplier and the Company.</w:t>
      </w:r>
    </w:p>
    <w:p>
      <w:pPr>
        <w:spacing w:after="0" w:line="45"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your employment ends; provided that, for purposes of these restrictions only, Termination Date shall be deemed to occur on the later of the end of your employment with the Company and the end of the Advisory Period under the Agreement.</w:t>
      </w:r>
    </w:p>
    <w:p>
      <w:pPr>
        <w:spacing w:after="0" w:line="63" w:lineRule="exact"/>
        <w:rPr>
          <w:sz w:val="20"/>
          <w:szCs w:val="20"/>
          <w:color w:val="auto"/>
        </w:rPr>
      </w:pPr>
    </w:p>
    <w:p>
      <w:pPr>
        <w:ind w:left="308" w:hanging="308"/>
        <w:spacing w:after="0"/>
        <w:tabs>
          <w:tab w:leader="none" w:pos="308"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Post-termination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17" w:right="339" w:bottom="1440" w:gutter="0" w:footer="0" w:header="0"/>
        </w:sectPr>
      </w:pPr>
    </w:p>
    <w:bookmarkStart w:id="192" w:name="page193"/>
    <w:bookmarkEnd w:id="192"/>
    <w:p>
      <w:pPr>
        <w:ind w:left="1608" w:hanging="442"/>
        <w:spacing w:after="0"/>
        <w:tabs>
          <w:tab w:leader="none" w:pos="1608" w:val="left"/>
        </w:tabs>
        <w:numPr>
          <w:ilvl w:val="4"/>
          <w:numId w:val="183"/>
        </w:numPr>
        <w:rPr>
          <w:rFonts w:ascii="Arial" w:cs="Arial" w:eastAsia="Arial" w:hAnsi="Arial"/>
          <w:sz w:val="18"/>
          <w:szCs w:val="18"/>
          <w:color w:val="auto"/>
        </w:rPr>
      </w:pPr>
      <w:r>
        <w:rPr>
          <w:rFonts w:ascii="Arial" w:cs="Arial" w:eastAsia="Arial" w:hAnsi="Arial"/>
          <w:sz w:val="18"/>
          <w:szCs w:val="18"/>
          <w:color w:val="auto"/>
        </w:rPr>
        <w:t>You agree to comply with the post-termination obligations set out in Annex 1.</w:t>
      </w:r>
    </w:p>
    <w:p>
      <w:pPr>
        <w:spacing w:after="0" w:line="117" w:lineRule="exact"/>
        <w:rPr>
          <w:rFonts w:ascii="Arial" w:cs="Arial" w:eastAsia="Arial" w:hAnsi="Arial"/>
          <w:sz w:val="18"/>
          <w:szCs w:val="18"/>
          <w:color w:val="auto"/>
        </w:rPr>
      </w:pPr>
    </w:p>
    <w:p>
      <w:pPr>
        <w:jc w:val="both"/>
        <w:ind w:left="328" w:firstLine="838"/>
        <w:spacing w:after="0" w:line="260" w:lineRule="auto"/>
        <w:tabs>
          <w:tab w:leader="none" w:pos="1593" w:val="left"/>
        </w:tabs>
        <w:numPr>
          <w:ilvl w:val="4"/>
          <w:numId w:val="183"/>
        </w:numPr>
        <w:rPr>
          <w:rFonts w:ascii="Arial" w:cs="Arial" w:eastAsia="Arial" w:hAnsi="Arial"/>
          <w:sz w:val="18"/>
          <w:szCs w:val="18"/>
          <w:color w:val="auto"/>
        </w:rPr>
      </w:pPr>
      <w:r>
        <w:rPr>
          <w:rFonts w:ascii="Arial" w:cs="Arial" w:eastAsia="Arial" w:hAnsi="Arial"/>
          <w:sz w:val="18"/>
          <w:szCs w:val="18"/>
          <w:color w:val="auto"/>
        </w:rPr>
        <w:t>You agree that if you receive an offer of employment from, or offer to provide services to, any person, firm, company or other entity (an “</w:t>
      </w:r>
      <w:r>
        <w:rPr>
          <w:rFonts w:ascii="Arial" w:cs="Arial" w:eastAsia="Arial" w:hAnsi="Arial"/>
          <w:sz w:val="18"/>
          <w:szCs w:val="18"/>
          <w:b w:val="1"/>
          <w:bCs w:val="1"/>
          <w:color w:val="auto"/>
        </w:rPr>
        <w:t>Offeror</w:t>
      </w:r>
      <w:r>
        <w:rPr>
          <w:rFonts w:ascii="Arial" w:cs="Arial" w:eastAsia="Arial" w:hAnsi="Arial"/>
          <w:sz w:val="18"/>
          <w:szCs w:val="18"/>
          <w:color w:val="auto"/>
        </w:rPr>
        <w:t>”) (whether you accept it or not) either during your employment with the Company or during the twelve</w:t>
      </w:r>
    </w:p>
    <w:p>
      <w:pPr>
        <w:spacing w:after="0" w:line="1" w:lineRule="exact"/>
        <w:rPr>
          <w:rFonts w:ascii="Arial" w:cs="Arial" w:eastAsia="Arial" w:hAnsi="Arial"/>
          <w:sz w:val="18"/>
          <w:szCs w:val="18"/>
          <w:color w:val="auto"/>
        </w:rPr>
      </w:pPr>
    </w:p>
    <w:p>
      <w:pPr>
        <w:ind w:left="688" w:hanging="364"/>
        <w:spacing w:after="0"/>
        <w:tabs>
          <w:tab w:leader="none" w:pos="6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months following the Termination Date, you will:</w:t>
      </w:r>
    </w:p>
    <w:p>
      <w:pPr>
        <w:spacing w:after="0" w:line="99" w:lineRule="exact"/>
        <w:rPr>
          <w:rFonts w:ascii="Arial" w:cs="Arial" w:eastAsia="Arial" w:hAnsi="Arial"/>
          <w:sz w:val="18"/>
          <w:szCs w:val="18"/>
          <w:color w:val="auto"/>
        </w:rPr>
      </w:pPr>
    </w:p>
    <w:p>
      <w:pPr>
        <w:ind w:left="1608" w:hanging="798"/>
        <w:spacing w:after="0"/>
        <w:tabs>
          <w:tab w:leader="none" w:pos="160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provide to the Offeror details of the substance of the restrictions contained in this Annex 1; and</w:t>
      </w:r>
    </w:p>
    <w:p>
      <w:pPr>
        <w:spacing w:after="0" w:line="117" w:lineRule="exact"/>
        <w:rPr>
          <w:rFonts w:ascii="Arial" w:cs="Arial" w:eastAsia="Arial" w:hAnsi="Arial"/>
          <w:sz w:val="18"/>
          <w:szCs w:val="18"/>
          <w:color w:val="auto"/>
        </w:rPr>
      </w:pPr>
    </w:p>
    <w:p>
      <w:pPr>
        <w:ind w:left="968" w:right="260" w:hanging="158"/>
        <w:spacing w:after="0" w:line="287" w:lineRule="auto"/>
        <w:tabs>
          <w:tab w:leader="none" w:pos="160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notify the Company of the offer and the identity of the Offeror and provide such other details as the Company may reasonably request.</w:t>
      </w:r>
    </w:p>
    <w:p>
      <w:pPr>
        <w:spacing w:after="0" w:line="44" w:lineRule="exact"/>
        <w:rPr>
          <w:rFonts w:ascii="Arial" w:cs="Arial" w:eastAsia="Arial" w:hAnsi="Arial"/>
          <w:sz w:val="18"/>
          <w:szCs w:val="18"/>
          <w:color w:val="auto"/>
        </w:rPr>
      </w:pPr>
    </w:p>
    <w:p>
      <w:pPr>
        <w:ind w:left="308" w:hanging="308"/>
        <w:spacing w:after="0"/>
        <w:tabs>
          <w:tab w:leader="none" w:pos="308"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Assignment and Severability.</w:t>
      </w:r>
    </w:p>
    <w:p>
      <w:pPr>
        <w:spacing w:after="0" w:line="117" w:lineRule="exact"/>
        <w:rPr>
          <w:rFonts w:ascii="Arial" w:cs="Arial" w:eastAsia="Arial" w:hAnsi="Arial"/>
          <w:sz w:val="18"/>
          <w:szCs w:val="18"/>
          <w:color w:val="auto"/>
        </w:rPr>
      </w:pPr>
    </w:p>
    <w:p>
      <w:pPr>
        <w:ind w:left="328" w:right="40" w:firstLine="725"/>
        <w:spacing w:after="0" w:line="262" w:lineRule="auto"/>
        <w:tabs>
          <w:tab w:leader="none" w:pos="1601" w:val="left"/>
        </w:tabs>
        <w:numPr>
          <w:ilvl w:val="3"/>
          <w:numId w:val="185"/>
        </w:numPr>
        <w:rPr>
          <w:rFonts w:ascii="Arial" w:cs="Arial" w:eastAsia="Arial" w:hAnsi="Arial"/>
          <w:sz w:val="18"/>
          <w:szCs w:val="18"/>
          <w:color w:val="auto"/>
        </w:rPr>
      </w:pPr>
      <w:r>
        <w:rPr>
          <w:rFonts w:ascii="Arial" w:cs="Arial" w:eastAsia="Arial" w:hAnsi="Arial"/>
          <w:sz w:val="18"/>
          <w:szCs w:val="18"/>
          <w:color w:val="auto"/>
        </w:rPr>
        <w:t>You acknowledge that the provisions of this Annex 1 constitute severable undertakings given for the benefit of the Company. You further acknowledge that the benefit of each agreement and obligation imposed upon you under this Annex 1 may be assigned to and enforced by all successors and assigns for the time being of the Company and such agreements and obligations will operate and remain binding notwithstanding the termination of your employment.</w:t>
      </w:r>
    </w:p>
    <w:p>
      <w:pPr>
        <w:spacing w:after="0" w:line="54" w:lineRule="exact"/>
        <w:rPr>
          <w:rFonts w:ascii="Arial" w:cs="Arial" w:eastAsia="Arial" w:hAnsi="Arial"/>
          <w:sz w:val="18"/>
          <w:szCs w:val="18"/>
          <w:color w:val="auto"/>
        </w:rPr>
      </w:pPr>
    </w:p>
    <w:p>
      <w:pPr>
        <w:jc w:val="both"/>
        <w:ind w:left="328" w:right="120" w:firstLine="725"/>
        <w:spacing w:after="0" w:line="225" w:lineRule="auto"/>
        <w:tabs>
          <w:tab w:leader="none" w:pos="1601" w:val="left"/>
        </w:tabs>
        <w:numPr>
          <w:ilvl w:val="3"/>
          <w:numId w:val="185"/>
        </w:numPr>
        <w:rPr>
          <w:rFonts w:ascii="Arial" w:cs="Arial" w:eastAsia="Arial" w:hAnsi="Arial"/>
          <w:sz w:val="18"/>
          <w:szCs w:val="18"/>
          <w:color w:val="auto"/>
        </w:rPr>
      </w:pPr>
      <w:r>
        <w:rPr>
          <w:rFonts w:ascii="Arial" w:cs="Arial" w:eastAsia="Arial" w:hAnsi="Arial"/>
          <w:sz w:val="18"/>
          <w:szCs w:val="18"/>
          <w:color w:val="auto"/>
        </w:rPr>
        <w:t>The restrictions in Sections 2 and 3 of this Annex 1 are considered by the parties to be fair and reasonable in all the circumstances. Each of the restrictions contained in Sections 2 and 3 of this Annex 1, including the subsections thereof and each of the restrictions listed by Roman numeral, constitutes an entirely separate, severable and independent covenant. If any covenant is found to be invalid this will not affect the validity or enforceability of any of the other covenants.</w:t>
      </w:r>
    </w:p>
    <w:p>
      <w:pPr>
        <w:spacing w:after="0" w:line="155" w:lineRule="exact"/>
        <w:rPr>
          <w:rFonts w:ascii="Arial" w:cs="Arial" w:eastAsia="Arial" w:hAnsi="Arial"/>
          <w:sz w:val="18"/>
          <w:szCs w:val="18"/>
          <w:color w:val="auto"/>
        </w:rPr>
      </w:pPr>
    </w:p>
    <w:p>
      <w:pPr>
        <w:ind w:left="328" w:right="480" w:firstLine="725"/>
        <w:spacing w:after="0" w:line="250" w:lineRule="auto"/>
        <w:tabs>
          <w:tab w:leader="none" w:pos="1591" w:val="left"/>
        </w:tabs>
        <w:numPr>
          <w:ilvl w:val="3"/>
          <w:numId w:val="185"/>
        </w:numPr>
        <w:rPr>
          <w:rFonts w:ascii="Arial" w:cs="Arial" w:eastAsia="Arial" w:hAnsi="Arial"/>
          <w:sz w:val="17"/>
          <w:szCs w:val="17"/>
          <w:color w:val="auto"/>
        </w:rPr>
      </w:pPr>
      <w:r>
        <w:rPr>
          <w:rFonts w:ascii="Arial" w:cs="Arial" w:eastAsia="Arial" w:hAnsi="Arial"/>
          <w:sz w:val="17"/>
          <w:szCs w:val="17"/>
          <w:color w:val="auto"/>
        </w:rPr>
        <w:t>Each of the subsections of the definitions contained in this Annex 1, including the matters identified by Roman numeral, constitutes a separate, severable and independent part of the definition. If any such part of a definition would render a covenant invalid, this will not affect the validity or enforceability of the covenant by reference to any other part of the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1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474470" cy="394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5"/>
          <w:szCs w:val="25"/>
          <w:color w:val="0626A9"/>
        </w:rPr>
        <w:t>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220"/>
        <w:spacing w:after="0" w:line="226" w:lineRule="auto"/>
        <w:rPr>
          <w:sz w:val="20"/>
          <w:szCs w:val="20"/>
          <w:color w:val="auto"/>
        </w:rPr>
      </w:pPr>
      <w:r>
        <w:rPr>
          <w:rFonts w:ascii="Arial" w:cs="Arial" w:eastAsia="Arial" w:hAnsi="Arial"/>
          <w:sz w:val="59"/>
          <w:szCs w:val="59"/>
          <w:b w:val="1"/>
          <w:bCs w:val="1"/>
          <w:color w:val="0626A9"/>
        </w:rPr>
        <w:t>MSCI Employee Trading Policy for Transactions in MSCI Inc.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2"/>
          <w:szCs w:val="12"/>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11430</wp:posOffset>
            </wp:positionV>
            <wp:extent cx="45262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Contents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6"/>
                <w:szCs w:val="16"/>
                <w:b w:val="1"/>
                <w:bCs w:val="1"/>
                <w:color w:val="auto"/>
              </w:rPr>
              <w:t>I.</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Introduction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30"/>
        </w:trPr>
        <w:tc>
          <w:tcPr>
            <w:tcW w:w="620" w:type="dxa"/>
            <w:vAlign w:val="bottom"/>
          </w:tcPr>
          <w:p>
            <w:pPr>
              <w:spacing w:after="0"/>
              <w:rPr>
                <w:sz w:val="20"/>
                <w:szCs w:val="20"/>
                <w:color w:val="auto"/>
              </w:rPr>
            </w:pPr>
            <w:r>
              <w:rPr>
                <w:rFonts w:ascii="Arial" w:cs="Arial" w:eastAsia="Arial" w:hAnsi="Arial"/>
                <w:sz w:val="16"/>
                <w:szCs w:val="16"/>
                <w:b w:val="1"/>
                <w:bCs w:val="1"/>
                <w:color w:val="auto"/>
              </w:rPr>
              <w:t>II.</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Inside information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21"/>
        </w:trPr>
        <w:tc>
          <w:tcPr>
            <w:tcW w:w="620" w:type="dxa"/>
            <w:vAlign w:val="bottom"/>
          </w:tcPr>
          <w:p>
            <w:pPr>
              <w:spacing w:after="0"/>
              <w:rPr>
                <w:sz w:val="20"/>
                <w:szCs w:val="20"/>
                <w:color w:val="auto"/>
              </w:rPr>
            </w:pPr>
            <w:r>
              <w:rPr>
                <w:rFonts w:ascii="Arial" w:cs="Arial" w:eastAsia="Arial" w:hAnsi="Arial"/>
                <w:sz w:val="16"/>
                <w:szCs w:val="16"/>
                <w:color w:val="auto"/>
              </w:rPr>
              <w:t>A.</w:t>
            </w:r>
          </w:p>
        </w:tc>
        <w:tc>
          <w:tcPr>
            <w:tcW w:w="7360" w:type="dxa"/>
            <w:vAlign w:val="bottom"/>
          </w:tcPr>
          <w:p>
            <w:pPr>
              <w:ind w:left="420"/>
              <w:spacing w:after="0"/>
              <w:rPr>
                <w:sz w:val="20"/>
                <w:szCs w:val="20"/>
                <w:color w:val="auto"/>
              </w:rPr>
            </w:pPr>
            <w:r>
              <w:rPr>
                <w:rFonts w:ascii="Arial" w:cs="Arial" w:eastAsia="Arial" w:hAnsi="Arial"/>
                <w:sz w:val="16"/>
                <w:szCs w:val="16"/>
                <w:color w:val="auto"/>
              </w:rPr>
              <w:t>GENERAL RULE</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620" w:type="dxa"/>
            <w:vAlign w:val="bottom"/>
          </w:tcPr>
          <w:p>
            <w:pPr>
              <w:spacing w:after="0"/>
              <w:rPr>
                <w:sz w:val="20"/>
                <w:szCs w:val="20"/>
                <w:color w:val="auto"/>
              </w:rPr>
            </w:pPr>
            <w:r>
              <w:rPr>
                <w:rFonts w:ascii="Arial" w:cs="Arial" w:eastAsia="Arial" w:hAnsi="Arial"/>
                <w:sz w:val="16"/>
                <w:szCs w:val="16"/>
                <w:color w:val="auto"/>
              </w:rPr>
              <w:t>B.</w:t>
            </w:r>
          </w:p>
        </w:tc>
        <w:tc>
          <w:tcPr>
            <w:tcW w:w="7360" w:type="dxa"/>
            <w:vAlign w:val="bottom"/>
          </w:tcPr>
          <w:p>
            <w:pPr>
              <w:ind w:left="420"/>
              <w:spacing w:after="0"/>
              <w:rPr>
                <w:sz w:val="20"/>
                <w:szCs w:val="20"/>
                <w:color w:val="auto"/>
              </w:rPr>
            </w:pPr>
            <w:r>
              <w:rPr>
                <w:rFonts w:ascii="Arial" w:cs="Arial" w:eastAsia="Arial" w:hAnsi="Arial"/>
                <w:sz w:val="16"/>
                <w:szCs w:val="16"/>
                <w:color w:val="auto"/>
              </w:rPr>
              <w:t>TRADING IN OTHER COMPANIES’ SECURITIES</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C.</w:t>
            </w:r>
          </w:p>
        </w:tc>
        <w:tc>
          <w:tcPr>
            <w:tcW w:w="7360" w:type="dxa"/>
            <w:vAlign w:val="bottom"/>
          </w:tcPr>
          <w:p>
            <w:pPr>
              <w:ind w:left="420"/>
              <w:spacing w:after="0"/>
              <w:rPr>
                <w:sz w:val="20"/>
                <w:szCs w:val="20"/>
                <w:color w:val="auto"/>
              </w:rPr>
            </w:pPr>
            <w:r>
              <w:rPr>
                <w:rFonts w:ascii="Arial" w:cs="Arial" w:eastAsia="Arial" w:hAnsi="Arial"/>
                <w:sz w:val="16"/>
                <w:szCs w:val="16"/>
                <w:color w:val="auto"/>
              </w:rPr>
              <w:t>TRADING IN MSCI’S SECURITIES</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620" w:type="dxa"/>
            <w:vAlign w:val="bottom"/>
          </w:tcPr>
          <w:p>
            <w:pPr>
              <w:spacing w:after="0"/>
              <w:rPr>
                <w:sz w:val="20"/>
                <w:szCs w:val="20"/>
                <w:color w:val="auto"/>
              </w:rPr>
            </w:pPr>
            <w:r>
              <w:rPr>
                <w:rFonts w:ascii="Arial" w:cs="Arial" w:eastAsia="Arial" w:hAnsi="Arial"/>
                <w:sz w:val="16"/>
                <w:szCs w:val="16"/>
                <w:color w:val="auto"/>
              </w:rPr>
              <w:t>D.</w:t>
            </w:r>
          </w:p>
        </w:tc>
        <w:tc>
          <w:tcPr>
            <w:tcW w:w="7360" w:type="dxa"/>
            <w:vAlign w:val="bottom"/>
          </w:tcPr>
          <w:p>
            <w:pPr>
              <w:ind w:left="420"/>
              <w:spacing w:after="0"/>
              <w:rPr>
                <w:sz w:val="20"/>
                <w:szCs w:val="20"/>
                <w:color w:val="auto"/>
              </w:rPr>
            </w:pPr>
            <w:r>
              <w:rPr>
                <w:rFonts w:ascii="Arial" w:cs="Arial" w:eastAsia="Arial" w:hAnsi="Arial"/>
                <w:sz w:val="16"/>
                <w:szCs w:val="16"/>
                <w:color w:val="auto"/>
              </w:rPr>
              <w:t>EXCEPTIONS FOR TRANSFERS PURSUANT TO RULE 10b5-1</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E.</w:t>
            </w:r>
          </w:p>
        </w:tc>
        <w:tc>
          <w:tcPr>
            <w:tcW w:w="7360" w:type="dxa"/>
            <w:vAlign w:val="bottom"/>
          </w:tcPr>
          <w:p>
            <w:pPr>
              <w:ind w:left="420"/>
              <w:spacing w:after="0"/>
              <w:rPr>
                <w:sz w:val="20"/>
                <w:szCs w:val="20"/>
                <w:color w:val="auto"/>
              </w:rPr>
            </w:pPr>
            <w:r>
              <w:rPr>
                <w:rFonts w:ascii="Arial" w:cs="Arial" w:eastAsia="Arial" w:hAnsi="Arial"/>
                <w:sz w:val="16"/>
                <w:szCs w:val="16"/>
                <w:color w:val="auto"/>
              </w:rPr>
              <w:t>APPLICABILITY OF U.S. SECURITIES LAWS TO INTERNATIONAL TRANSACTIONS</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8"/>
        </w:trPr>
        <w:tc>
          <w:tcPr>
            <w:tcW w:w="620" w:type="dxa"/>
            <w:vAlign w:val="bottom"/>
          </w:tcPr>
          <w:p>
            <w:pPr>
              <w:spacing w:after="0"/>
              <w:rPr>
                <w:sz w:val="20"/>
                <w:szCs w:val="20"/>
                <w:color w:val="auto"/>
              </w:rPr>
            </w:pPr>
            <w:r>
              <w:rPr>
                <w:rFonts w:ascii="Arial" w:cs="Arial" w:eastAsia="Arial" w:hAnsi="Arial"/>
                <w:sz w:val="16"/>
                <w:szCs w:val="16"/>
                <w:b w:val="1"/>
                <w:bCs w:val="1"/>
                <w:color w:val="auto"/>
              </w:rPr>
              <w:t>III.</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Prohibited transactions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21"/>
        </w:trPr>
        <w:tc>
          <w:tcPr>
            <w:tcW w:w="620" w:type="dxa"/>
            <w:vAlign w:val="bottom"/>
          </w:tcPr>
          <w:p>
            <w:pPr>
              <w:spacing w:after="0"/>
              <w:rPr>
                <w:sz w:val="20"/>
                <w:szCs w:val="20"/>
                <w:color w:val="auto"/>
              </w:rPr>
            </w:pPr>
            <w:r>
              <w:rPr>
                <w:rFonts w:ascii="Arial" w:cs="Arial" w:eastAsia="Arial" w:hAnsi="Arial"/>
                <w:sz w:val="16"/>
                <w:szCs w:val="16"/>
                <w:color w:val="auto"/>
              </w:rPr>
              <w:t>A.</w:t>
            </w:r>
          </w:p>
        </w:tc>
        <w:tc>
          <w:tcPr>
            <w:tcW w:w="7360" w:type="dxa"/>
            <w:vAlign w:val="bottom"/>
          </w:tcPr>
          <w:p>
            <w:pPr>
              <w:ind w:left="420"/>
              <w:spacing w:after="0"/>
              <w:rPr>
                <w:sz w:val="20"/>
                <w:szCs w:val="20"/>
                <w:color w:val="auto"/>
              </w:rPr>
            </w:pPr>
            <w:r>
              <w:rPr>
                <w:rFonts w:ascii="Arial" w:cs="Arial" w:eastAsia="Arial" w:hAnsi="Arial"/>
                <w:sz w:val="16"/>
                <w:szCs w:val="16"/>
                <w:color w:val="auto"/>
              </w:rPr>
              <w:t>TRADING IN OPTIONS</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B.</w:t>
            </w:r>
          </w:p>
        </w:tc>
        <w:tc>
          <w:tcPr>
            <w:tcW w:w="7360" w:type="dxa"/>
            <w:vAlign w:val="bottom"/>
          </w:tcPr>
          <w:p>
            <w:pPr>
              <w:ind w:left="420"/>
              <w:spacing w:after="0"/>
              <w:rPr>
                <w:sz w:val="20"/>
                <w:szCs w:val="20"/>
                <w:color w:val="auto"/>
              </w:rPr>
            </w:pPr>
            <w:r>
              <w:rPr>
                <w:rFonts w:ascii="Arial" w:cs="Arial" w:eastAsia="Arial" w:hAnsi="Arial"/>
                <w:sz w:val="16"/>
                <w:szCs w:val="16"/>
                <w:color w:val="auto"/>
              </w:rPr>
              <w:t>MARGIN ACCOUNTS AND MANAGED ACCOUNTS; PLEDGING AS COLLATERAL</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620" w:type="dxa"/>
            <w:vAlign w:val="bottom"/>
          </w:tcPr>
          <w:p>
            <w:pPr>
              <w:spacing w:after="0"/>
              <w:rPr>
                <w:sz w:val="20"/>
                <w:szCs w:val="20"/>
                <w:color w:val="auto"/>
              </w:rPr>
            </w:pPr>
            <w:r>
              <w:rPr>
                <w:rFonts w:ascii="Arial" w:cs="Arial" w:eastAsia="Arial" w:hAnsi="Arial"/>
                <w:sz w:val="16"/>
                <w:szCs w:val="16"/>
                <w:color w:val="auto"/>
              </w:rPr>
              <w:t>C.</w:t>
            </w:r>
          </w:p>
        </w:tc>
        <w:tc>
          <w:tcPr>
            <w:tcW w:w="7360" w:type="dxa"/>
            <w:vAlign w:val="bottom"/>
          </w:tcPr>
          <w:p>
            <w:pPr>
              <w:ind w:left="420"/>
              <w:spacing w:after="0"/>
              <w:rPr>
                <w:sz w:val="20"/>
                <w:szCs w:val="20"/>
                <w:color w:val="auto"/>
              </w:rPr>
            </w:pPr>
            <w:r>
              <w:rPr>
                <w:rFonts w:ascii="Arial" w:cs="Arial" w:eastAsia="Arial" w:hAnsi="Arial"/>
                <w:sz w:val="16"/>
                <w:szCs w:val="16"/>
                <w:color w:val="auto"/>
              </w:rPr>
              <w:t>SHORT SALES</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620" w:type="dxa"/>
            <w:vAlign w:val="bottom"/>
          </w:tcPr>
          <w:p>
            <w:pPr>
              <w:spacing w:after="0"/>
              <w:rPr>
                <w:sz w:val="20"/>
                <w:szCs w:val="20"/>
                <w:color w:val="auto"/>
              </w:rPr>
            </w:pPr>
            <w:r>
              <w:rPr>
                <w:rFonts w:ascii="Arial" w:cs="Arial" w:eastAsia="Arial" w:hAnsi="Arial"/>
                <w:sz w:val="16"/>
                <w:szCs w:val="16"/>
                <w:color w:val="auto"/>
              </w:rPr>
              <w:t>D.</w:t>
            </w:r>
          </w:p>
        </w:tc>
        <w:tc>
          <w:tcPr>
            <w:tcW w:w="7360" w:type="dxa"/>
            <w:vAlign w:val="bottom"/>
          </w:tcPr>
          <w:p>
            <w:pPr>
              <w:ind w:left="420"/>
              <w:spacing w:after="0"/>
              <w:rPr>
                <w:sz w:val="20"/>
                <w:szCs w:val="20"/>
                <w:color w:val="auto"/>
              </w:rPr>
            </w:pPr>
            <w:r>
              <w:rPr>
                <w:rFonts w:ascii="Arial" w:cs="Arial" w:eastAsia="Arial" w:hAnsi="Arial"/>
                <w:sz w:val="16"/>
                <w:szCs w:val="16"/>
                <w:color w:val="auto"/>
              </w:rPr>
              <w:t>HEDGING TRANSACTIONS</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E.</w:t>
            </w:r>
          </w:p>
        </w:tc>
        <w:tc>
          <w:tcPr>
            <w:tcW w:w="7360" w:type="dxa"/>
            <w:vAlign w:val="bottom"/>
          </w:tcPr>
          <w:p>
            <w:pPr>
              <w:ind w:left="420"/>
              <w:spacing w:after="0"/>
              <w:rPr>
                <w:sz w:val="20"/>
                <w:szCs w:val="20"/>
                <w:color w:val="auto"/>
              </w:rPr>
            </w:pPr>
            <w:r>
              <w:rPr>
                <w:rFonts w:ascii="Arial" w:cs="Arial" w:eastAsia="Arial" w:hAnsi="Arial"/>
                <w:sz w:val="16"/>
                <w:szCs w:val="16"/>
                <w:color w:val="auto"/>
              </w:rPr>
              <w:t>STOP AND LIMIT ORDERS</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8"/>
        </w:trPr>
        <w:tc>
          <w:tcPr>
            <w:tcW w:w="620" w:type="dxa"/>
            <w:vAlign w:val="bottom"/>
          </w:tcPr>
          <w:p>
            <w:pPr>
              <w:spacing w:after="0"/>
              <w:rPr>
                <w:sz w:val="20"/>
                <w:szCs w:val="20"/>
                <w:color w:val="auto"/>
              </w:rPr>
            </w:pPr>
            <w:r>
              <w:rPr>
                <w:rFonts w:ascii="Arial" w:cs="Arial" w:eastAsia="Arial" w:hAnsi="Arial"/>
                <w:sz w:val="16"/>
                <w:szCs w:val="16"/>
                <w:b w:val="1"/>
                <w:bCs w:val="1"/>
                <w:color w:val="auto"/>
              </w:rPr>
              <w:t>IV.</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Additional restrictions for section 16 insiders and certain affiliates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22"/>
        </w:trPr>
        <w:tc>
          <w:tcPr>
            <w:tcW w:w="620" w:type="dxa"/>
            <w:vAlign w:val="bottom"/>
          </w:tcPr>
          <w:p>
            <w:pPr>
              <w:spacing w:after="0"/>
              <w:rPr>
                <w:sz w:val="20"/>
                <w:szCs w:val="20"/>
                <w:color w:val="auto"/>
              </w:rPr>
            </w:pPr>
            <w:r>
              <w:rPr>
                <w:rFonts w:ascii="Arial" w:cs="Arial" w:eastAsia="Arial" w:hAnsi="Arial"/>
                <w:sz w:val="16"/>
                <w:szCs w:val="16"/>
                <w:color w:val="auto"/>
              </w:rPr>
              <w:t>A.</w:t>
            </w:r>
          </w:p>
        </w:tc>
        <w:tc>
          <w:tcPr>
            <w:tcW w:w="7360" w:type="dxa"/>
            <w:vAlign w:val="bottom"/>
          </w:tcPr>
          <w:p>
            <w:pPr>
              <w:ind w:left="420"/>
              <w:spacing w:after="0"/>
              <w:rPr>
                <w:sz w:val="20"/>
                <w:szCs w:val="20"/>
                <w:color w:val="auto"/>
              </w:rPr>
            </w:pPr>
            <w:r>
              <w:rPr>
                <w:rFonts w:ascii="Arial" w:cs="Arial" w:eastAsia="Arial" w:hAnsi="Arial"/>
                <w:sz w:val="16"/>
                <w:szCs w:val="16"/>
                <w:color w:val="auto"/>
              </w:rPr>
              <w:t>PUBLIC RE-SALES – RULE 144</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B.</w:t>
            </w:r>
          </w:p>
        </w:tc>
        <w:tc>
          <w:tcPr>
            <w:tcW w:w="7360" w:type="dxa"/>
            <w:vAlign w:val="bottom"/>
          </w:tcPr>
          <w:p>
            <w:pPr>
              <w:ind w:left="420"/>
              <w:spacing w:after="0"/>
              <w:rPr>
                <w:sz w:val="20"/>
                <w:szCs w:val="20"/>
                <w:color w:val="auto"/>
              </w:rPr>
            </w:pPr>
            <w:r>
              <w:rPr>
                <w:rFonts w:ascii="Arial" w:cs="Arial" w:eastAsia="Arial" w:hAnsi="Arial"/>
                <w:sz w:val="16"/>
                <w:szCs w:val="16"/>
                <w:color w:val="auto"/>
              </w:rPr>
              <w:t>PRIVATE RE-SALES</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C.</w:t>
            </w:r>
          </w:p>
        </w:tc>
        <w:tc>
          <w:tcPr>
            <w:tcW w:w="7360" w:type="dxa"/>
            <w:vAlign w:val="bottom"/>
          </w:tcPr>
          <w:p>
            <w:pPr>
              <w:ind w:left="420"/>
              <w:spacing w:after="0"/>
              <w:rPr>
                <w:sz w:val="20"/>
                <w:szCs w:val="20"/>
                <w:color w:val="auto"/>
              </w:rPr>
            </w:pPr>
            <w:r>
              <w:rPr>
                <w:rFonts w:ascii="Arial" w:cs="Arial" w:eastAsia="Arial" w:hAnsi="Arial"/>
                <w:sz w:val="16"/>
                <w:szCs w:val="16"/>
                <w:color w:val="auto"/>
              </w:rPr>
              <w:t>RESTRICTIONS ON PURCHASES OF COMPANY SECURITIES</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620" w:type="dxa"/>
            <w:vAlign w:val="bottom"/>
          </w:tcPr>
          <w:p>
            <w:pPr>
              <w:spacing w:after="0"/>
              <w:rPr>
                <w:sz w:val="20"/>
                <w:szCs w:val="20"/>
                <w:color w:val="auto"/>
              </w:rPr>
            </w:pPr>
            <w:r>
              <w:rPr>
                <w:rFonts w:ascii="Arial" w:cs="Arial" w:eastAsia="Arial" w:hAnsi="Arial"/>
                <w:sz w:val="16"/>
                <w:szCs w:val="16"/>
                <w:color w:val="auto"/>
              </w:rPr>
              <w:t>D.</w:t>
            </w:r>
          </w:p>
        </w:tc>
        <w:tc>
          <w:tcPr>
            <w:tcW w:w="7360" w:type="dxa"/>
            <w:vAlign w:val="bottom"/>
          </w:tcPr>
          <w:p>
            <w:pPr>
              <w:ind w:left="420"/>
              <w:spacing w:after="0"/>
              <w:rPr>
                <w:sz w:val="20"/>
                <w:szCs w:val="20"/>
                <w:color w:val="auto"/>
              </w:rPr>
            </w:pPr>
            <w:r>
              <w:rPr>
                <w:rFonts w:ascii="Arial" w:cs="Arial" w:eastAsia="Arial" w:hAnsi="Arial"/>
                <w:sz w:val="16"/>
                <w:szCs w:val="16"/>
                <w:color w:val="auto"/>
              </w:rPr>
              <w:t>DISGORGEMENT OF PROFITS ON SHORT-SWING TRANSACTIONS – SECTION 16(b)</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E.</w:t>
            </w:r>
          </w:p>
        </w:tc>
        <w:tc>
          <w:tcPr>
            <w:tcW w:w="7360" w:type="dxa"/>
            <w:vAlign w:val="bottom"/>
          </w:tcPr>
          <w:p>
            <w:pPr>
              <w:ind w:left="420"/>
              <w:spacing w:after="0"/>
              <w:rPr>
                <w:sz w:val="20"/>
                <w:szCs w:val="20"/>
                <w:color w:val="auto"/>
              </w:rPr>
            </w:pPr>
            <w:r>
              <w:rPr>
                <w:rFonts w:ascii="Arial" w:cs="Arial" w:eastAsia="Arial" w:hAnsi="Arial"/>
                <w:sz w:val="16"/>
                <w:szCs w:val="16"/>
                <w:color w:val="auto"/>
              </w:rPr>
              <w:t>PROHIBITION OF SHORT SALES</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F.</w:t>
            </w:r>
          </w:p>
        </w:tc>
        <w:tc>
          <w:tcPr>
            <w:tcW w:w="7360" w:type="dxa"/>
            <w:vAlign w:val="bottom"/>
          </w:tcPr>
          <w:p>
            <w:pPr>
              <w:ind w:left="420"/>
              <w:spacing w:after="0"/>
              <w:rPr>
                <w:sz w:val="20"/>
                <w:szCs w:val="20"/>
                <w:color w:val="auto"/>
              </w:rPr>
            </w:pPr>
            <w:r>
              <w:rPr>
                <w:rFonts w:ascii="Arial" w:cs="Arial" w:eastAsia="Arial" w:hAnsi="Arial"/>
                <w:sz w:val="16"/>
                <w:szCs w:val="16"/>
                <w:color w:val="auto"/>
              </w:rPr>
              <w:t>FILING REQUIREMENTS</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620" w:type="dxa"/>
            <w:vAlign w:val="bottom"/>
          </w:tcPr>
          <w:p>
            <w:pPr>
              <w:spacing w:after="0"/>
              <w:rPr>
                <w:sz w:val="20"/>
                <w:szCs w:val="20"/>
                <w:color w:val="auto"/>
              </w:rPr>
            </w:pPr>
            <w:r>
              <w:rPr>
                <w:rFonts w:ascii="Arial" w:cs="Arial" w:eastAsia="Arial" w:hAnsi="Arial"/>
                <w:sz w:val="16"/>
                <w:szCs w:val="16"/>
                <w:b w:val="1"/>
                <w:bCs w:val="1"/>
                <w:color w:val="auto"/>
              </w:rPr>
              <w:t>V.</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Potential disciplinary sanctions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21"/>
        </w:trPr>
        <w:tc>
          <w:tcPr>
            <w:tcW w:w="620" w:type="dxa"/>
            <w:vAlign w:val="bottom"/>
          </w:tcPr>
          <w:p>
            <w:pPr>
              <w:spacing w:after="0"/>
              <w:rPr>
                <w:sz w:val="20"/>
                <w:szCs w:val="20"/>
                <w:color w:val="auto"/>
              </w:rPr>
            </w:pPr>
            <w:r>
              <w:rPr>
                <w:rFonts w:ascii="Arial" w:cs="Arial" w:eastAsia="Arial" w:hAnsi="Arial"/>
                <w:sz w:val="16"/>
                <w:szCs w:val="16"/>
                <w:color w:val="auto"/>
              </w:rPr>
              <w:t>A.</w:t>
            </w:r>
          </w:p>
        </w:tc>
        <w:tc>
          <w:tcPr>
            <w:tcW w:w="7360" w:type="dxa"/>
            <w:vAlign w:val="bottom"/>
          </w:tcPr>
          <w:p>
            <w:pPr>
              <w:ind w:left="420"/>
              <w:spacing w:after="0"/>
              <w:rPr>
                <w:sz w:val="20"/>
                <w:szCs w:val="20"/>
                <w:color w:val="auto"/>
              </w:rPr>
            </w:pPr>
            <w:r>
              <w:rPr>
                <w:rFonts w:ascii="Arial" w:cs="Arial" w:eastAsia="Arial" w:hAnsi="Arial"/>
                <w:sz w:val="16"/>
                <w:szCs w:val="16"/>
                <w:color w:val="auto"/>
              </w:rPr>
              <w:t>COMPANY DISCLOSURE</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620" w:type="dxa"/>
            <w:vAlign w:val="bottom"/>
          </w:tcPr>
          <w:p>
            <w:pPr>
              <w:spacing w:after="0"/>
              <w:rPr>
                <w:sz w:val="20"/>
                <w:szCs w:val="20"/>
                <w:color w:val="auto"/>
              </w:rPr>
            </w:pPr>
            <w:r>
              <w:rPr>
                <w:rFonts w:ascii="Arial" w:cs="Arial" w:eastAsia="Arial" w:hAnsi="Arial"/>
                <w:sz w:val="16"/>
                <w:szCs w:val="16"/>
                <w:color w:val="auto"/>
              </w:rPr>
              <w:t>B.</w:t>
            </w:r>
          </w:p>
        </w:tc>
        <w:tc>
          <w:tcPr>
            <w:tcW w:w="7360" w:type="dxa"/>
            <w:vAlign w:val="bottom"/>
          </w:tcPr>
          <w:p>
            <w:pPr>
              <w:ind w:left="420"/>
              <w:spacing w:after="0"/>
              <w:rPr>
                <w:sz w:val="20"/>
                <w:szCs w:val="20"/>
                <w:color w:val="auto"/>
              </w:rPr>
            </w:pPr>
            <w:r>
              <w:rPr>
                <w:rFonts w:ascii="Arial" w:cs="Arial" w:eastAsia="Arial" w:hAnsi="Arial"/>
                <w:sz w:val="16"/>
                <w:szCs w:val="16"/>
                <w:color w:val="auto"/>
              </w:rPr>
              <w:t>REPORTING OF VIOLATIONS</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8"/>
        </w:trPr>
        <w:tc>
          <w:tcPr>
            <w:tcW w:w="620" w:type="dxa"/>
            <w:vAlign w:val="bottom"/>
          </w:tcPr>
          <w:p>
            <w:pPr>
              <w:spacing w:after="0"/>
              <w:rPr>
                <w:sz w:val="20"/>
                <w:szCs w:val="20"/>
                <w:color w:val="auto"/>
              </w:rPr>
            </w:pPr>
            <w:r>
              <w:rPr>
                <w:rFonts w:ascii="Arial" w:cs="Arial" w:eastAsia="Arial" w:hAnsi="Arial"/>
                <w:sz w:val="16"/>
                <w:szCs w:val="16"/>
                <w:b w:val="1"/>
                <w:bCs w:val="1"/>
                <w:color w:val="auto"/>
              </w:rPr>
              <w:t>VI.</w:t>
            </w:r>
          </w:p>
        </w:tc>
        <w:tc>
          <w:tcPr>
            <w:tcW w:w="7360" w:type="dxa"/>
            <w:vAlign w:val="bottom"/>
          </w:tcPr>
          <w:p>
            <w:pPr>
              <w:ind w:left="420"/>
              <w:spacing w:after="0"/>
              <w:rPr>
                <w:sz w:val="20"/>
                <w:szCs w:val="20"/>
                <w:color w:val="auto"/>
              </w:rPr>
            </w:pPr>
            <w:r>
              <w:rPr>
                <w:rFonts w:ascii="Arial" w:cs="Arial" w:eastAsia="Arial" w:hAnsi="Arial"/>
                <w:sz w:val="16"/>
                <w:szCs w:val="16"/>
                <w:b w:val="1"/>
                <w:bCs w:val="1"/>
                <w:color w:val="auto"/>
              </w:rPr>
              <w:t>Modifications; personal responsibility</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w:t>
            </w:r>
          </w:p>
        </w:tc>
      </w:tr>
    </w:tbl>
    <w:p>
      <w:pPr>
        <w:sectPr>
          <w:pgSz w:w="11900" w:h="16838" w:orient="portrait"/>
          <w:cols w:equalWidth="0" w:num="1">
            <w:col w:w="10139"/>
          </w:cols>
          <w:pgMar w:left="320" w:top="1440" w:right="1440" w:bottom="1440" w:gutter="0" w:footer="0" w:header="0"/>
        </w:sectPr>
      </w:pPr>
    </w:p>
    <w:bookmarkStart w:id="195" w:name="page196"/>
    <w:bookmarkEnd w:id="195"/>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I. Introduction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11B2B"/>
        </w:rPr>
        <w:t>The MSCI Employee Trading Policy for Transactions in MSCI Inc. Securities (the “Policy”) applies to all directors, officers and employees of MSCI Inc. and its subsidiaries (the “Company”) with respect to transactions in the Company’s securities. It is essential to you, as well as to the reputation and success of the Company, that you understand this policy and strictly adhere to it.</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011B2B"/>
        </w:rPr>
        <w:t>This Policy is in addition to, and does not replace, the requirements set forth in MSCI’s other trading policies applicable to all or designated MSCI personnel (the “Company Trading Policies”). As such, all the relevant requirements of the Company Trading Policies apply to this Policy. For example, as set forth in the Company Trading Policies, all trades must be pre-cleared against the Restricted List prior to placing the trade.</w:t>
      </w:r>
    </w:p>
    <w:p>
      <w:pPr>
        <w:spacing w:after="0" w:line="7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11B2B"/>
        </w:rPr>
        <w:t>This Policy applies not only to your personal accounts but also to all other accounts over which you could reasonably be expected to be able to exercise influence or control (whether or not you actually have such influence or control) (“Controlled Accounts”), including but not limited to:</w:t>
      </w:r>
    </w:p>
    <w:p>
      <w:pPr>
        <w:spacing w:after="0" w:line="64" w:lineRule="exact"/>
        <w:rPr>
          <w:sz w:val="20"/>
          <w:szCs w:val="20"/>
          <w:color w:val="auto"/>
        </w:rPr>
      </w:pPr>
    </w:p>
    <w:p>
      <w:pPr>
        <w:ind w:left="340" w:hanging="332"/>
        <w:spacing w:after="0"/>
        <w:tabs>
          <w:tab w:leader="none" w:pos="340" w:val="left"/>
        </w:tabs>
        <w:numPr>
          <w:ilvl w:val="0"/>
          <w:numId w:val="186"/>
        </w:numPr>
        <w:rPr>
          <w:rFonts w:ascii="Times New Roman" w:cs="Times New Roman" w:eastAsia="Times New Roman" w:hAnsi="Times New Roman"/>
          <w:sz w:val="19"/>
          <w:szCs w:val="19"/>
          <w:color w:val="0626A9"/>
        </w:rPr>
      </w:pPr>
      <w:r>
        <w:rPr>
          <w:rFonts w:ascii="Arial" w:cs="Arial" w:eastAsia="Arial" w:hAnsi="Arial"/>
          <w:sz w:val="19"/>
          <w:szCs w:val="19"/>
          <w:color w:val="011B2B"/>
        </w:rPr>
        <w:t>all accounts of your spouse or domestic partner;</w:t>
      </w:r>
    </w:p>
    <w:p>
      <w:pPr>
        <w:spacing w:after="0" w:line="131" w:lineRule="exact"/>
        <w:rPr>
          <w:rFonts w:ascii="Times New Roman" w:cs="Times New Roman" w:eastAsia="Times New Roman" w:hAnsi="Times New Roman"/>
          <w:sz w:val="19"/>
          <w:szCs w:val="19"/>
          <w:color w:val="0626A9"/>
        </w:rPr>
      </w:pPr>
    </w:p>
    <w:p>
      <w:pPr>
        <w:ind w:left="340" w:hanging="332"/>
        <w:spacing w:after="0" w:line="299" w:lineRule="auto"/>
        <w:tabs>
          <w:tab w:leader="none" w:pos="339" w:val="left"/>
        </w:tabs>
        <w:numPr>
          <w:ilvl w:val="0"/>
          <w:numId w:val="186"/>
        </w:numPr>
        <w:rPr>
          <w:rFonts w:ascii="Times New Roman" w:cs="Times New Roman" w:eastAsia="Times New Roman" w:hAnsi="Times New Roman"/>
          <w:sz w:val="19"/>
          <w:szCs w:val="19"/>
          <w:color w:val="0626A9"/>
        </w:rPr>
      </w:pPr>
      <w:r>
        <w:rPr>
          <w:rFonts w:ascii="Arial" w:cs="Arial" w:eastAsia="Arial" w:hAnsi="Arial"/>
          <w:sz w:val="19"/>
          <w:szCs w:val="19"/>
          <w:color w:val="011B2B"/>
        </w:rPr>
        <w:t>all accounts of your, your spouse’s or your domestic partner’s children or relatives who reside in the same household with you or to whom you or your spouse or domestic partner contribute substantial support;</w:t>
      </w:r>
    </w:p>
    <w:p>
      <w:pPr>
        <w:spacing w:after="0" w:line="48" w:lineRule="exact"/>
        <w:rPr>
          <w:rFonts w:ascii="Times New Roman" w:cs="Times New Roman" w:eastAsia="Times New Roman" w:hAnsi="Times New Roman"/>
          <w:sz w:val="19"/>
          <w:szCs w:val="19"/>
          <w:color w:val="0626A9"/>
        </w:rPr>
      </w:pPr>
    </w:p>
    <w:p>
      <w:pPr>
        <w:ind w:left="340" w:hanging="332"/>
        <w:spacing w:after="0"/>
        <w:tabs>
          <w:tab w:leader="none" w:pos="340" w:val="left"/>
        </w:tabs>
        <w:numPr>
          <w:ilvl w:val="0"/>
          <w:numId w:val="186"/>
        </w:numPr>
        <w:rPr>
          <w:rFonts w:ascii="Times New Roman" w:cs="Times New Roman" w:eastAsia="Times New Roman" w:hAnsi="Times New Roman"/>
          <w:sz w:val="19"/>
          <w:szCs w:val="19"/>
          <w:color w:val="0626A9"/>
        </w:rPr>
      </w:pPr>
      <w:r>
        <w:rPr>
          <w:rFonts w:ascii="Arial" w:cs="Arial" w:eastAsia="Arial" w:hAnsi="Arial"/>
          <w:sz w:val="19"/>
          <w:szCs w:val="19"/>
          <w:color w:val="011B2B"/>
        </w:rPr>
        <w:t>all trust accounts for which you act as trustee or which you otherwise guide or influence;</w:t>
      </w:r>
    </w:p>
    <w:p>
      <w:pPr>
        <w:spacing w:after="0" w:line="131" w:lineRule="exact"/>
        <w:rPr>
          <w:rFonts w:ascii="Times New Roman" w:cs="Times New Roman" w:eastAsia="Times New Roman" w:hAnsi="Times New Roman"/>
          <w:sz w:val="19"/>
          <w:szCs w:val="19"/>
          <w:color w:val="0626A9"/>
        </w:rPr>
      </w:pPr>
    </w:p>
    <w:p>
      <w:pPr>
        <w:ind w:left="340" w:hanging="332"/>
        <w:spacing w:after="0"/>
        <w:tabs>
          <w:tab w:leader="none" w:pos="340" w:val="left"/>
        </w:tabs>
        <w:numPr>
          <w:ilvl w:val="0"/>
          <w:numId w:val="186"/>
        </w:numPr>
        <w:rPr>
          <w:rFonts w:ascii="Times New Roman" w:cs="Times New Roman" w:eastAsia="Times New Roman" w:hAnsi="Times New Roman"/>
          <w:sz w:val="19"/>
          <w:szCs w:val="19"/>
          <w:color w:val="0626A9"/>
        </w:rPr>
      </w:pPr>
      <w:r>
        <w:rPr>
          <w:rFonts w:ascii="Arial" w:cs="Arial" w:eastAsia="Arial" w:hAnsi="Arial"/>
          <w:sz w:val="19"/>
          <w:szCs w:val="19"/>
          <w:color w:val="011B2B"/>
        </w:rPr>
        <w:t>all arrangements similar to trust accounts that benefit you directly or indirectly; and</w:t>
      </w:r>
    </w:p>
    <w:p>
      <w:pPr>
        <w:spacing w:after="0" w:line="118" w:lineRule="exact"/>
        <w:rPr>
          <w:rFonts w:ascii="Times New Roman" w:cs="Times New Roman" w:eastAsia="Times New Roman" w:hAnsi="Times New Roman"/>
          <w:sz w:val="19"/>
          <w:szCs w:val="19"/>
          <w:color w:val="0626A9"/>
        </w:rPr>
      </w:pPr>
    </w:p>
    <w:p>
      <w:pPr>
        <w:ind w:left="340" w:hanging="332"/>
        <w:spacing w:after="0"/>
        <w:tabs>
          <w:tab w:leader="none" w:pos="340" w:val="left"/>
        </w:tabs>
        <w:numPr>
          <w:ilvl w:val="0"/>
          <w:numId w:val="186"/>
        </w:numPr>
        <w:rPr>
          <w:rFonts w:ascii="Times New Roman" w:cs="Times New Roman" w:eastAsia="Times New Roman" w:hAnsi="Times New Roman"/>
          <w:sz w:val="19"/>
          <w:szCs w:val="19"/>
          <w:color w:val="0626A9"/>
        </w:rPr>
      </w:pPr>
      <w:r>
        <w:rPr>
          <w:rFonts w:ascii="Arial" w:cs="Arial" w:eastAsia="Arial" w:hAnsi="Arial"/>
          <w:sz w:val="19"/>
          <w:szCs w:val="19"/>
          <w:color w:val="011B2B"/>
        </w:rPr>
        <w:t>all corporate, partnership or custodian accounts controlled, directly or indirectly, by you.</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11B2B"/>
        </w:rPr>
        <w:t>You are responsible for violations of this Policy by your household members or other owners or beneficiaries of Controlled Accounts. You must ensure that they are aware of the provisions of this Policy and the need to check with you so you may obtain approval before trading in any Company securities.</w:t>
      </w:r>
    </w:p>
    <w:p>
      <w:pPr>
        <w:spacing w:after="0" w:line="6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011B2B"/>
        </w:rPr>
        <w:t>You are expected to recognize and comply with the spirit of this Policy in addition to literal compliance with its terms. If you have any questions about this Policy’s meaning or application, please contact the Company’s Legal and Compliance Department.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3 of 18</w:t>
      </w:r>
    </w:p>
    <w:p>
      <w:pPr>
        <w:sectPr>
          <w:pgSz w:w="11900" w:h="16838" w:orient="portrait"/>
          <w:cols w:equalWidth="0" w:num="2">
            <w:col w:w="8620" w:space="720"/>
            <w:col w:w="1900"/>
          </w:cols>
          <w:pgMar w:left="320" w:top="895" w:right="339" w:bottom="1440" w:gutter="0" w:footer="0" w:header="0"/>
          <w:type w:val="continuous"/>
        </w:sectPr>
      </w:pPr>
    </w:p>
    <w:bookmarkStart w:id="196" w:name="page197"/>
    <w:bookmarkEnd w:id="196"/>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II. Inside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011B2B"/>
        </w:rPr>
        <w:t>A. GENERAL RULE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11B2B"/>
        </w:rPr>
        <w:t>The U.S. securities laws regulate the sale and purchase of securities in the interest of protecting the investing public. U.S. securities laws give the Company, its directors, officers and employees responsibility to ensure that information about the Company is not used unlawfully in the purchase and sale of securities.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011B2B"/>
        </w:rPr>
        <w:t>All current and former employees, officers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officer or a director of a company knows material inside information, that person is prohibited from buying or selling stock in the company until the information has been disclosed to the public. This is because the person knows information that could reasonably be expected to cause the stock price to change, and it would be unfair for the employee, officer or director to have an advantage that the rest of the investing public does not have. In fact, it is more than unfair, it is considered to be fraudulent and illegal. Civil and criminal penalties for this kind of activity are severe.</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011B2B"/>
        </w:rPr>
        <w:t xml:space="preserve">The general rule can be stated as follows: It is a violation of the federal securities laws for any person to buy or sell securities if he or she is in possession of material inside information. Information is </w:t>
      </w:r>
      <w:r>
        <w:rPr>
          <w:rFonts w:ascii="Arial" w:cs="Arial" w:eastAsia="Arial" w:hAnsi="Arial"/>
          <w:sz w:val="19"/>
          <w:szCs w:val="19"/>
          <w:i w:val="1"/>
          <w:iCs w:val="1"/>
          <w:color w:val="011B2B"/>
        </w:rPr>
        <w:t>material</w:t>
      </w:r>
      <w:r>
        <w:rPr>
          <w:rFonts w:ascii="Arial" w:cs="Arial" w:eastAsia="Arial" w:hAnsi="Arial"/>
          <w:sz w:val="19"/>
          <w:szCs w:val="19"/>
          <w:color w:val="011B2B"/>
        </w:rPr>
        <w:t xml:space="preserve"> if a reasonable investor would consider that information important in making a decision to buy, hold or sell securities. Any information that could be expected to affect the Company’s stock price, whether it is positive or negative, should be considered material. Material inside information should not be disclosed to anyone, except to persons within the Company whose positions require them to know it.</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011B2B"/>
        </w:rPr>
        <w:t>Material information may include, but is not limited to:</w:t>
      </w:r>
    </w:p>
    <w:p>
      <w:pPr>
        <w:spacing w:after="0" w:line="119"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actual changes in financial performance</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current levels of revenue</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significant changes in sales volumes, liquidity, strategic plans or product pricing</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major business acquisitions or dispositions</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significant changes in accounting treatment</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financial, sales or other significant internal business forecasts</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changes in debt ratings or analyst upgrades or downgrades</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significant related party transactions</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loss or gain of a significant customer</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7"/>
        </w:numPr>
        <w:rPr>
          <w:rFonts w:ascii="Times New Roman" w:cs="Times New Roman" w:eastAsia="Times New Roman" w:hAnsi="Times New Roman"/>
          <w:sz w:val="19"/>
          <w:szCs w:val="19"/>
          <w:color w:val="0626A9"/>
        </w:rPr>
      </w:pPr>
      <w:r>
        <w:rPr>
          <w:rFonts w:ascii="Arial" w:cs="Arial" w:eastAsia="Arial" w:hAnsi="Arial"/>
          <w:sz w:val="19"/>
          <w:szCs w:val="19"/>
          <w:color w:val="011B2B"/>
        </w:rPr>
        <w:t>major financings or borrowings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4 of 18</w:t>
      </w:r>
    </w:p>
    <w:p>
      <w:pPr>
        <w:sectPr>
          <w:pgSz w:w="11900" w:h="16838" w:orient="portrait"/>
          <w:cols w:equalWidth="0" w:num="2">
            <w:col w:w="8620" w:space="720"/>
            <w:col w:w="1900"/>
          </w:cols>
          <w:pgMar w:left="320" w:top="895" w:right="339" w:bottom="1440" w:gutter="0" w:footer="0" w:header="0"/>
          <w:type w:val="continuous"/>
        </w:sectPr>
      </w:pPr>
    </w:p>
    <w:bookmarkStart w:id="197" w:name="page198"/>
    <w:bookmarkEnd w:id="197"/>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188"/>
        </w:numPr>
        <w:rPr>
          <w:rFonts w:ascii="Times New Roman" w:cs="Times New Roman" w:eastAsia="Times New Roman" w:hAnsi="Times New Roman"/>
          <w:sz w:val="19"/>
          <w:szCs w:val="19"/>
          <w:color w:val="0626A9"/>
        </w:rPr>
      </w:pPr>
      <w:r>
        <w:rPr>
          <w:rFonts w:ascii="Arial" w:cs="Arial" w:eastAsia="Arial" w:hAnsi="Arial"/>
          <w:sz w:val="19"/>
          <w:szCs w:val="19"/>
          <w:color w:val="011B2B"/>
        </w:rPr>
        <w:t>projections of future earnings or losses, or other earnings guidance</w:t>
      </w:r>
    </w:p>
    <w:p>
      <w:pPr>
        <w:spacing w:after="0" w:line="131" w:lineRule="exact"/>
        <w:rPr>
          <w:rFonts w:ascii="Times New Roman" w:cs="Times New Roman" w:eastAsia="Times New Roman" w:hAnsi="Times New Roman"/>
          <w:sz w:val="19"/>
          <w:szCs w:val="19"/>
          <w:color w:val="0626A9"/>
        </w:rPr>
      </w:pPr>
    </w:p>
    <w:p>
      <w:pPr>
        <w:ind w:left="660" w:hanging="328"/>
        <w:spacing w:after="0"/>
        <w:tabs>
          <w:tab w:leader="none" w:pos="660" w:val="left"/>
        </w:tabs>
        <w:numPr>
          <w:ilvl w:val="0"/>
          <w:numId w:val="188"/>
        </w:numPr>
        <w:rPr>
          <w:rFonts w:ascii="Times New Roman" w:cs="Times New Roman" w:eastAsia="Times New Roman" w:hAnsi="Times New Roman"/>
          <w:sz w:val="19"/>
          <w:szCs w:val="19"/>
          <w:color w:val="0626A9"/>
        </w:rPr>
      </w:pPr>
      <w:r>
        <w:rPr>
          <w:rFonts w:ascii="Arial" w:cs="Arial" w:eastAsia="Arial" w:hAnsi="Arial"/>
          <w:sz w:val="19"/>
          <w:szCs w:val="19"/>
          <w:color w:val="011B2B"/>
        </w:rPr>
        <w:t>incidents of cybersecurity or data breaches</w:t>
      </w:r>
    </w:p>
    <w:p>
      <w:pPr>
        <w:spacing w:after="0" w:line="132" w:lineRule="exact"/>
        <w:rPr>
          <w:sz w:val="20"/>
          <w:szCs w:val="20"/>
          <w:color w:val="auto"/>
        </w:rPr>
      </w:pPr>
    </w:p>
    <w:p>
      <w:pPr>
        <w:jc w:val="both"/>
        <w:ind w:left="20"/>
        <w:spacing w:after="0" w:line="276" w:lineRule="auto"/>
        <w:rPr>
          <w:sz w:val="20"/>
          <w:szCs w:val="20"/>
          <w:color w:val="auto"/>
        </w:rPr>
      </w:pPr>
      <w:r>
        <w:rPr>
          <w:rFonts w:ascii="Arial" w:cs="Arial" w:eastAsia="Arial" w:hAnsi="Arial"/>
          <w:sz w:val="19"/>
          <w:szCs w:val="19"/>
          <w:color w:val="011B2B"/>
        </w:rPr>
        <w:t xml:space="preserve">Such material information is </w:t>
      </w:r>
      <w:r>
        <w:rPr>
          <w:rFonts w:ascii="Arial" w:cs="Arial" w:eastAsia="Arial" w:hAnsi="Arial"/>
          <w:sz w:val="19"/>
          <w:szCs w:val="19"/>
          <w:i w:val="1"/>
          <w:iCs w:val="1"/>
          <w:color w:val="011B2B"/>
        </w:rPr>
        <w:t>inside</w:t>
      </w:r>
      <w:r>
        <w:rPr>
          <w:rFonts w:ascii="Arial" w:cs="Arial" w:eastAsia="Arial" w:hAnsi="Arial"/>
          <w:sz w:val="19"/>
          <w:szCs w:val="19"/>
          <w:color w:val="011B2B"/>
        </w:rPr>
        <w:t xml:space="preserve"> information if it has not been publicly disclosed. Furthermore, it is illegal for any person in possession of material inside information to provide other people with such information or to recommend that they buy or sell the securities. This is called “tipping.” In cases of tipping, both parties may be held liable.</w:t>
      </w:r>
    </w:p>
    <w:p>
      <w:pPr>
        <w:spacing w:after="0" w:line="70" w:lineRule="exact"/>
        <w:rPr>
          <w:sz w:val="20"/>
          <w:szCs w:val="20"/>
          <w:color w:val="auto"/>
        </w:rPr>
      </w:pPr>
    </w:p>
    <w:p>
      <w:pPr>
        <w:jc w:val="both"/>
        <w:ind w:left="20"/>
        <w:spacing w:after="0" w:line="272" w:lineRule="auto"/>
        <w:rPr>
          <w:sz w:val="20"/>
          <w:szCs w:val="20"/>
          <w:color w:val="auto"/>
        </w:rPr>
      </w:pPr>
      <w:r>
        <w:rPr>
          <w:rFonts w:ascii="Arial" w:cs="Arial" w:eastAsia="Arial" w:hAnsi="Arial"/>
          <w:sz w:val="19"/>
          <w:szCs w:val="19"/>
          <w:color w:val="011B2B"/>
        </w:rPr>
        <w:t>The Securities and Exchange Commission (the “</w:t>
      </w:r>
      <w:r>
        <w:rPr>
          <w:rFonts w:ascii="Arial" w:cs="Arial" w:eastAsia="Arial" w:hAnsi="Arial"/>
          <w:sz w:val="19"/>
          <w:szCs w:val="19"/>
          <w:b w:val="1"/>
          <w:bCs w:val="1"/>
          <w:u w:val="single" w:color="auto"/>
          <w:color w:val="011B2B"/>
        </w:rPr>
        <w:t>SEC</w:t>
      </w:r>
      <w:r>
        <w:rPr>
          <w:rFonts w:ascii="Arial" w:cs="Arial" w:eastAsia="Arial" w:hAnsi="Arial"/>
          <w:sz w:val="19"/>
          <w:szCs w:val="19"/>
          <w:color w:val="011B2B"/>
        </w:rPr>
        <w:t>”), the stock exchanges and plaintiffs’ lawyers focus on uncovering insider trading. A breach of the insider trading laws could expose the insider to criminal fines up to three times the profits earned and imprisonment up to ten years, in addition to civil penalties (up to three times the profits earned) and injunctive actions. In addition, punitive damages may be imposed under other applicable laws. Securities laws also subject “controlling persons” to civil penalties for illegal insider trading by employees, including employees located outside the United States. “Controlling persons” include directors, officers and supervisors. These persons may be subject to fines up to the greater of $1,000,000 or three times profit (or loss avoided) by the insider trader.</w:t>
      </w:r>
    </w:p>
    <w:p>
      <w:pPr>
        <w:spacing w:after="0" w:line="76" w:lineRule="exact"/>
        <w:rPr>
          <w:sz w:val="20"/>
          <w:szCs w:val="20"/>
          <w:color w:val="auto"/>
        </w:rPr>
      </w:pPr>
    </w:p>
    <w:p>
      <w:pPr>
        <w:jc w:val="both"/>
        <w:ind w:left="20"/>
        <w:spacing w:after="0" w:line="273" w:lineRule="auto"/>
        <w:rPr>
          <w:sz w:val="20"/>
          <w:szCs w:val="20"/>
          <w:color w:val="auto"/>
        </w:rPr>
      </w:pPr>
      <w:r>
        <w:rPr>
          <w:rFonts w:ascii="Arial" w:cs="Arial" w:eastAsia="Arial" w:hAnsi="Arial"/>
          <w:sz w:val="19"/>
          <w:szCs w:val="19"/>
          <w:color w:val="011B2B"/>
        </w:rPr>
        <w:t>Inside information does not belong to the individual directors, officers or employees who may handle it or otherwise become knowledgeable about it. It is an asset of the Company. For any person to use such information for personal benefit or to disclose it to others outside the Company violates the Company’s interests. Using material inside information in connection with trading in the Company’s securities constitutes fraud against both the investing public and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011B2B"/>
        </w:rPr>
        <w:t>B. TRADING IN OTHER COMPANIES’ SECURITIES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011B2B"/>
        </w:rPr>
        <w:t>The same rules apply to other companies’ securities. Directors, officers and employees who learn material inside information about suppliers, customers, competitors or others through their work at the Company must keep such information confidential and may not buy or sell or give tips about securities of such companies until the information becomes public. For example, it would be a violation of the securities laws if an employee, officer or director learned through Company sources that the Company intended to purchase assets from a supplier, and then bought or sold stock in that supplier because of the likely increase or decrease in the value of its securities.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5 of 18</w:t>
      </w:r>
    </w:p>
    <w:p>
      <w:pPr>
        <w:sectPr>
          <w:pgSz w:w="11900" w:h="16838" w:orient="portrait"/>
          <w:cols w:equalWidth="0" w:num="2">
            <w:col w:w="8620" w:space="720"/>
            <w:col w:w="1900"/>
          </w:cols>
          <w:pgMar w:left="320" w:top="895" w:right="339" w:bottom="1440" w:gutter="0" w:footer="0" w:header="0"/>
          <w:type w:val="continuous"/>
        </w:sectPr>
      </w:pPr>
    </w:p>
    <w:bookmarkStart w:id="198" w:name="page199"/>
    <w:bookmarkEnd w:id="198"/>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11B2B"/>
        </w:rPr>
        <w:t>C. TRADING IN MSCI’S SECURITIES</w:t>
      </w:r>
    </w:p>
    <w:p>
      <w:pPr>
        <w:spacing w:after="0" w:line="140" w:lineRule="exact"/>
        <w:rPr>
          <w:sz w:val="20"/>
          <w:szCs w:val="20"/>
          <w:color w:val="auto"/>
        </w:rPr>
      </w:pPr>
    </w:p>
    <w:p>
      <w:pPr>
        <w:spacing w:after="0" w:line="300" w:lineRule="auto"/>
        <w:rPr>
          <w:sz w:val="20"/>
          <w:szCs w:val="20"/>
          <w:color w:val="auto"/>
        </w:rPr>
      </w:pPr>
      <w:r>
        <w:rPr>
          <w:rFonts w:ascii="Arial" w:cs="Arial" w:eastAsia="Arial" w:hAnsi="Arial"/>
          <w:sz w:val="19"/>
          <w:szCs w:val="19"/>
          <w:color w:val="011B2B"/>
        </w:rPr>
        <w:t>The following requirements must be followed in order to ensure compliance with applicable antifraud laws and with the Company’s policies:</w:t>
      </w:r>
    </w:p>
    <w:p>
      <w:pPr>
        <w:spacing w:after="0" w:line="48" w:lineRule="exact"/>
        <w:rPr>
          <w:sz w:val="20"/>
          <w:szCs w:val="20"/>
          <w:color w:val="auto"/>
        </w:rPr>
      </w:pPr>
    </w:p>
    <w:p>
      <w:pPr>
        <w:jc w:val="both"/>
        <w:ind w:left="660" w:hanging="328"/>
        <w:spacing w:after="0" w:line="270" w:lineRule="auto"/>
        <w:tabs>
          <w:tab w:leader="none" w:pos="642" w:val="left"/>
        </w:tabs>
        <w:numPr>
          <w:ilvl w:val="0"/>
          <w:numId w:val="189"/>
        </w:numPr>
        <w:rPr>
          <w:rFonts w:ascii="Arial" w:cs="Arial" w:eastAsia="Arial" w:hAnsi="Arial"/>
          <w:sz w:val="19"/>
          <w:szCs w:val="19"/>
          <w:b w:val="1"/>
          <w:bCs w:val="1"/>
          <w:color w:val="011B2B"/>
        </w:rPr>
      </w:pPr>
      <w:r>
        <w:rPr>
          <w:rFonts w:ascii="Arial" w:cs="Arial" w:eastAsia="Arial" w:hAnsi="Arial"/>
          <w:sz w:val="19"/>
          <w:szCs w:val="19"/>
          <w:b w:val="1"/>
          <w:bCs w:val="1"/>
          <w:color w:val="011B2B"/>
        </w:rPr>
        <w:t>Inside Information</w:t>
      </w:r>
      <w:r>
        <w:rPr>
          <w:rFonts w:ascii="Arial" w:cs="Arial" w:eastAsia="Arial" w:hAnsi="Arial"/>
          <w:sz w:val="19"/>
          <w:szCs w:val="19"/>
          <w:color w:val="011B2B"/>
        </w:rPr>
        <w:t>. No current or former employee, officer or director is permitted to place a purchase or sale order, or</w:t>
      </w:r>
      <w:r>
        <w:rPr>
          <w:rFonts w:ascii="Arial" w:cs="Arial" w:eastAsia="Arial" w:hAnsi="Arial"/>
          <w:sz w:val="19"/>
          <w:szCs w:val="19"/>
          <w:b w:val="1"/>
          <w:bCs w:val="1"/>
          <w:color w:val="011B2B"/>
        </w:rPr>
        <w:t xml:space="preserve"> </w:t>
      </w:r>
      <w:r>
        <w:rPr>
          <w:rFonts w:ascii="Arial" w:cs="Arial" w:eastAsia="Arial" w:hAnsi="Arial"/>
          <w:sz w:val="19"/>
          <w:szCs w:val="19"/>
          <w:color w:val="011B2B"/>
        </w:rPr>
        <w:t>recommend that another person place a purchase or sale order, in the Company’s securities when he or she has knowledge of material inside information concerning the Company. This includes any such orders concerning securities and convertible securities and exercise of employee options. Stock acquired through the exercise of a stock option will be treated like any other stock and may not be sold while in possession of material inside information. Any employee, officer or director who possesses material inside information should wait until the start of the third full trading day after the information has been publicly released before seeking pre-approval to trade.</w:t>
      </w:r>
    </w:p>
    <w:p>
      <w:pPr>
        <w:spacing w:after="0" w:line="74" w:lineRule="exact"/>
        <w:rPr>
          <w:rFonts w:ascii="Arial" w:cs="Arial" w:eastAsia="Arial" w:hAnsi="Arial"/>
          <w:sz w:val="19"/>
          <w:szCs w:val="19"/>
          <w:b w:val="1"/>
          <w:bCs w:val="1"/>
          <w:color w:val="011B2B"/>
        </w:rPr>
      </w:pPr>
    </w:p>
    <w:p>
      <w:pPr>
        <w:jc w:val="both"/>
        <w:ind w:left="660" w:hanging="328"/>
        <w:spacing w:after="0" w:line="271" w:lineRule="auto"/>
        <w:tabs>
          <w:tab w:leader="none" w:pos="642" w:val="left"/>
        </w:tabs>
        <w:numPr>
          <w:ilvl w:val="0"/>
          <w:numId w:val="189"/>
        </w:numPr>
        <w:rPr>
          <w:rFonts w:ascii="Arial" w:cs="Arial" w:eastAsia="Arial" w:hAnsi="Arial"/>
          <w:sz w:val="19"/>
          <w:szCs w:val="19"/>
          <w:b w:val="1"/>
          <w:bCs w:val="1"/>
          <w:color w:val="011B2B"/>
        </w:rPr>
      </w:pPr>
      <w:r>
        <w:rPr>
          <w:rFonts w:ascii="Arial" w:cs="Arial" w:eastAsia="Arial" w:hAnsi="Arial"/>
          <w:sz w:val="19"/>
          <w:szCs w:val="19"/>
          <w:b w:val="1"/>
          <w:bCs w:val="1"/>
          <w:color w:val="011B2B"/>
        </w:rPr>
        <w:t xml:space="preserve">Avoid Speculation. </w:t>
      </w:r>
      <w:r>
        <w:rPr>
          <w:rFonts w:ascii="Arial" w:cs="Arial" w:eastAsia="Arial" w:hAnsi="Arial"/>
          <w:sz w:val="19"/>
          <w:szCs w:val="19"/>
          <w:color w:val="011B2B"/>
        </w:rPr>
        <w:t>Investment in the Company and sharing in the growth of the Company does not mean short range</w:t>
      </w:r>
      <w:r>
        <w:rPr>
          <w:rFonts w:ascii="Arial" w:cs="Arial" w:eastAsia="Arial" w:hAnsi="Arial"/>
          <w:sz w:val="19"/>
          <w:szCs w:val="19"/>
          <w:b w:val="1"/>
          <w:bCs w:val="1"/>
          <w:color w:val="011B2B"/>
        </w:rPr>
        <w:t xml:space="preserve"> </w:t>
      </w:r>
      <w:r>
        <w:rPr>
          <w:rFonts w:ascii="Arial" w:cs="Arial" w:eastAsia="Arial" w:hAnsi="Arial"/>
          <w:sz w:val="19"/>
          <w:szCs w:val="19"/>
          <w:color w:val="011B2B"/>
        </w:rPr>
        <w:t>speculation based on fluctuations in the market. Such activities put the personal gain of the director, officer or employee in conflict with the best interests of the Company and its stockholders. Although this Policy does not mean that employees, officers or directors may never sell shares, the Company encourages directors, officers and employees to avoid frequent trading in Company stock. Speculating in Company stock is not part of the Company’s culture.</w:t>
      </w:r>
    </w:p>
    <w:p>
      <w:pPr>
        <w:spacing w:after="0" w:line="183" w:lineRule="exact"/>
        <w:rPr>
          <w:rFonts w:ascii="Arial" w:cs="Arial" w:eastAsia="Arial" w:hAnsi="Arial"/>
          <w:sz w:val="19"/>
          <w:szCs w:val="19"/>
          <w:b w:val="1"/>
          <w:bCs w:val="1"/>
          <w:color w:val="011B2B"/>
        </w:rPr>
      </w:pPr>
    </w:p>
    <w:p>
      <w:pPr>
        <w:ind w:left="640" w:hanging="308"/>
        <w:spacing w:after="0"/>
        <w:tabs>
          <w:tab w:leader="none" w:pos="640" w:val="left"/>
        </w:tabs>
        <w:numPr>
          <w:ilvl w:val="0"/>
          <w:numId w:val="189"/>
        </w:numPr>
        <w:rPr>
          <w:rFonts w:ascii="Arial" w:cs="Arial" w:eastAsia="Arial" w:hAnsi="Arial"/>
          <w:sz w:val="19"/>
          <w:szCs w:val="19"/>
          <w:b w:val="1"/>
          <w:bCs w:val="1"/>
          <w:color w:val="011B2B"/>
        </w:rPr>
      </w:pPr>
      <w:r>
        <w:rPr>
          <w:rFonts w:ascii="Arial" w:cs="Arial" w:eastAsia="Arial" w:hAnsi="Arial"/>
          <w:sz w:val="19"/>
          <w:szCs w:val="19"/>
          <w:b w:val="1"/>
          <w:bCs w:val="1"/>
          <w:color w:val="011B2B"/>
        </w:rPr>
        <w:t>Account and Trading Restrictions and Requirements.</w:t>
      </w:r>
    </w:p>
    <w:p>
      <w:pPr>
        <w:spacing w:after="0" w:line="132" w:lineRule="exact"/>
        <w:rPr>
          <w:rFonts w:ascii="Arial" w:cs="Arial" w:eastAsia="Arial" w:hAnsi="Arial"/>
          <w:sz w:val="19"/>
          <w:szCs w:val="19"/>
          <w:b w:val="1"/>
          <w:bCs w:val="1"/>
          <w:color w:val="011B2B"/>
        </w:rPr>
      </w:pPr>
    </w:p>
    <w:p>
      <w:pPr>
        <w:jc w:val="both"/>
        <w:ind w:left="980" w:hanging="324"/>
        <w:spacing w:after="0" w:line="275" w:lineRule="auto"/>
        <w:tabs>
          <w:tab w:leader="none" w:pos="979" w:val="left"/>
        </w:tabs>
        <w:numPr>
          <w:ilvl w:val="1"/>
          <w:numId w:val="189"/>
        </w:numPr>
        <w:rPr>
          <w:rFonts w:ascii="Times New Roman" w:cs="Times New Roman" w:eastAsia="Times New Roman" w:hAnsi="Times New Roman"/>
          <w:sz w:val="19"/>
          <w:szCs w:val="19"/>
          <w:color w:val="0626A9"/>
        </w:rPr>
      </w:pPr>
      <w:r>
        <w:rPr>
          <w:rFonts w:ascii="Arial" w:cs="Arial" w:eastAsia="Arial" w:hAnsi="Arial"/>
          <w:sz w:val="19"/>
          <w:szCs w:val="19"/>
          <w:b w:val="1"/>
          <w:bCs w:val="1"/>
          <w:color w:val="011B2B"/>
        </w:rPr>
        <w:t xml:space="preserve">Permitted Accounts. </w:t>
      </w:r>
      <w:r>
        <w:rPr>
          <w:rFonts w:ascii="Arial" w:cs="Arial" w:eastAsia="Arial" w:hAnsi="Arial"/>
          <w:sz w:val="19"/>
          <w:szCs w:val="19"/>
          <w:color w:val="011B2B"/>
        </w:rPr>
        <w:t>All employees receiving MSCI stock, Restricted Stock Units (“RSU”s), Performance Stock Units</w:t>
      </w:r>
      <w:r>
        <w:rPr>
          <w:rFonts w:ascii="Arial" w:cs="Arial" w:eastAsia="Arial" w:hAnsi="Arial"/>
          <w:sz w:val="19"/>
          <w:szCs w:val="19"/>
          <w:b w:val="1"/>
          <w:bCs w:val="1"/>
          <w:color w:val="011B2B"/>
        </w:rPr>
        <w:t xml:space="preserve"> </w:t>
      </w:r>
      <w:r>
        <w:rPr>
          <w:rFonts w:ascii="Arial" w:cs="Arial" w:eastAsia="Arial" w:hAnsi="Arial"/>
          <w:sz w:val="19"/>
          <w:szCs w:val="19"/>
          <w:color w:val="011B2B"/>
        </w:rPr>
        <w:t>(“PSU”s), stock options or other securities received as part of their MSCI compensation are provided an E*Trade account. Employees may only hold MSCI stock, RSUs and PSUs, stock options and other securities, and may only trade MSCI stock, through E*Trade or other designated brokers that report employee transactions to MSCI via the Compliance Portal for monitoring.</w:t>
      </w:r>
    </w:p>
    <w:p>
      <w:pPr>
        <w:spacing w:after="0" w:line="70" w:lineRule="exact"/>
        <w:rPr>
          <w:rFonts w:ascii="Times New Roman" w:cs="Times New Roman" w:eastAsia="Times New Roman" w:hAnsi="Times New Roman"/>
          <w:sz w:val="19"/>
          <w:szCs w:val="19"/>
          <w:color w:val="0626A9"/>
        </w:rPr>
      </w:pPr>
    </w:p>
    <w:p>
      <w:pPr>
        <w:ind w:left="980" w:hanging="324"/>
        <w:spacing w:after="0"/>
        <w:tabs>
          <w:tab w:leader="none" w:pos="980" w:val="left"/>
        </w:tabs>
        <w:numPr>
          <w:ilvl w:val="1"/>
          <w:numId w:val="189"/>
        </w:numPr>
        <w:rPr>
          <w:rFonts w:ascii="Times New Roman" w:cs="Times New Roman" w:eastAsia="Times New Roman" w:hAnsi="Times New Roman"/>
          <w:sz w:val="19"/>
          <w:szCs w:val="19"/>
          <w:color w:val="0626A9"/>
        </w:rPr>
      </w:pPr>
      <w:r>
        <w:rPr>
          <w:rFonts w:ascii="Arial" w:cs="Arial" w:eastAsia="Arial" w:hAnsi="Arial"/>
          <w:sz w:val="19"/>
          <w:szCs w:val="19"/>
          <w:b w:val="1"/>
          <w:bCs w:val="1"/>
          <w:color w:val="011B2B"/>
        </w:rPr>
        <w:t>Trading Windows.</w:t>
      </w:r>
    </w:p>
    <w:p>
      <w:pPr>
        <w:spacing w:after="0" w:line="131" w:lineRule="exact"/>
        <w:rPr>
          <w:rFonts w:ascii="Times New Roman" w:cs="Times New Roman" w:eastAsia="Times New Roman" w:hAnsi="Times New Roman"/>
          <w:sz w:val="19"/>
          <w:szCs w:val="19"/>
          <w:color w:val="0626A9"/>
        </w:rPr>
      </w:pPr>
    </w:p>
    <w:p>
      <w:pPr>
        <w:jc w:val="both"/>
        <w:ind w:left="1960" w:hanging="332"/>
        <w:spacing w:after="0" w:line="271" w:lineRule="auto"/>
        <w:tabs>
          <w:tab w:leader="none" w:pos="1952" w:val="left"/>
        </w:tabs>
        <w:numPr>
          <w:ilvl w:val="2"/>
          <w:numId w:val="189"/>
        </w:numPr>
        <w:rPr>
          <w:rFonts w:ascii="Courier New" w:cs="Courier New" w:eastAsia="Courier New" w:hAnsi="Courier New"/>
          <w:sz w:val="19"/>
          <w:szCs w:val="19"/>
          <w:color w:val="0626A9"/>
        </w:rPr>
      </w:pPr>
      <w:r>
        <w:rPr>
          <w:rFonts w:ascii="Arial" w:cs="Arial" w:eastAsia="Arial" w:hAnsi="Arial"/>
          <w:sz w:val="19"/>
          <w:szCs w:val="19"/>
          <w:color w:val="011B2B"/>
        </w:rPr>
        <w:t>Trading in MSCI securities and any exercise of employee stock options are only permitted during open trading windows (“Trading Window”). Typically, the Trading Window is open from the start of the third full trading day following an earnings release with respect to the preceding fiscal period through the fifth day of the last month of the then current fiscal quarter.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6 of 18</w:t>
      </w:r>
    </w:p>
    <w:p>
      <w:pPr>
        <w:sectPr>
          <w:pgSz w:w="11900" w:h="16838" w:orient="portrait"/>
          <w:cols w:equalWidth="0" w:num="2">
            <w:col w:w="8620" w:space="720"/>
            <w:col w:w="1900"/>
          </w:cols>
          <w:pgMar w:left="320" w:top="895" w:right="339" w:bottom="1440" w:gutter="0" w:footer="0" w:header="0"/>
          <w:type w:val="continuous"/>
        </w:sectPr>
      </w:pPr>
    </w:p>
    <w:bookmarkStart w:id="199" w:name="page200"/>
    <w:bookmarkEnd w:id="199"/>
    <w:p>
      <w:pPr>
        <w:ind w:left="432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920" w:right="20" w:hanging="332"/>
        <w:spacing w:after="0" w:line="300" w:lineRule="auto"/>
        <w:tabs>
          <w:tab w:leader="none" w:pos="1915" w:val="left"/>
        </w:tabs>
        <w:numPr>
          <w:ilvl w:val="0"/>
          <w:numId w:val="190"/>
        </w:numPr>
        <w:rPr>
          <w:rFonts w:ascii="Arial" w:cs="Arial" w:eastAsia="Arial" w:hAnsi="Arial"/>
          <w:sz w:val="18"/>
          <w:szCs w:val="18"/>
          <w:color w:val="011B2B"/>
        </w:rPr>
      </w:pPr>
      <w:r>
        <w:rPr>
          <w:rFonts w:ascii="Arial" w:cs="Arial" w:eastAsia="Arial" w:hAnsi="Arial"/>
          <w:sz w:val="19"/>
          <w:szCs w:val="19"/>
          <w:color w:val="011B2B"/>
        </w:rPr>
        <w:t>Modifications to Trading Windows including additional or extended trading blackout periods may be imposed by the General Counsel or his or her designees from time to time.</w:t>
      </w:r>
    </w:p>
    <w:p>
      <w:pPr>
        <w:spacing w:after="0" w:line="34" w:lineRule="exact"/>
        <w:rPr>
          <w:rFonts w:ascii="Arial" w:cs="Arial" w:eastAsia="Arial" w:hAnsi="Arial"/>
          <w:sz w:val="18"/>
          <w:szCs w:val="18"/>
          <w:color w:val="011B2B"/>
        </w:rPr>
      </w:pPr>
    </w:p>
    <w:p>
      <w:pPr>
        <w:ind w:left="1900" w:hanging="312"/>
        <w:spacing w:after="0"/>
        <w:tabs>
          <w:tab w:leader="none" w:pos="1900" w:val="left"/>
        </w:tabs>
        <w:numPr>
          <w:ilvl w:val="0"/>
          <w:numId w:val="190"/>
        </w:numPr>
        <w:rPr>
          <w:rFonts w:ascii="Arial" w:cs="Arial" w:eastAsia="Arial" w:hAnsi="Arial"/>
          <w:sz w:val="18"/>
          <w:szCs w:val="18"/>
          <w:color w:val="011B2B"/>
        </w:rPr>
      </w:pPr>
      <w:r>
        <w:rPr>
          <w:rFonts w:ascii="Arial" w:cs="Arial" w:eastAsia="Arial" w:hAnsi="Arial"/>
          <w:sz w:val="19"/>
          <w:szCs w:val="19"/>
          <w:color w:val="011B2B"/>
        </w:rPr>
        <w:t>The Legal and Compliance department will announce when a Trading Window opens and closes.</w:t>
      </w:r>
    </w:p>
    <w:p>
      <w:pPr>
        <w:spacing w:after="0" w:line="132" w:lineRule="exact"/>
        <w:rPr>
          <w:rFonts w:ascii="Arial" w:cs="Arial" w:eastAsia="Arial" w:hAnsi="Arial"/>
          <w:sz w:val="18"/>
          <w:szCs w:val="18"/>
          <w:color w:val="011B2B"/>
        </w:rPr>
      </w:pPr>
    </w:p>
    <w:p>
      <w:pPr>
        <w:jc w:val="both"/>
        <w:ind w:left="1920" w:hanging="332"/>
        <w:spacing w:after="0" w:line="283" w:lineRule="auto"/>
        <w:tabs>
          <w:tab w:leader="none" w:pos="1915" w:val="left"/>
        </w:tabs>
        <w:numPr>
          <w:ilvl w:val="0"/>
          <w:numId w:val="190"/>
        </w:numPr>
        <w:rPr>
          <w:rFonts w:ascii="Arial" w:cs="Arial" w:eastAsia="Arial" w:hAnsi="Arial"/>
          <w:sz w:val="18"/>
          <w:szCs w:val="18"/>
          <w:color w:val="011B2B"/>
        </w:rPr>
      </w:pPr>
      <w:r>
        <w:rPr>
          <w:rFonts w:ascii="Arial" w:cs="Arial" w:eastAsia="Arial" w:hAnsi="Arial"/>
          <w:sz w:val="19"/>
          <w:szCs w:val="19"/>
          <w:color w:val="011B2B"/>
        </w:rPr>
        <w:t>Requests for exceptions to trade outside of an open Trading Window will only be granted by the General Counsel for reasons of exceptional personal hardship and will be subject to written certification that you do not possess any material inside information.</w:t>
      </w:r>
    </w:p>
    <w:p>
      <w:pPr>
        <w:spacing w:after="0" w:line="64" w:lineRule="exact"/>
        <w:rPr>
          <w:rFonts w:ascii="Arial" w:cs="Arial" w:eastAsia="Arial" w:hAnsi="Arial"/>
          <w:sz w:val="18"/>
          <w:szCs w:val="18"/>
          <w:color w:val="011B2B"/>
        </w:rPr>
      </w:pPr>
    </w:p>
    <w:p>
      <w:pPr>
        <w:jc w:val="both"/>
        <w:ind w:left="1920" w:hanging="332"/>
        <w:spacing w:after="0" w:line="283" w:lineRule="auto"/>
        <w:tabs>
          <w:tab w:leader="none" w:pos="1915" w:val="left"/>
        </w:tabs>
        <w:numPr>
          <w:ilvl w:val="0"/>
          <w:numId w:val="190"/>
        </w:numPr>
        <w:rPr>
          <w:rFonts w:ascii="Arial" w:cs="Arial" w:eastAsia="Arial" w:hAnsi="Arial"/>
          <w:sz w:val="18"/>
          <w:szCs w:val="18"/>
          <w:color w:val="011B2B"/>
        </w:rPr>
      </w:pPr>
      <w:r>
        <w:rPr>
          <w:rFonts w:ascii="Arial" w:cs="Arial" w:eastAsia="Arial" w:hAnsi="Arial"/>
          <w:sz w:val="19"/>
          <w:szCs w:val="19"/>
          <w:color w:val="011B2B"/>
        </w:rPr>
        <w:t>In limited circumstances, charitable contributions, gifts and certain other transfers or dispositions of MSCI stock may be permitted outside of a Trading Window subject to pre-approval by the Company’s General Counsel or his or her designee.</w:t>
      </w:r>
    </w:p>
    <w:p>
      <w:pPr>
        <w:spacing w:after="0" w:line="50" w:lineRule="exact"/>
        <w:rPr>
          <w:rFonts w:ascii="Arial" w:cs="Arial" w:eastAsia="Arial" w:hAnsi="Arial"/>
          <w:sz w:val="18"/>
          <w:szCs w:val="18"/>
          <w:color w:val="011B2B"/>
        </w:rPr>
      </w:pPr>
    </w:p>
    <w:p>
      <w:pPr>
        <w:jc w:val="both"/>
        <w:ind w:left="2240" w:hanging="328"/>
        <w:spacing w:after="0" w:line="283" w:lineRule="auto"/>
        <w:tabs>
          <w:tab w:leader="none" w:pos="2239" w:val="left"/>
        </w:tabs>
        <w:numPr>
          <w:ilvl w:val="1"/>
          <w:numId w:val="190"/>
        </w:numPr>
        <w:rPr>
          <w:rFonts w:ascii="Times New Roman" w:cs="Times New Roman" w:eastAsia="Times New Roman" w:hAnsi="Times New Roman"/>
          <w:sz w:val="19"/>
          <w:szCs w:val="19"/>
          <w:color w:val="0626A9"/>
        </w:rPr>
      </w:pPr>
      <w:r>
        <w:rPr>
          <w:rFonts w:ascii="Arial" w:cs="Arial" w:eastAsia="Arial" w:hAnsi="Arial"/>
          <w:sz w:val="19"/>
          <w:szCs w:val="19"/>
          <w:b w:val="1"/>
          <w:bCs w:val="1"/>
          <w:color w:val="011B2B"/>
        </w:rPr>
        <w:t xml:space="preserve">Holding Periods. </w:t>
      </w:r>
      <w:r>
        <w:rPr>
          <w:rFonts w:ascii="Arial" w:cs="Arial" w:eastAsia="Arial" w:hAnsi="Arial"/>
          <w:sz w:val="19"/>
          <w:szCs w:val="19"/>
          <w:color w:val="011B2B"/>
        </w:rPr>
        <w:t>You must hold all positions in MSCI securities for a minimum of 90 days (shares</w:t>
      </w:r>
      <w:r>
        <w:rPr>
          <w:rFonts w:ascii="Arial" w:cs="Arial" w:eastAsia="Arial" w:hAnsi="Arial"/>
          <w:sz w:val="19"/>
          <w:szCs w:val="19"/>
          <w:b w:val="1"/>
          <w:bCs w:val="1"/>
          <w:color w:val="011B2B"/>
        </w:rPr>
        <w:t xml:space="preserve"> </w:t>
      </w:r>
      <w:r>
        <w:rPr>
          <w:rFonts w:ascii="Arial" w:cs="Arial" w:eastAsia="Arial" w:hAnsi="Arial"/>
          <w:sz w:val="19"/>
          <w:szCs w:val="19"/>
          <w:color w:val="011B2B"/>
        </w:rPr>
        <w:t>acquired by exercising an employee stock option, or upon conversion of a restricted or performance stock unit, held for the required period do not need to be held for any additional amount of time).</w:t>
      </w:r>
    </w:p>
    <w:p>
      <w:pPr>
        <w:spacing w:after="0" w:line="63" w:lineRule="exact"/>
        <w:rPr>
          <w:rFonts w:ascii="Times New Roman" w:cs="Times New Roman" w:eastAsia="Times New Roman" w:hAnsi="Times New Roman"/>
          <w:sz w:val="19"/>
          <w:szCs w:val="19"/>
          <w:color w:val="0626A9"/>
        </w:rPr>
      </w:pPr>
    </w:p>
    <w:p>
      <w:pPr>
        <w:jc w:val="both"/>
        <w:ind w:left="2240" w:hanging="328"/>
        <w:spacing w:after="0" w:line="277" w:lineRule="auto"/>
        <w:tabs>
          <w:tab w:leader="none" w:pos="2239" w:val="left"/>
        </w:tabs>
        <w:numPr>
          <w:ilvl w:val="1"/>
          <w:numId w:val="190"/>
        </w:numPr>
        <w:rPr>
          <w:rFonts w:ascii="Times New Roman" w:cs="Times New Roman" w:eastAsia="Times New Roman" w:hAnsi="Times New Roman"/>
          <w:sz w:val="19"/>
          <w:szCs w:val="19"/>
          <w:color w:val="0626A9"/>
        </w:rPr>
      </w:pPr>
      <w:r>
        <w:rPr>
          <w:rFonts w:ascii="Arial" w:cs="Arial" w:eastAsia="Arial" w:hAnsi="Arial"/>
          <w:sz w:val="19"/>
          <w:szCs w:val="19"/>
          <w:b w:val="1"/>
          <w:bCs w:val="1"/>
          <w:color w:val="011B2B"/>
        </w:rPr>
        <w:t xml:space="preserve">Pre-Approval. </w:t>
      </w:r>
      <w:r>
        <w:rPr>
          <w:rFonts w:ascii="Arial" w:cs="Arial" w:eastAsia="Arial" w:hAnsi="Arial"/>
          <w:sz w:val="19"/>
          <w:szCs w:val="19"/>
          <w:color w:val="011B2B"/>
        </w:rPr>
        <w:t>You must pre-clear and obtain pre-approval for all transactions in MSCI securities from the</w:t>
      </w:r>
      <w:r>
        <w:rPr>
          <w:rFonts w:ascii="Arial" w:cs="Arial" w:eastAsia="Arial" w:hAnsi="Arial"/>
          <w:sz w:val="19"/>
          <w:szCs w:val="19"/>
          <w:b w:val="1"/>
          <w:bCs w:val="1"/>
          <w:color w:val="011B2B"/>
        </w:rPr>
        <w:t xml:space="preserve"> </w:t>
      </w:r>
      <w:r>
        <w:rPr>
          <w:rFonts w:ascii="Arial" w:cs="Arial" w:eastAsia="Arial" w:hAnsi="Arial"/>
          <w:sz w:val="19"/>
          <w:szCs w:val="19"/>
          <w:color w:val="011B2B"/>
        </w:rPr>
        <w:t>Company’s General Counsel or his or her designee by submitting a request through the Compliance Portal. In the case of non-employee directors of MSCI Inc., pre-approval may be obtained via email confirmation from the General Counsel or his or her designee.</w:t>
      </w:r>
    </w:p>
    <w:p>
      <w:pPr>
        <w:spacing w:after="0" w:line="70" w:lineRule="exact"/>
        <w:rPr>
          <w:rFonts w:ascii="Times New Roman" w:cs="Times New Roman" w:eastAsia="Times New Roman" w:hAnsi="Times New Roman"/>
          <w:sz w:val="19"/>
          <w:szCs w:val="19"/>
          <w:color w:val="0626A9"/>
        </w:rPr>
      </w:pPr>
    </w:p>
    <w:p>
      <w:pPr>
        <w:jc w:val="both"/>
        <w:ind w:left="2240" w:hanging="328"/>
        <w:spacing w:after="0" w:line="271" w:lineRule="auto"/>
        <w:tabs>
          <w:tab w:leader="none" w:pos="2239" w:val="left"/>
        </w:tabs>
        <w:numPr>
          <w:ilvl w:val="1"/>
          <w:numId w:val="190"/>
        </w:numPr>
        <w:rPr>
          <w:rFonts w:ascii="Arial" w:cs="Arial" w:eastAsia="Arial" w:hAnsi="Arial"/>
          <w:sz w:val="19"/>
          <w:szCs w:val="19"/>
          <w:color w:val="011B2B"/>
        </w:rPr>
      </w:pPr>
      <w:r>
        <w:rPr>
          <w:rFonts w:ascii="Arial" w:cs="Arial" w:eastAsia="Arial" w:hAnsi="Arial"/>
          <w:sz w:val="19"/>
          <w:szCs w:val="19"/>
          <w:color w:val="011B2B"/>
        </w:rPr>
        <w:t>The automatic exercise and any related “net exercise” of a stock option or stock appreciation right in connection with the relevant award’s expiration date pursuant to the terms of the applicable award agreement is not subject to the restrictions set forth above relating to Trading Window periods and pre-clearance and pre-approval procedures. However, any shares acquired via any such automatic exercise will remain subject to the requirements of this policy.</w:t>
      </w:r>
    </w:p>
    <w:p>
      <w:pPr>
        <w:spacing w:after="0" w:line="62" w:lineRule="exact"/>
        <w:rPr>
          <w:rFonts w:ascii="Arial" w:cs="Arial" w:eastAsia="Arial" w:hAnsi="Arial"/>
          <w:sz w:val="19"/>
          <w:szCs w:val="19"/>
          <w:color w:val="011B2B"/>
        </w:rPr>
      </w:pPr>
    </w:p>
    <w:p>
      <w:pPr>
        <w:jc w:val="both"/>
        <w:ind w:left="2240" w:hanging="328"/>
        <w:spacing w:after="0" w:line="283" w:lineRule="auto"/>
        <w:tabs>
          <w:tab w:leader="none" w:pos="2239" w:val="left"/>
        </w:tabs>
        <w:numPr>
          <w:ilvl w:val="1"/>
          <w:numId w:val="190"/>
        </w:numPr>
        <w:rPr>
          <w:rFonts w:ascii="Times New Roman" w:cs="Times New Roman" w:eastAsia="Times New Roman" w:hAnsi="Times New Roman"/>
          <w:sz w:val="19"/>
          <w:szCs w:val="19"/>
          <w:color w:val="0626A9"/>
        </w:rPr>
      </w:pPr>
      <w:r>
        <w:rPr>
          <w:rFonts w:ascii="Arial" w:cs="Arial" w:eastAsia="Arial" w:hAnsi="Arial"/>
          <w:sz w:val="19"/>
          <w:szCs w:val="19"/>
          <w:b w:val="1"/>
          <w:bCs w:val="1"/>
          <w:color w:val="011B2B"/>
        </w:rPr>
        <w:t xml:space="preserve">Additional Requirements. </w:t>
      </w:r>
      <w:r>
        <w:rPr>
          <w:rFonts w:ascii="Arial" w:cs="Arial" w:eastAsia="Arial" w:hAnsi="Arial"/>
          <w:sz w:val="19"/>
          <w:szCs w:val="19"/>
          <w:color w:val="011B2B"/>
        </w:rPr>
        <w:t>Additional requirements or restrictions may by imposed by the General</w:t>
      </w:r>
      <w:r>
        <w:rPr>
          <w:rFonts w:ascii="Arial" w:cs="Arial" w:eastAsia="Arial" w:hAnsi="Arial"/>
          <w:sz w:val="19"/>
          <w:szCs w:val="19"/>
          <w:b w:val="1"/>
          <w:bCs w:val="1"/>
          <w:color w:val="011B2B"/>
        </w:rPr>
        <w:t xml:space="preserve"> </w:t>
      </w:r>
      <w:r>
        <w:rPr>
          <w:rFonts w:ascii="Arial" w:cs="Arial" w:eastAsia="Arial" w:hAnsi="Arial"/>
          <w:sz w:val="19"/>
          <w:szCs w:val="19"/>
          <w:color w:val="011B2B"/>
        </w:rPr>
        <w:t>Counsel or his or her designee from time to time. You are responsible for reading and following all announcements from the Legal and Compliance Department.</w:t>
      </w:r>
    </w:p>
    <w:p>
      <w:pPr>
        <w:sectPr>
          <w:pgSz w:w="11900" w:h="16838" w:orient="portrait"/>
          <w:cols w:equalWidth="0" w:num="1">
            <w:col w:w="11200"/>
          </w:cols>
          <w:pgMar w:left="36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45262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7 of 18</w:t>
      </w:r>
    </w:p>
    <w:p>
      <w:pPr>
        <w:sectPr>
          <w:pgSz w:w="11900" w:h="16838" w:orient="portrait"/>
          <w:cols w:equalWidth="0" w:num="2">
            <w:col w:w="8580" w:space="720"/>
            <w:col w:w="1900"/>
          </w:cols>
          <w:pgMar w:left="360" w:top="895" w:right="339" w:bottom="1440" w:gutter="0" w:footer="0" w:header="0"/>
          <w:type w:val="continuous"/>
        </w:sectPr>
      </w:pPr>
    </w:p>
    <w:bookmarkStart w:id="200" w:name="page201"/>
    <w:bookmarkEnd w:id="200"/>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11B2B"/>
        </w:rPr>
        <w:t>D. EXCEPTIONS FOR TRANSFERS PURSUANT TO RULE 10b5-1</w:t>
      </w:r>
    </w:p>
    <w:p>
      <w:pPr>
        <w:spacing w:after="0" w:line="140" w:lineRule="exact"/>
        <w:rPr>
          <w:sz w:val="20"/>
          <w:szCs w:val="20"/>
          <w:color w:val="auto"/>
        </w:rPr>
      </w:pPr>
    </w:p>
    <w:p>
      <w:pPr>
        <w:spacing w:after="0" w:line="300" w:lineRule="auto"/>
        <w:rPr>
          <w:sz w:val="20"/>
          <w:szCs w:val="20"/>
          <w:color w:val="auto"/>
        </w:rPr>
      </w:pPr>
      <w:r>
        <w:rPr>
          <w:rFonts w:ascii="Arial" w:cs="Arial" w:eastAsia="Arial" w:hAnsi="Arial"/>
          <w:sz w:val="19"/>
          <w:szCs w:val="19"/>
          <w:color w:val="011B2B"/>
        </w:rPr>
        <w:t>Under Rule 10b5-1, employees can establish an affirmative defense to allegations of insider-trading when their trades are made pursuant to a written contract, letter of instruction or plan that complies with Rule 10b5-1.</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011B2B"/>
        </w:rPr>
        <w:t>Procedures for Approving Trades Under Rule 10b5-1 Plans</w:t>
      </w:r>
    </w:p>
    <w:p>
      <w:pPr>
        <w:spacing w:after="0" w:line="119" w:lineRule="exact"/>
        <w:rPr>
          <w:sz w:val="20"/>
          <w:szCs w:val="20"/>
          <w:color w:val="auto"/>
        </w:rPr>
      </w:pPr>
    </w:p>
    <w:p>
      <w:pPr>
        <w:ind w:left="340" w:hanging="332"/>
        <w:spacing w:after="0" w:line="299" w:lineRule="auto"/>
        <w:tabs>
          <w:tab w:leader="none" w:pos="339" w:val="left"/>
        </w:tabs>
        <w:numPr>
          <w:ilvl w:val="0"/>
          <w:numId w:val="191"/>
        </w:numPr>
        <w:rPr>
          <w:rFonts w:ascii="Times New Roman" w:cs="Times New Roman" w:eastAsia="Times New Roman" w:hAnsi="Times New Roman"/>
          <w:sz w:val="19"/>
          <w:szCs w:val="19"/>
          <w:color w:val="0626A9"/>
        </w:rPr>
      </w:pPr>
      <w:r>
        <w:rPr>
          <w:rFonts w:ascii="Arial" w:cs="Arial" w:eastAsia="Arial" w:hAnsi="Arial"/>
          <w:sz w:val="19"/>
          <w:szCs w:val="19"/>
          <w:color w:val="011B2B"/>
        </w:rPr>
        <w:t>Directors, officers and employees may only enter into or modify trading plans during a Trading Window and when they are not aware of material inside information.</w:t>
      </w:r>
    </w:p>
    <w:p>
      <w:pPr>
        <w:spacing w:after="0" w:line="48" w:lineRule="exact"/>
        <w:rPr>
          <w:rFonts w:ascii="Times New Roman" w:cs="Times New Roman" w:eastAsia="Times New Roman" w:hAnsi="Times New Roman"/>
          <w:sz w:val="19"/>
          <w:szCs w:val="19"/>
          <w:color w:val="0626A9"/>
        </w:rPr>
      </w:pPr>
    </w:p>
    <w:p>
      <w:pPr>
        <w:ind w:left="340" w:hanging="332"/>
        <w:spacing w:after="0"/>
        <w:tabs>
          <w:tab w:leader="none" w:pos="340" w:val="left"/>
        </w:tabs>
        <w:numPr>
          <w:ilvl w:val="0"/>
          <w:numId w:val="191"/>
        </w:numPr>
        <w:rPr>
          <w:rFonts w:ascii="Times New Roman" w:cs="Times New Roman" w:eastAsia="Times New Roman" w:hAnsi="Times New Roman"/>
          <w:sz w:val="19"/>
          <w:szCs w:val="19"/>
          <w:color w:val="0626A9"/>
        </w:rPr>
      </w:pPr>
      <w:r>
        <w:rPr>
          <w:rFonts w:ascii="Arial" w:cs="Arial" w:eastAsia="Arial" w:hAnsi="Arial"/>
          <w:sz w:val="19"/>
          <w:szCs w:val="19"/>
          <w:color w:val="011B2B"/>
        </w:rPr>
        <w:t>No trades shall be treated as having been made pursuant to a Rule 10b5-1 Plan under this Policy unless:</w:t>
      </w:r>
    </w:p>
    <w:p>
      <w:pPr>
        <w:spacing w:after="0" w:line="131" w:lineRule="exact"/>
        <w:rPr>
          <w:rFonts w:ascii="Times New Roman" w:cs="Times New Roman" w:eastAsia="Times New Roman" w:hAnsi="Times New Roman"/>
          <w:sz w:val="19"/>
          <w:szCs w:val="19"/>
          <w:color w:val="0626A9"/>
        </w:rPr>
      </w:pPr>
    </w:p>
    <w:p>
      <w:pPr>
        <w:ind w:left="640" w:hanging="308"/>
        <w:spacing w:after="0"/>
        <w:tabs>
          <w:tab w:leader="none" w:pos="640" w:val="left"/>
        </w:tabs>
        <w:numPr>
          <w:ilvl w:val="1"/>
          <w:numId w:val="191"/>
        </w:numPr>
        <w:rPr>
          <w:rFonts w:ascii="Courier New" w:cs="Courier New" w:eastAsia="Courier New" w:hAnsi="Courier New"/>
          <w:sz w:val="19"/>
          <w:szCs w:val="19"/>
          <w:color w:val="0626A9"/>
        </w:rPr>
      </w:pPr>
      <w:r>
        <w:rPr>
          <w:rFonts w:ascii="Arial" w:cs="Arial" w:eastAsia="Arial" w:hAnsi="Arial"/>
          <w:sz w:val="19"/>
          <w:szCs w:val="19"/>
          <w:color w:val="011B2B"/>
        </w:rPr>
        <w:t>The Rule 10b5-1 Plan complies with the requirements of Rule 10b5-1;</w:t>
      </w:r>
    </w:p>
    <w:p>
      <w:pPr>
        <w:spacing w:after="0" w:line="129" w:lineRule="exact"/>
        <w:rPr>
          <w:rFonts w:ascii="Courier New" w:cs="Courier New" w:eastAsia="Courier New" w:hAnsi="Courier New"/>
          <w:sz w:val="19"/>
          <w:szCs w:val="19"/>
          <w:color w:val="0626A9"/>
        </w:rPr>
      </w:pPr>
    </w:p>
    <w:p>
      <w:pPr>
        <w:ind w:left="660" w:right="20" w:hanging="328"/>
        <w:spacing w:after="0" w:line="296" w:lineRule="auto"/>
        <w:tabs>
          <w:tab w:leader="none" w:pos="652" w:val="left"/>
        </w:tabs>
        <w:numPr>
          <w:ilvl w:val="1"/>
          <w:numId w:val="191"/>
        </w:numPr>
        <w:rPr>
          <w:rFonts w:ascii="Courier New" w:cs="Courier New" w:eastAsia="Courier New" w:hAnsi="Courier New"/>
          <w:sz w:val="19"/>
          <w:szCs w:val="19"/>
          <w:color w:val="0626A9"/>
        </w:rPr>
      </w:pPr>
      <w:r>
        <w:rPr>
          <w:rFonts w:ascii="Arial" w:cs="Arial" w:eastAsia="Arial" w:hAnsi="Arial"/>
          <w:sz w:val="19"/>
          <w:szCs w:val="19"/>
          <w:color w:val="011B2B"/>
        </w:rPr>
        <w:t>The General Counsel or his or her designee has approved the Rule 10b5-1 Plan, and has certified such approval in writing at least two weeks in advance of the first trade thereunder; and</w:t>
      </w:r>
    </w:p>
    <w:p>
      <w:pPr>
        <w:spacing w:after="0" w:line="47" w:lineRule="exact"/>
        <w:rPr>
          <w:rFonts w:ascii="Courier New" w:cs="Courier New" w:eastAsia="Courier New" w:hAnsi="Courier New"/>
          <w:sz w:val="19"/>
          <w:szCs w:val="19"/>
          <w:color w:val="0626A9"/>
        </w:rPr>
      </w:pPr>
    </w:p>
    <w:p>
      <w:pPr>
        <w:ind w:left="660" w:right="20" w:hanging="328"/>
        <w:spacing w:after="0" w:line="296" w:lineRule="auto"/>
        <w:tabs>
          <w:tab w:leader="none" w:pos="652" w:val="left"/>
        </w:tabs>
        <w:numPr>
          <w:ilvl w:val="1"/>
          <w:numId w:val="191"/>
        </w:numPr>
        <w:rPr>
          <w:rFonts w:ascii="Courier New" w:cs="Courier New" w:eastAsia="Courier New" w:hAnsi="Courier New"/>
          <w:sz w:val="19"/>
          <w:szCs w:val="19"/>
          <w:color w:val="0626A9"/>
        </w:rPr>
      </w:pPr>
      <w:r>
        <w:rPr>
          <w:rFonts w:ascii="Arial" w:cs="Arial" w:eastAsia="Arial" w:hAnsi="Arial"/>
          <w:sz w:val="19"/>
          <w:szCs w:val="19"/>
          <w:color w:val="011B2B"/>
        </w:rPr>
        <w:t>The person establishing or modifying the Rule 10b5-1 Plan has certified to the General Counsel in writing no earlier than two business days prior to the date that the Rule 10b5-1 Plan is formally established or modified, that:</w:t>
      </w:r>
    </w:p>
    <w:p>
      <w:pPr>
        <w:spacing w:after="0" w:line="47" w:lineRule="exact"/>
        <w:rPr>
          <w:rFonts w:ascii="Courier New" w:cs="Courier New" w:eastAsia="Courier New" w:hAnsi="Courier New"/>
          <w:sz w:val="19"/>
          <w:szCs w:val="19"/>
          <w:color w:val="0626A9"/>
        </w:rPr>
      </w:pPr>
    </w:p>
    <w:p>
      <w:pPr>
        <w:jc w:val="both"/>
        <w:ind w:left="980" w:hanging="324"/>
        <w:spacing w:after="0" w:line="275" w:lineRule="auto"/>
        <w:tabs>
          <w:tab w:leader="none" w:pos="979" w:val="left"/>
        </w:tabs>
        <w:numPr>
          <w:ilvl w:val="2"/>
          <w:numId w:val="191"/>
        </w:numPr>
        <w:rPr>
          <w:rFonts w:ascii="Times New Roman" w:cs="Times New Roman" w:eastAsia="Times New Roman" w:hAnsi="Times New Roman"/>
          <w:sz w:val="19"/>
          <w:szCs w:val="19"/>
          <w:color w:val="0626A9"/>
        </w:rPr>
      </w:pPr>
      <w:r>
        <w:rPr>
          <w:rFonts w:ascii="Arial" w:cs="Arial" w:eastAsia="Arial" w:hAnsi="Arial"/>
          <w:sz w:val="19"/>
          <w:szCs w:val="19"/>
          <w:color w:val="011B2B"/>
        </w:rPr>
        <w:t>Such person is not in possession of material inside information concerning the Company and all such trades to be made pursuant to Rule 10b5-1 Plan will be made in accordance with the Securities Act of 1933 (the “1933 Act”) and the Securities Exchange Act of 1934 (the “1934 Act”);</w:t>
      </w:r>
    </w:p>
    <w:p>
      <w:pPr>
        <w:spacing w:after="0" w:line="71" w:lineRule="exact"/>
        <w:rPr>
          <w:rFonts w:ascii="Times New Roman" w:cs="Times New Roman" w:eastAsia="Times New Roman" w:hAnsi="Times New Roman"/>
          <w:sz w:val="19"/>
          <w:szCs w:val="19"/>
          <w:color w:val="0626A9"/>
        </w:rPr>
      </w:pPr>
    </w:p>
    <w:p>
      <w:pPr>
        <w:ind w:left="980" w:hanging="324"/>
        <w:spacing w:after="0"/>
        <w:tabs>
          <w:tab w:leader="none" w:pos="980" w:val="left"/>
        </w:tabs>
        <w:numPr>
          <w:ilvl w:val="2"/>
          <w:numId w:val="191"/>
        </w:numPr>
        <w:rPr>
          <w:rFonts w:ascii="Arial" w:cs="Arial" w:eastAsia="Arial" w:hAnsi="Arial"/>
          <w:sz w:val="19"/>
          <w:szCs w:val="19"/>
          <w:color w:val="0626A9"/>
        </w:rPr>
      </w:pPr>
      <w:r>
        <w:rPr>
          <w:rFonts w:ascii="Arial" w:cs="Arial" w:eastAsia="Arial" w:hAnsi="Arial"/>
          <w:sz w:val="19"/>
          <w:szCs w:val="19"/>
          <w:color w:val="011B2B"/>
        </w:rPr>
        <w:t>Such person has acted in good faith with respect to the Rule 10b5-1 Plan; and</w:t>
      </w:r>
    </w:p>
    <w:p>
      <w:pPr>
        <w:spacing w:after="0" w:line="132" w:lineRule="exact"/>
        <w:rPr>
          <w:rFonts w:ascii="Arial" w:cs="Arial" w:eastAsia="Arial" w:hAnsi="Arial"/>
          <w:sz w:val="19"/>
          <w:szCs w:val="19"/>
          <w:color w:val="0626A9"/>
        </w:rPr>
      </w:pPr>
    </w:p>
    <w:p>
      <w:pPr>
        <w:ind w:left="980" w:hanging="324"/>
        <w:spacing w:after="0"/>
        <w:tabs>
          <w:tab w:leader="none" w:pos="980" w:val="left"/>
        </w:tabs>
        <w:numPr>
          <w:ilvl w:val="2"/>
          <w:numId w:val="191"/>
        </w:numPr>
        <w:rPr>
          <w:rFonts w:ascii="Times New Roman" w:cs="Times New Roman" w:eastAsia="Times New Roman" w:hAnsi="Times New Roman"/>
          <w:sz w:val="19"/>
          <w:szCs w:val="19"/>
          <w:color w:val="0626A9"/>
        </w:rPr>
      </w:pPr>
      <w:r>
        <w:rPr>
          <w:rFonts w:ascii="Arial" w:cs="Arial" w:eastAsia="Arial" w:hAnsi="Arial"/>
          <w:sz w:val="19"/>
          <w:szCs w:val="19"/>
          <w:color w:val="011B2B"/>
        </w:rPr>
        <w:t>The Rule 10b5-1 Plan complies with the requirements of Rule 10b5-1, including:</w:t>
      </w:r>
    </w:p>
    <w:p>
      <w:pPr>
        <w:spacing w:after="0" w:line="131" w:lineRule="exact"/>
        <w:rPr>
          <w:rFonts w:ascii="Times New Roman" w:cs="Times New Roman" w:eastAsia="Times New Roman" w:hAnsi="Times New Roman"/>
          <w:sz w:val="19"/>
          <w:szCs w:val="19"/>
          <w:color w:val="0626A9"/>
        </w:rPr>
      </w:pPr>
    </w:p>
    <w:p>
      <w:pPr>
        <w:ind w:left="1300" w:hanging="320"/>
        <w:spacing w:after="0"/>
        <w:tabs>
          <w:tab w:leader="none" w:pos="1300" w:val="left"/>
        </w:tabs>
        <w:numPr>
          <w:ilvl w:val="3"/>
          <w:numId w:val="191"/>
        </w:numPr>
        <w:rPr>
          <w:rFonts w:ascii="Arial" w:cs="Arial" w:eastAsia="Arial" w:hAnsi="Arial"/>
          <w:sz w:val="18"/>
          <w:szCs w:val="18"/>
          <w:color w:val="011B2B"/>
        </w:rPr>
      </w:pPr>
      <w:r>
        <w:rPr>
          <w:rFonts w:ascii="Arial" w:cs="Arial" w:eastAsia="Arial" w:hAnsi="Arial"/>
          <w:sz w:val="19"/>
          <w:szCs w:val="19"/>
          <w:color w:val="011B2B"/>
        </w:rPr>
        <w:t>Cooling off periods</w:t>
      </w:r>
    </w:p>
    <w:p>
      <w:pPr>
        <w:spacing w:after="0" w:line="132" w:lineRule="exact"/>
        <w:rPr>
          <w:rFonts w:ascii="Arial" w:cs="Arial" w:eastAsia="Arial" w:hAnsi="Arial"/>
          <w:sz w:val="18"/>
          <w:szCs w:val="18"/>
          <w:color w:val="011B2B"/>
        </w:rPr>
      </w:pPr>
    </w:p>
    <w:p>
      <w:pPr>
        <w:jc w:val="both"/>
        <w:ind w:left="1960" w:hanging="332"/>
        <w:spacing w:after="0" w:line="273" w:lineRule="auto"/>
        <w:tabs>
          <w:tab w:leader="none" w:pos="1970" w:val="left"/>
        </w:tabs>
        <w:numPr>
          <w:ilvl w:val="4"/>
          <w:numId w:val="191"/>
        </w:numPr>
        <w:rPr>
          <w:rFonts w:ascii="Arial" w:cs="Arial" w:eastAsia="Arial" w:hAnsi="Arial"/>
          <w:sz w:val="18"/>
          <w:szCs w:val="18"/>
          <w:color w:val="011B2B"/>
        </w:rPr>
      </w:pPr>
      <w:r>
        <w:rPr>
          <w:rFonts w:ascii="Arial" w:cs="Arial" w:eastAsia="Arial" w:hAnsi="Arial"/>
          <w:sz w:val="19"/>
          <w:szCs w:val="19"/>
          <w:color w:val="011B2B"/>
        </w:rPr>
        <w:t>With respect to directors and officers, a cooling-off period that is the later of (i) 90 days after the adoption or modification of the trading plan or (ii) two business days following the filing of the Company’s Form 10-Q or Form 10-K for the fiscal quarter in which the plan was adopted or modified, but in all cases, the required cooling-off period is not to exceed 120 days following adoption or modification of the Rule 10b5-1 Plan.</w:t>
      </w:r>
    </w:p>
    <w:p>
      <w:pPr>
        <w:spacing w:after="0" w:line="72" w:lineRule="exact"/>
        <w:rPr>
          <w:rFonts w:ascii="Arial" w:cs="Arial" w:eastAsia="Arial" w:hAnsi="Arial"/>
          <w:sz w:val="18"/>
          <w:szCs w:val="18"/>
          <w:color w:val="011B2B"/>
        </w:rPr>
      </w:pPr>
    </w:p>
    <w:p>
      <w:pPr>
        <w:jc w:val="both"/>
        <w:ind w:left="1960" w:hanging="332"/>
        <w:spacing w:after="0" w:line="283" w:lineRule="auto"/>
        <w:tabs>
          <w:tab w:leader="none" w:pos="1956" w:val="left"/>
        </w:tabs>
        <w:numPr>
          <w:ilvl w:val="4"/>
          <w:numId w:val="191"/>
        </w:numPr>
        <w:rPr>
          <w:rFonts w:ascii="Arial" w:cs="Arial" w:eastAsia="Arial" w:hAnsi="Arial"/>
          <w:sz w:val="18"/>
          <w:szCs w:val="18"/>
          <w:color w:val="011B2B"/>
        </w:rPr>
      </w:pPr>
      <w:r>
        <w:rPr>
          <w:rFonts w:ascii="Arial" w:cs="Arial" w:eastAsia="Arial" w:hAnsi="Arial"/>
          <w:sz w:val="19"/>
          <w:szCs w:val="19"/>
          <w:color w:val="011B2B"/>
        </w:rPr>
        <w:t>With respect to employees other than directors or officers, a cooling-off period of 30 days after the adoption or modification of the trading plan. Early termination of a Rule 10b5-1 Plan triggers a new cooling-off period before a subsequent plan can be adopted.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8 of 18</w:t>
      </w:r>
    </w:p>
    <w:p>
      <w:pPr>
        <w:sectPr>
          <w:pgSz w:w="11900" w:h="16838" w:orient="portrait"/>
          <w:cols w:equalWidth="0" w:num="2">
            <w:col w:w="8620" w:space="720"/>
            <w:col w:w="1900"/>
          </w:cols>
          <w:pgMar w:left="320" w:top="895" w:right="339" w:bottom="1440" w:gutter="0" w:footer="0" w:header="0"/>
          <w:type w:val="continuous"/>
        </w:sectPr>
      </w:pPr>
    </w:p>
    <w:bookmarkStart w:id="201" w:name="page202"/>
    <w:bookmarkEnd w:id="201"/>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300" w:hanging="320"/>
        <w:spacing w:after="0" w:line="273" w:lineRule="auto"/>
        <w:tabs>
          <w:tab w:leader="none" w:pos="1295" w:val="left"/>
        </w:tabs>
        <w:numPr>
          <w:ilvl w:val="0"/>
          <w:numId w:val="192"/>
        </w:numPr>
        <w:rPr>
          <w:rFonts w:ascii="Arial" w:cs="Arial" w:eastAsia="Arial" w:hAnsi="Arial"/>
          <w:sz w:val="18"/>
          <w:szCs w:val="18"/>
          <w:color w:val="011B2B"/>
        </w:rPr>
      </w:pPr>
      <w:r>
        <w:rPr>
          <w:rFonts w:ascii="Arial" w:cs="Arial" w:eastAsia="Arial" w:hAnsi="Arial"/>
          <w:sz w:val="19"/>
          <w:szCs w:val="19"/>
          <w:color w:val="011B2B"/>
        </w:rPr>
        <w:t>A­ director, officer or employee may not have more than one Rule 10b5-1 Plan for open market purchases or sales of MSCI securities unless the later-commencing plan is not authorized to begin until after all trades under the earlier-commencing plan are completed or expire without execution. Note that early-terminated plans are subject to the applicable cooling off period above.</w:t>
      </w:r>
    </w:p>
    <w:p>
      <w:pPr>
        <w:spacing w:after="0" w:line="72" w:lineRule="exact"/>
        <w:rPr>
          <w:rFonts w:ascii="Arial" w:cs="Arial" w:eastAsia="Arial" w:hAnsi="Arial"/>
          <w:sz w:val="18"/>
          <w:szCs w:val="18"/>
          <w:color w:val="011B2B"/>
        </w:rPr>
      </w:pPr>
    </w:p>
    <w:p>
      <w:pPr>
        <w:ind w:left="1300" w:hanging="320"/>
        <w:spacing w:after="0"/>
        <w:tabs>
          <w:tab w:leader="none" w:pos="1300" w:val="left"/>
        </w:tabs>
        <w:numPr>
          <w:ilvl w:val="0"/>
          <w:numId w:val="192"/>
        </w:numPr>
        <w:rPr>
          <w:rFonts w:ascii="Arial" w:cs="Arial" w:eastAsia="Arial" w:hAnsi="Arial"/>
          <w:sz w:val="18"/>
          <w:szCs w:val="18"/>
          <w:color w:val="011B2B"/>
        </w:rPr>
      </w:pPr>
      <w:r>
        <w:rPr>
          <w:rFonts w:ascii="Arial" w:cs="Arial" w:eastAsia="Arial" w:hAnsi="Arial"/>
          <w:sz w:val="19"/>
          <w:szCs w:val="19"/>
          <w:color w:val="011B2B"/>
        </w:rPr>
        <w:t>Single Trade Plans</w:t>
      </w:r>
    </w:p>
    <w:p>
      <w:pPr>
        <w:spacing w:after="0" w:line="132" w:lineRule="exact"/>
        <w:rPr>
          <w:rFonts w:ascii="Arial" w:cs="Arial" w:eastAsia="Arial" w:hAnsi="Arial"/>
          <w:sz w:val="18"/>
          <w:szCs w:val="18"/>
          <w:color w:val="011B2B"/>
        </w:rPr>
      </w:pPr>
    </w:p>
    <w:p>
      <w:pPr>
        <w:jc w:val="both"/>
        <w:ind w:left="1960" w:hanging="332"/>
        <w:spacing w:after="0" w:line="296" w:lineRule="auto"/>
        <w:tabs>
          <w:tab w:leader="none" w:pos="1955" w:val="left"/>
        </w:tabs>
        <w:numPr>
          <w:ilvl w:val="1"/>
          <w:numId w:val="192"/>
        </w:numPr>
        <w:rPr>
          <w:rFonts w:ascii="Arial" w:cs="Arial" w:eastAsia="Arial" w:hAnsi="Arial"/>
          <w:sz w:val="18"/>
          <w:szCs w:val="18"/>
          <w:color w:val="011B2B"/>
        </w:rPr>
      </w:pPr>
      <w:r>
        <w:rPr>
          <w:rFonts w:ascii="Arial" w:cs="Arial" w:eastAsia="Arial" w:hAnsi="Arial"/>
          <w:sz w:val="19"/>
          <w:szCs w:val="19"/>
          <w:color w:val="011B2B"/>
        </w:rPr>
        <w:t>I</w:t>
      </w:r>
      <w:r>
        <w:rPr>
          <w:rFonts w:ascii="Arial" w:cs="Arial" w:eastAsia="Arial" w:hAnsi="Arial"/>
          <w:sz w:val="17"/>
          <w:szCs w:val="17"/>
          <w:color w:val="011B2B"/>
        </w:rPr>
        <w:t>n any 12-month period, a director, officer or employee is limited to establishing one “single-trade plan” — meaning a</w:t>
      </w:r>
      <w:r>
        <w:rPr>
          <w:rFonts w:ascii="Arial" w:cs="Arial" w:eastAsia="Arial" w:hAnsi="Arial"/>
          <w:sz w:val="19"/>
          <w:szCs w:val="19"/>
          <w:color w:val="011B2B"/>
        </w:rPr>
        <w:t xml:space="preserve"> </w:t>
      </w:r>
      <w:r>
        <w:rPr>
          <w:rFonts w:ascii="Arial" w:cs="Arial" w:eastAsia="Arial" w:hAnsi="Arial"/>
          <w:sz w:val="17"/>
          <w:szCs w:val="17"/>
          <w:color w:val="011B2B"/>
        </w:rPr>
        <w:t>plan designed to effect the open market purchase or sale of the total amount of the securities subject to the plan as a single transaction.</w:t>
      </w:r>
    </w:p>
    <w:p>
      <w:pPr>
        <w:spacing w:after="0" w:line="58" w:lineRule="exact"/>
        <w:rPr>
          <w:rFonts w:ascii="Arial" w:cs="Arial" w:eastAsia="Arial" w:hAnsi="Arial"/>
          <w:sz w:val="18"/>
          <w:szCs w:val="18"/>
          <w:color w:val="011B2B"/>
        </w:rPr>
      </w:pPr>
    </w:p>
    <w:p>
      <w:pPr>
        <w:jc w:val="both"/>
        <w:ind w:left="1960" w:hanging="332"/>
        <w:spacing w:after="0" w:line="271" w:lineRule="auto"/>
        <w:tabs>
          <w:tab w:leader="none" w:pos="1955" w:val="left"/>
        </w:tabs>
        <w:numPr>
          <w:ilvl w:val="1"/>
          <w:numId w:val="192"/>
        </w:numPr>
        <w:rPr>
          <w:rFonts w:ascii="Arial" w:cs="Arial" w:eastAsia="Arial" w:hAnsi="Arial"/>
          <w:sz w:val="18"/>
          <w:szCs w:val="18"/>
          <w:color w:val="011B2B"/>
        </w:rPr>
      </w:pPr>
      <w:r>
        <w:rPr>
          <w:rFonts w:ascii="Arial" w:cs="Arial" w:eastAsia="Arial" w:hAnsi="Arial"/>
          <w:sz w:val="19"/>
          <w:szCs w:val="19"/>
          <w:color w:val="011B2B"/>
        </w:rPr>
        <w:t>A Rule 10b5-1 Plan will not be treated as a single-trade plan if, for example, it gives the director, officer or employee’s agent discretion over whether to execute the plan as a single transaction, or provides that the agent’s future acts will depend on events or data not known at the time the plan is entered into and it is reasonably foreseeable at the time the plan is entered into that the plan might result in multiple trades. Sell-to-cover Rule 10b5-1 Plans are exempt from this limitation.</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011B2B"/>
        </w:rPr>
        <w:t>No approval by the General Counsel or his or her designee shall be considered the General Counsel’s or the Company’s approval that the Rule 10b5-1 Plan satisfies the requirements of Rule 10b5-1. It shall be the sole responsibility of the person establishing the Rule 10b5-1 Plan to ensure that such plan complies with the requirements of Rule 10b5-1 and any other relevant legal requirements. The existence of the foregoing approval procedures does not in any way obligate the General Counsel or his or her designee to approve any Rule 10b5-1 Plan. The General Counsel or his or her designee may reject any trading requests or Rule 10b5-1 Plans at his or her sole discretion.</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11B2B"/>
        </w:rPr>
        <w:t>E. APPLICABILITY OF U.S. SECURITIES LAWS TO INTERNATIONAL TRANSACTIONS</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011B2B"/>
        </w:rPr>
        <w:t>All employees of the Company’s subsidiaries are subject to the restrictions on trading in the Company’s securities and the securities of other companies. The U.S. securities laws may be applicable to the securities of the Company’s subsidiaries or affiliates, even if they are located outside the United States. Transactions involving securities of subsidiaries or affiliates should be carefully reviewed by counsel for compliance not only with foreign local law but also for possible application of U.S. securities laws.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9 of 18</w:t>
      </w:r>
    </w:p>
    <w:p>
      <w:pPr>
        <w:sectPr>
          <w:pgSz w:w="11900" w:h="16838" w:orient="portrait"/>
          <w:cols w:equalWidth="0" w:num="2">
            <w:col w:w="8620" w:space="720"/>
            <w:col w:w="1900"/>
          </w:cols>
          <w:pgMar w:left="320" w:top="895" w:right="339" w:bottom="1440" w:gutter="0" w:footer="0" w:header="0"/>
          <w:type w:val="continuous"/>
        </w:sectPr>
      </w:pPr>
    </w:p>
    <w:bookmarkStart w:id="202" w:name="page203"/>
    <w:bookmarkEnd w:id="202"/>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III. Prohibited transactions</w:t>
      </w:r>
    </w:p>
    <w:p>
      <w:pPr>
        <w:spacing w:after="0" w:line="146" w:lineRule="exact"/>
        <w:rPr>
          <w:sz w:val="20"/>
          <w:szCs w:val="20"/>
          <w:color w:val="auto"/>
        </w:rPr>
      </w:pPr>
    </w:p>
    <w:p>
      <w:pPr>
        <w:spacing w:after="0" w:line="300" w:lineRule="auto"/>
        <w:rPr>
          <w:sz w:val="20"/>
          <w:szCs w:val="20"/>
          <w:color w:val="auto"/>
        </w:rPr>
      </w:pPr>
      <w:r>
        <w:rPr>
          <w:rFonts w:ascii="Arial" w:cs="Arial" w:eastAsia="Arial" w:hAnsi="Arial"/>
          <w:sz w:val="19"/>
          <w:szCs w:val="19"/>
          <w:color w:val="011B2B"/>
        </w:rPr>
        <w:t>The Company has determined that certain types of speculative transactions may present heightened legal risks and potential for the appearance of improper conduct. Therefore, it is the Company’s policy to prohibit or discourage the following types of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color w:val="011B2B"/>
        </w:rPr>
        <w:t>A. TRADING IN OPTIONS</w:t>
      </w:r>
    </w:p>
    <w:p>
      <w:pPr>
        <w:spacing w:after="0" w:line="140" w:lineRule="exact"/>
        <w:rPr>
          <w:sz w:val="20"/>
          <w:szCs w:val="20"/>
          <w:color w:val="auto"/>
        </w:rPr>
      </w:pPr>
    </w:p>
    <w:p>
      <w:pPr>
        <w:jc w:val="both"/>
        <w:ind w:left="340"/>
        <w:spacing w:after="0" w:line="270" w:lineRule="auto"/>
        <w:rPr>
          <w:sz w:val="20"/>
          <w:szCs w:val="20"/>
          <w:color w:val="auto"/>
        </w:rPr>
      </w:pPr>
      <w:r>
        <w:rPr>
          <w:rFonts w:ascii="Arial" w:cs="Arial" w:eastAsia="Arial" w:hAnsi="Arial"/>
          <w:sz w:val="19"/>
          <w:szCs w:val="19"/>
          <w:color w:val="011B2B"/>
        </w:rPr>
        <w:t>The insider trading prohibition applies to market-traded options, such as put and call options, which are speculative instruments and carry risks. People who buy options are often betting that the stock price will move rapidly. For that reason, when a person trades in options in his or her employer’s stock, it may arouse suspicion in the eyes of the SEC or an exchange that the person was trading on the basis of material inside information, particularly where the trading occurs before a Company announcement or major event. It can be difficult for a director, officer or employee to prove that he or she did not know about the announcement or event.</w:t>
      </w:r>
    </w:p>
    <w:p>
      <w:pPr>
        <w:spacing w:after="0" w:line="78" w:lineRule="exact"/>
        <w:rPr>
          <w:sz w:val="20"/>
          <w:szCs w:val="20"/>
          <w:color w:val="auto"/>
        </w:rPr>
      </w:pPr>
    </w:p>
    <w:p>
      <w:pPr>
        <w:jc w:val="both"/>
        <w:ind w:left="340"/>
        <w:spacing w:after="0" w:line="278" w:lineRule="auto"/>
        <w:rPr>
          <w:sz w:val="20"/>
          <w:szCs w:val="20"/>
          <w:color w:val="auto"/>
        </w:rPr>
      </w:pPr>
      <w:r>
        <w:rPr>
          <w:rFonts w:ascii="Arial" w:cs="Arial" w:eastAsia="Arial" w:hAnsi="Arial"/>
          <w:sz w:val="19"/>
          <w:szCs w:val="19"/>
          <w:color w:val="011B2B"/>
        </w:rPr>
        <w:t>If the SEC or an exchange were to notice active options trading by one or more directors, officers or employees of the Company prior to an announcement, they would investigate. Such an investigation could be embarrassing to the Company (as well as expensive) and could result in severe penalties and expense for the persons involved. For all of these reasons, the Company prohibits its directors, officers and employees from trading in market-traded options on the Company stock.</w:t>
      </w:r>
    </w:p>
    <w:p>
      <w:pPr>
        <w:spacing w:after="0" w:line="68" w:lineRule="exact"/>
        <w:rPr>
          <w:sz w:val="20"/>
          <w:szCs w:val="20"/>
          <w:color w:val="auto"/>
        </w:rPr>
      </w:pPr>
    </w:p>
    <w:p>
      <w:pPr>
        <w:jc w:val="both"/>
        <w:ind w:left="340"/>
        <w:spacing w:after="0" w:line="283" w:lineRule="auto"/>
        <w:rPr>
          <w:sz w:val="20"/>
          <w:szCs w:val="20"/>
          <w:color w:val="auto"/>
        </w:rPr>
      </w:pPr>
      <w:r>
        <w:rPr>
          <w:rFonts w:ascii="Arial" w:cs="Arial" w:eastAsia="Arial" w:hAnsi="Arial"/>
          <w:sz w:val="19"/>
          <w:szCs w:val="19"/>
          <w:color w:val="011B2B"/>
        </w:rPr>
        <w:t>By contrast, employee stock options granted as part of the Company’s compensation program are not market-traded and cannot be sold or transferred. These options may only be exercised in accordance with the terms of the Company’s equity compensation plans, relevant award agreements and in compliance with this Policy.</w:t>
      </w: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color w:val="011B2B"/>
        </w:rPr>
        <w:t>B. MARGIN ACCOUNTS AND MANAGED ACCOUNTS; PLEDGING AS COLLATERAL</w:t>
      </w:r>
    </w:p>
    <w:p>
      <w:pPr>
        <w:spacing w:after="0" w:line="126" w:lineRule="exact"/>
        <w:rPr>
          <w:sz w:val="20"/>
          <w:szCs w:val="20"/>
          <w:color w:val="auto"/>
        </w:rPr>
      </w:pPr>
    </w:p>
    <w:p>
      <w:pPr>
        <w:jc w:val="both"/>
        <w:ind w:left="340"/>
        <w:spacing w:after="0" w:line="273" w:lineRule="auto"/>
        <w:rPr>
          <w:sz w:val="20"/>
          <w:szCs w:val="20"/>
          <w:color w:val="auto"/>
        </w:rPr>
      </w:pPr>
      <w:r>
        <w:rPr>
          <w:rFonts w:ascii="Arial" w:cs="Arial" w:eastAsia="Arial" w:hAnsi="Arial"/>
          <w:sz w:val="19"/>
          <w:szCs w:val="19"/>
          <w:color w:val="011B2B"/>
        </w:rPr>
        <w:t>The Company prohibits directors, officers and employees from (i) purchasing Company securities on margin, (ii) holding Company securities in a margin account or managed account, or (iii) pledging Company securities as collateral for a loan because such a sale may occur at a time when a director, officer or employee has material inside information or is otherwise not permitted to trade in Company securities. Securities held in a margin account or a managed account (i.e., where discretion is given to your broker) or pledged as collateral for a loan may be sold by the broker without the customer’s consent under certain circumstances or by the lender in foreclosure if the customer defaults on the loan.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10 of 18</w:t>
      </w:r>
    </w:p>
    <w:p>
      <w:pPr>
        <w:sectPr>
          <w:pgSz w:w="11900" w:h="16838" w:orient="portrait"/>
          <w:cols w:equalWidth="0" w:num="2">
            <w:col w:w="8540" w:space="720"/>
            <w:col w:w="1980"/>
          </w:cols>
          <w:pgMar w:left="320" w:top="895" w:right="339" w:bottom="1440" w:gutter="0" w:footer="0" w:header="0"/>
          <w:type w:val="continuous"/>
        </w:sectPr>
      </w:pPr>
    </w:p>
    <w:bookmarkStart w:id="203" w:name="page204"/>
    <w:bookmarkEnd w:id="203"/>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11B2B"/>
        </w:rPr>
        <w:t>C. SHORT SALES</w:t>
      </w:r>
    </w:p>
    <w:p>
      <w:pPr>
        <w:spacing w:after="0" w:line="140" w:lineRule="exact"/>
        <w:rPr>
          <w:sz w:val="20"/>
          <w:szCs w:val="20"/>
          <w:color w:val="auto"/>
        </w:rPr>
      </w:pPr>
    </w:p>
    <w:p>
      <w:pPr>
        <w:jc w:val="both"/>
        <w:ind w:left="340"/>
        <w:spacing w:after="0" w:line="273" w:lineRule="auto"/>
        <w:rPr>
          <w:sz w:val="20"/>
          <w:szCs w:val="20"/>
          <w:color w:val="auto"/>
        </w:rPr>
      </w:pPr>
      <w:r>
        <w:rPr>
          <w:rFonts w:ascii="Arial" w:cs="Arial" w:eastAsia="Arial" w:hAnsi="Arial"/>
          <w:sz w:val="19"/>
          <w:szCs w:val="19"/>
          <w:color w:val="011B2B"/>
        </w:rPr>
        <w:t>Short sales of the Company’s securities (i.e., the sale of a security that you do not own) are prohibited as they may evidence an expectation that the securities will decline in value and have the potential to signal to the market that you lack confidence in the Company’s prospects. In addition, short sales may be viewed as reducing your incentive to seek to improve the Company’s performance. (see “Prohibition of Short Sales” below in Section IV.E).</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color w:val="011B2B"/>
        </w:rPr>
        <w:t>D. HEDGING TRANSACTIONS</w:t>
      </w:r>
    </w:p>
    <w:p>
      <w:pPr>
        <w:spacing w:after="0" w:line="140" w:lineRule="exact"/>
        <w:rPr>
          <w:sz w:val="20"/>
          <w:szCs w:val="20"/>
          <w:color w:val="auto"/>
        </w:rPr>
      </w:pPr>
    </w:p>
    <w:p>
      <w:pPr>
        <w:jc w:val="both"/>
        <w:ind w:left="340"/>
        <w:spacing w:after="0" w:line="269" w:lineRule="auto"/>
        <w:rPr>
          <w:sz w:val="20"/>
          <w:szCs w:val="20"/>
          <w:color w:val="auto"/>
        </w:rPr>
      </w:pPr>
      <w:r>
        <w:rPr>
          <w:rFonts w:ascii="Arial" w:cs="Arial" w:eastAsia="Arial" w:hAnsi="Arial"/>
          <w:sz w:val="19"/>
          <w:szCs w:val="19"/>
          <w:color w:val="011B2B"/>
        </w:rPr>
        <w:t>Hedging or monetization transactions allow an investor to receive a cash amount similar to proceeds of disposition, and to transfer part or all of the economic risk and/or return associated with securities of an issuer, without formally transferring the legal and beneficial ownership of such securities. These transactions can be accomplished through a number of possible mechanisms, including through the use of financial instruments such as prepaid variable forward contracts (i.e., contracts which allow an investor to receive an up-front payment in exchange for delivery of a variable amount of shares or cash in the future), swaps, futures or zero cost contracts (i.e., contracts that allow an investor to lock in much of the value of his or her security holdings, often in exchange for all or part of the potential for upside appreciation in the securities). Such hedging transactions may permit a director, officer or employee to continue to own the Company’s securities, but without the full risks and rewards of ownership. Accordingly, you may no longer have the same objectives as the Company’s other shareholders. Therefore, all hedging and monetization transactions are strictly prohibited.</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color w:val="011B2B"/>
        </w:rPr>
        <w:t>E. STOP AND LIMIT ORDERS</w:t>
      </w:r>
    </w:p>
    <w:p>
      <w:pPr>
        <w:spacing w:after="0" w:line="140" w:lineRule="exact"/>
        <w:rPr>
          <w:sz w:val="20"/>
          <w:szCs w:val="20"/>
          <w:color w:val="auto"/>
        </w:rPr>
      </w:pPr>
    </w:p>
    <w:p>
      <w:pPr>
        <w:jc w:val="both"/>
        <w:ind w:left="340"/>
        <w:spacing w:after="0" w:line="275" w:lineRule="auto"/>
        <w:rPr>
          <w:sz w:val="20"/>
          <w:szCs w:val="20"/>
          <w:color w:val="auto"/>
        </w:rPr>
      </w:pPr>
      <w:r>
        <w:rPr>
          <w:rFonts w:ascii="Arial" w:cs="Arial" w:eastAsia="Arial" w:hAnsi="Arial"/>
          <w:sz w:val="19"/>
          <w:szCs w:val="19"/>
          <w:color w:val="011B2B"/>
        </w:rPr>
        <w:t>Stop and limit orders create heightened risks for insider trading violations because there is no control over the timing of the execution of the purchases or sales and, as a result, the broker may execute the transaction when you are aware of material inside information. For this reason, we discourage the use of stop or limit orders of Company securities. If you determine that you must use a stop or limit order, it must be a same-day order only and must otherwise comply with the requirements and restrictions set forth in this Policy.</w:t>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IV. Additional restrictions for section 16 insiders and certain affiliates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11 of 18</w:t>
      </w:r>
    </w:p>
    <w:p>
      <w:pPr>
        <w:sectPr>
          <w:pgSz w:w="11900" w:h="16838" w:orient="portrait"/>
          <w:cols w:equalWidth="0" w:num="2">
            <w:col w:w="8540" w:space="720"/>
            <w:col w:w="1980"/>
          </w:cols>
          <w:pgMar w:left="320" w:top="895" w:right="339" w:bottom="1440" w:gutter="0" w:footer="0" w:header="0"/>
          <w:type w:val="continuous"/>
        </w:sectPr>
      </w:pPr>
    </w:p>
    <w:bookmarkStart w:id="204" w:name="page205"/>
    <w:bookmarkEnd w:id="204"/>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11B2B"/>
        </w:rPr>
        <w:t>A. PUBLIC RE-SALES – RULE 144</w:t>
      </w:r>
    </w:p>
    <w:p>
      <w:pPr>
        <w:spacing w:after="0" w:line="140" w:lineRule="exact"/>
        <w:rPr>
          <w:sz w:val="20"/>
          <w:szCs w:val="20"/>
          <w:color w:val="auto"/>
        </w:rPr>
      </w:pPr>
    </w:p>
    <w:p>
      <w:pPr>
        <w:jc w:val="both"/>
        <w:ind w:left="340"/>
        <w:spacing w:after="0" w:line="260" w:lineRule="auto"/>
        <w:rPr>
          <w:sz w:val="20"/>
          <w:szCs w:val="20"/>
          <w:color w:val="auto"/>
        </w:rPr>
      </w:pPr>
      <w:r>
        <w:rPr>
          <w:rFonts w:ascii="Arial" w:cs="Arial" w:eastAsia="Arial" w:hAnsi="Arial"/>
          <w:sz w:val="19"/>
          <w:szCs w:val="19"/>
          <w:color w:val="011B2B"/>
        </w:rPr>
        <w:t>The 1933 Act requires every person who offers or sells a security to register such transaction with the SEC unless an exemption from registration is available. Rule 144 provides a “safe harbor” exemption, allowing certain public resales of restricted or control securities without requiring full SEC registration, subject to specified conditions. Rule 144 under the 1933 Act is the exemption typically relied upon for public re-sales of (i) “restricted securities” (i.e., unregistered securities acquired directly from an issuer typically through a private offering) and (ii) “control securities” (i.e., securities that were previously registered but are owned by any person who, during the 90 days immediately before the sale, directly or indirectly controls</w:t>
      </w:r>
      <w:r>
        <w:rPr>
          <w:rFonts w:ascii="Arial" w:cs="Arial" w:eastAsia="Arial" w:hAnsi="Arial"/>
          <w:sz w:val="24"/>
          <w:szCs w:val="24"/>
          <w:color w:val="011B2B"/>
          <w:vertAlign w:val="superscript"/>
        </w:rPr>
        <w:t>1</w:t>
      </w:r>
      <w:r>
        <w:rPr>
          <w:rFonts w:ascii="Arial" w:cs="Arial" w:eastAsia="Arial" w:hAnsi="Arial"/>
          <w:sz w:val="19"/>
          <w:szCs w:val="19"/>
          <w:color w:val="011B2B"/>
        </w:rPr>
        <w:t xml:space="preserve"> the issuer such as executive officers, directors or a significant shareholder (known as “affiliates”). All outstanding shares of the Company’s stock, other than those sold to the public or acquired upon the conversion of employee restricted stock units or the exercise of employee stock options are “restricted securities.”</w:t>
      </w:r>
    </w:p>
    <w:p>
      <w:pPr>
        <w:spacing w:after="0" w:line="89" w:lineRule="exact"/>
        <w:rPr>
          <w:sz w:val="20"/>
          <w:szCs w:val="20"/>
          <w:color w:val="auto"/>
        </w:rPr>
      </w:pPr>
    </w:p>
    <w:p>
      <w:pPr>
        <w:jc w:val="both"/>
        <w:ind w:left="340" w:right="20"/>
        <w:spacing w:after="0" w:line="283" w:lineRule="auto"/>
        <w:rPr>
          <w:sz w:val="20"/>
          <w:szCs w:val="20"/>
          <w:color w:val="auto"/>
        </w:rPr>
      </w:pPr>
      <w:r>
        <w:rPr>
          <w:rFonts w:ascii="Arial" w:cs="Arial" w:eastAsia="Arial" w:hAnsi="Arial"/>
          <w:sz w:val="19"/>
          <w:szCs w:val="19"/>
          <w:color w:val="011B2B"/>
        </w:rPr>
        <w:t>Rule 144 contains five conditions, although the applicability of some of these conditions will depend on the circumstances of the sale. Sellers who are not affiliates at the time of the sale, and have not been affiliates for the three months preceding the sale, must only comply with the holding period requirement.</w:t>
      </w:r>
    </w:p>
    <w:p>
      <w:pPr>
        <w:spacing w:after="0" w:line="64" w:lineRule="exact"/>
        <w:rPr>
          <w:sz w:val="20"/>
          <w:szCs w:val="20"/>
          <w:color w:val="auto"/>
        </w:rPr>
      </w:pPr>
    </w:p>
    <w:p>
      <w:pPr>
        <w:ind w:left="660" w:hanging="328"/>
        <w:spacing w:after="0" w:line="285" w:lineRule="auto"/>
        <w:tabs>
          <w:tab w:leader="none" w:pos="656" w:val="left"/>
        </w:tabs>
        <w:numPr>
          <w:ilvl w:val="0"/>
          <w:numId w:val="193"/>
        </w:numPr>
        <w:rPr>
          <w:rFonts w:ascii="Arial" w:cs="Arial" w:eastAsia="Arial" w:hAnsi="Arial"/>
          <w:sz w:val="19"/>
          <w:szCs w:val="19"/>
          <w:color w:val="0626A9"/>
        </w:rPr>
      </w:pPr>
      <w:r>
        <w:rPr>
          <w:rFonts w:ascii="Arial" w:cs="Arial" w:eastAsia="Arial" w:hAnsi="Arial"/>
          <w:sz w:val="19"/>
          <w:szCs w:val="19"/>
          <w:b w:val="1"/>
          <w:bCs w:val="1"/>
          <w:color w:val="011B2B"/>
        </w:rPr>
        <w:t xml:space="preserve">Current Public Information. </w:t>
      </w:r>
      <w:r>
        <w:rPr>
          <w:rFonts w:ascii="Arial" w:cs="Arial" w:eastAsia="Arial" w:hAnsi="Arial"/>
          <w:sz w:val="19"/>
          <w:szCs w:val="19"/>
          <w:color w:val="011B2B"/>
        </w:rPr>
        <w:t>Current information about the Company must be publicly available at the time of sale. The</w:t>
      </w:r>
      <w:r>
        <w:rPr>
          <w:rFonts w:ascii="Arial" w:cs="Arial" w:eastAsia="Arial" w:hAnsi="Arial"/>
          <w:sz w:val="19"/>
          <w:szCs w:val="19"/>
          <w:b w:val="1"/>
          <w:bCs w:val="1"/>
          <w:color w:val="011B2B"/>
        </w:rPr>
        <w:t xml:space="preserve"> </w:t>
      </w:r>
      <w:r>
        <w:rPr>
          <w:rFonts w:ascii="Arial" w:cs="Arial" w:eastAsia="Arial" w:hAnsi="Arial"/>
          <w:sz w:val="19"/>
          <w:szCs w:val="19"/>
          <w:color w:val="011B2B"/>
        </w:rPr>
        <w:t>Company’s periodic reports filed with the SEC ordinarily satisfy this requirement.</w:t>
      </w:r>
    </w:p>
    <w:p>
      <w:pPr>
        <w:spacing w:after="0" w:line="61" w:lineRule="exact"/>
        <w:rPr>
          <w:rFonts w:ascii="Arial" w:cs="Arial" w:eastAsia="Arial" w:hAnsi="Arial"/>
          <w:sz w:val="19"/>
          <w:szCs w:val="19"/>
          <w:color w:val="0626A9"/>
        </w:rPr>
      </w:pPr>
    </w:p>
    <w:p>
      <w:pPr>
        <w:jc w:val="both"/>
        <w:ind w:left="660" w:hanging="328"/>
        <w:spacing w:after="0" w:line="272" w:lineRule="auto"/>
        <w:tabs>
          <w:tab w:leader="none" w:pos="656" w:val="left"/>
        </w:tabs>
        <w:numPr>
          <w:ilvl w:val="0"/>
          <w:numId w:val="193"/>
        </w:numPr>
        <w:rPr>
          <w:rFonts w:ascii="Arial" w:cs="Arial" w:eastAsia="Arial" w:hAnsi="Arial"/>
          <w:sz w:val="19"/>
          <w:szCs w:val="19"/>
          <w:color w:val="0626A9"/>
        </w:rPr>
      </w:pPr>
      <w:r>
        <w:rPr>
          <w:rFonts w:ascii="Arial" w:cs="Arial" w:eastAsia="Arial" w:hAnsi="Arial"/>
          <w:sz w:val="19"/>
          <w:szCs w:val="19"/>
          <w:b w:val="1"/>
          <w:bCs w:val="1"/>
          <w:color w:val="011B2B"/>
        </w:rPr>
        <w:t>Holding Period</w:t>
      </w:r>
      <w:r>
        <w:rPr>
          <w:rFonts w:ascii="Arial" w:cs="Arial" w:eastAsia="Arial" w:hAnsi="Arial"/>
          <w:sz w:val="19"/>
          <w:szCs w:val="19"/>
          <w:color w:val="011B2B"/>
        </w:rPr>
        <w:t>. Restricted securities must be held and fully paid for by the seller for a period of at least six months prior to</w:t>
      </w:r>
      <w:r>
        <w:rPr>
          <w:rFonts w:ascii="Arial" w:cs="Arial" w:eastAsia="Arial" w:hAnsi="Arial"/>
          <w:sz w:val="19"/>
          <w:szCs w:val="19"/>
          <w:b w:val="1"/>
          <w:bCs w:val="1"/>
          <w:color w:val="011B2B"/>
        </w:rPr>
        <w:t xml:space="preserve"> </w:t>
      </w:r>
      <w:r>
        <w:rPr>
          <w:rFonts w:ascii="Arial" w:cs="Arial" w:eastAsia="Arial" w:hAnsi="Arial"/>
          <w:sz w:val="19"/>
          <w:szCs w:val="19"/>
          <w:color w:val="011B2B"/>
        </w:rPr>
        <w:t>the sale. The holding period typically commences once the securities are fully paid for. The holding period requirement only applies to “restricted securities” and not “control securities” that were previously registered or sold publicly. If the seller acquired the securities from someone other than the Company or an affiliate of the Company, the holding period of the person from whom the seller acquired such securities can be “tacked” to the seller’s holding period in determining if the six-month requirement has been satisfied. Tacking is also generally allowed when the new securities simply continue the holder’s existing investment in another form.</w:t>
      </w:r>
    </w:p>
    <w:p>
      <w:pPr>
        <w:spacing w:after="0" w:line="75" w:lineRule="exact"/>
        <w:rPr>
          <w:rFonts w:ascii="Arial" w:cs="Arial" w:eastAsia="Arial" w:hAnsi="Arial"/>
          <w:sz w:val="19"/>
          <w:szCs w:val="19"/>
          <w:color w:val="0626A9"/>
        </w:rPr>
      </w:pPr>
    </w:p>
    <w:p>
      <w:pPr>
        <w:ind w:left="660" w:hanging="328"/>
        <w:spacing w:after="0"/>
        <w:tabs>
          <w:tab w:leader="none" w:pos="660" w:val="left"/>
        </w:tabs>
        <w:numPr>
          <w:ilvl w:val="0"/>
          <w:numId w:val="193"/>
        </w:numPr>
        <w:rPr>
          <w:rFonts w:ascii="Arial" w:cs="Arial" w:eastAsia="Arial" w:hAnsi="Arial"/>
          <w:sz w:val="19"/>
          <w:szCs w:val="19"/>
          <w:color w:val="0626A9"/>
        </w:rPr>
      </w:pPr>
      <w:r>
        <w:rPr>
          <w:rFonts w:ascii="Arial" w:cs="Arial" w:eastAsia="Arial" w:hAnsi="Arial"/>
          <w:sz w:val="19"/>
          <w:szCs w:val="19"/>
          <w:b w:val="1"/>
          <w:bCs w:val="1"/>
          <w:color w:val="011B2B"/>
        </w:rPr>
        <w:t>Volume Limitations</w:t>
      </w:r>
      <w:r>
        <w:rPr>
          <w:rFonts w:ascii="Arial" w:cs="Arial" w:eastAsia="Arial" w:hAnsi="Arial"/>
          <w:sz w:val="19"/>
          <w:szCs w:val="19"/>
          <w:color w:val="011B2B"/>
        </w:rPr>
        <w:t>. The amount of securities which can be sold during any three-month period cannot exceed the greater of</w:t>
      </w:r>
    </w:p>
    <w:p>
      <w:pPr>
        <w:spacing w:after="0" w:line="40" w:lineRule="exact"/>
        <w:rPr>
          <w:rFonts w:ascii="Arial" w:cs="Arial" w:eastAsia="Arial" w:hAnsi="Arial"/>
          <w:sz w:val="19"/>
          <w:szCs w:val="19"/>
          <w:color w:val="0626A9"/>
        </w:rPr>
      </w:pPr>
    </w:p>
    <w:p>
      <w:pPr>
        <w:ind w:left="660"/>
        <w:spacing w:after="0" w:line="282" w:lineRule="auto"/>
        <w:rPr>
          <w:rFonts w:ascii="Arial" w:cs="Arial" w:eastAsia="Arial" w:hAnsi="Arial"/>
          <w:sz w:val="19"/>
          <w:szCs w:val="19"/>
          <w:color w:val="0626A9"/>
        </w:rPr>
      </w:pPr>
      <w:r>
        <w:rPr>
          <w:rFonts w:ascii="Arial" w:cs="Arial" w:eastAsia="Arial" w:hAnsi="Arial"/>
          <w:sz w:val="19"/>
          <w:szCs w:val="19"/>
          <w:color w:val="011B2B"/>
        </w:rPr>
        <w:t>(i) one percent of the outstanding shares of the class or (ii) the average weekly reported trading volume for shares of the class during the four calendar weeks preceding the filing of the notice of sale referred to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714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4" w:lineRule="exact"/>
        <w:rPr>
          <w:sz w:val="20"/>
          <w:szCs w:val="20"/>
          <w:color w:val="auto"/>
        </w:rPr>
      </w:pPr>
    </w:p>
    <w:p>
      <w:pPr>
        <w:ind w:right="160" w:firstLine="8"/>
        <w:spacing w:after="0" w:line="231" w:lineRule="auto"/>
        <w:tabs>
          <w:tab w:leader="none" w:pos="92" w:val="left"/>
        </w:tabs>
        <w:numPr>
          <w:ilvl w:val="0"/>
          <w:numId w:val="194"/>
        </w:numPr>
        <w:rPr>
          <w:rFonts w:ascii="Arial" w:cs="Arial" w:eastAsia="Arial" w:hAnsi="Arial"/>
          <w:sz w:val="19"/>
          <w:szCs w:val="19"/>
          <w:color w:val="011B2B"/>
          <w:vertAlign w:val="superscript"/>
        </w:rPr>
      </w:pPr>
      <w:r>
        <w:rPr>
          <w:rFonts w:ascii="Arial" w:cs="Arial" w:eastAsia="Arial" w:hAnsi="Arial"/>
          <w:sz w:val="14"/>
          <w:szCs w:val="14"/>
          <w:color w:val="465058"/>
        </w:rPr>
        <w:t>An individual’s status as an affiliate is fact dependent and requires an evaluation of the individual’s “control” over the issuer (i.e., the extent to which the individual possesses, directly or indirectly, the power to direct or cause the direction of management and the policies of the issuer).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262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12 of 18</w:t>
      </w:r>
    </w:p>
    <w:p>
      <w:pPr>
        <w:sectPr>
          <w:pgSz w:w="11900" w:h="16838" w:orient="portrait"/>
          <w:cols w:equalWidth="0" w:num="2">
            <w:col w:w="8540" w:space="720"/>
            <w:col w:w="1980"/>
          </w:cols>
          <w:pgMar w:left="320" w:top="895" w:right="339" w:bottom="1440" w:gutter="0" w:footer="0" w:header="0"/>
          <w:type w:val="continuous"/>
        </w:sectPr>
      </w:pPr>
    </w:p>
    <w:bookmarkStart w:id="205" w:name="page206"/>
    <w:bookmarkEnd w:id="205"/>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hanging="328"/>
        <w:spacing w:after="0" w:line="300" w:lineRule="auto"/>
        <w:tabs>
          <w:tab w:leader="none" w:pos="656" w:val="left"/>
        </w:tabs>
        <w:numPr>
          <w:ilvl w:val="0"/>
          <w:numId w:val="195"/>
        </w:numPr>
        <w:rPr>
          <w:rFonts w:ascii="Arial" w:cs="Arial" w:eastAsia="Arial" w:hAnsi="Arial"/>
          <w:sz w:val="19"/>
          <w:szCs w:val="19"/>
          <w:color w:val="0626A9"/>
        </w:rPr>
      </w:pPr>
      <w:r>
        <w:rPr>
          <w:rFonts w:ascii="Arial" w:cs="Arial" w:eastAsia="Arial" w:hAnsi="Arial"/>
          <w:sz w:val="19"/>
          <w:szCs w:val="19"/>
          <w:b w:val="1"/>
          <w:bCs w:val="1"/>
          <w:color w:val="011B2B"/>
        </w:rPr>
        <w:t>Manner of Sale</w:t>
      </w:r>
      <w:r>
        <w:rPr>
          <w:rFonts w:ascii="Arial" w:cs="Arial" w:eastAsia="Arial" w:hAnsi="Arial"/>
          <w:sz w:val="19"/>
          <w:szCs w:val="19"/>
          <w:color w:val="011B2B"/>
        </w:rPr>
        <w:t>. The securities must be sold in (i) unsolicited brokers’ transactions, (ii) directly to a market-maker or (iii) in</w:t>
      </w:r>
      <w:r>
        <w:rPr>
          <w:rFonts w:ascii="Arial" w:cs="Arial" w:eastAsia="Arial" w:hAnsi="Arial"/>
          <w:sz w:val="19"/>
          <w:szCs w:val="19"/>
          <w:b w:val="1"/>
          <w:bCs w:val="1"/>
          <w:color w:val="011B2B"/>
        </w:rPr>
        <w:t xml:space="preserve"> </w:t>
      </w:r>
      <w:r>
        <w:rPr>
          <w:rFonts w:ascii="Arial" w:cs="Arial" w:eastAsia="Arial" w:hAnsi="Arial"/>
          <w:sz w:val="19"/>
          <w:szCs w:val="19"/>
          <w:color w:val="011B2B"/>
        </w:rPr>
        <w:t>certain riskless principal transactions.</w:t>
      </w:r>
    </w:p>
    <w:p>
      <w:pPr>
        <w:spacing w:after="0" w:line="47" w:lineRule="exact"/>
        <w:rPr>
          <w:rFonts w:ascii="Arial" w:cs="Arial" w:eastAsia="Arial" w:hAnsi="Arial"/>
          <w:sz w:val="19"/>
          <w:szCs w:val="19"/>
          <w:color w:val="0626A9"/>
        </w:rPr>
      </w:pPr>
    </w:p>
    <w:p>
      <w:pPr>
        <w:jc w:val="both"/>
        <w:ind w:left="660" w:hanging="328"/>
        <w:spacing w:after="0" w:line="276" w:lineRule="auto"/>
        <w:tabs>
          <w:tab w:leader="none" w:pos="656" w:val="left"/>
        </w:tabs>
        <w:numPr>
          <w:ilvl w:val="0"/>
          <w:numId w:val="195"/>
        </w:numPr>
        <w:rPr>
          <w:rFonts w:ascii="Arial" w:cs="Arial" w:eastAsia="Arial" w:hAnsi="Arial"/>
          <w:sz w:val="19"/>
          <w:szCs w:val="19"/>
          <w:color w:val="0626A9"/>
        </w:rPr>
      </w:pPr>
      <w:r>
        <w:rPr>
          <w:rFonts w:ascii="Arial" w:cs="Arial" w:eastAsia="Arial" w:hAnsi="Arial"/>
          <w:sz w:val="19"/>
          <w:szCs w:val="19"/>
          <w:b w:val="1"/>
          <w:bCs w:val="1"/>
          <w:color w:val="011B2B"/>
        </w:rPr>
        <w:t>Notice of Proposed Sale</w:t>
      </w:r>
      <w:r>
        <w:rPr>
          <w:rFonts w:ascii="Arial" w:cs="Arial" w:eastAsia="Arial" w:hAnsi="Arial"/>
          <w:sz w:val="19"/>
          <w:szCs w:val="19"/>
          <w:color w:val="011B2B"/>
        </w:rPr>
        <w:t>. The seller must electronically file a Form 144 with the SEC at the time the order to sell is placed</w:t>
      </w:r>
      <w:r>
        <w:rPr>
          <w:rFonts w:ascii="Arial" w:cs="Arial" w:eastAsia="Arial" w:hAnsi="Arial"/>
          <w:sz w:val="19"/>
          <w:szCs w:val="19"/>
          <w:b w:val="1"/>
          <w:bCs w:val="1"/>
          <w:color w:val="011B2B"/>
        </w:rPr>
        <w:t xml:space="preserve"> </w:t>
      </w:r>
      <w:r>
        <w:rPr>
          <w:rFonts w:ascii="Arial" w:cs="Arial" w:eastAsia="Arial" w:hAnsi="Arial"/>
          <w:sz w:val="19"/>
          <w:szCs w:val="19"/>
          <w:color w:val="011B2B"/>
        </w:rPr>
        <w:t>with the broker, unless the amount to be sold neither exceeds 5,000 shares nor involves sale proceeds greater than $50,000 in any three-month period.</w:t>
      </w:r>
    </w:p>
    <w:p>
      <w:pPr>
        <w:spacing w:after="0" w:line="70" w:lineRule="exact"/>
        <w:rPr>
          <w:sz w:val="20"/>
          <w:szCs w:val="20"/>
          <w:color w:val="auto"/>
        </w:rPr>
      </w:pPr>
    </w:p>
    <w:p>
      <w:pPr>
        <w:jc w:val="both"/>
        <w:ind w:left="340"/>
        <w:spacing w:after="0" w:line="278" w:lineRule="auto"/>
        <w:rPr>
          <w:sz w:val="20"/>
          <w:szCs w:val="20"/>
          <w:color w:val="auto"/>
        </w:rPr>
      </w:pPr>
      <w:r>
        <w:rPr>
          <w:rFonts w:ascii="Arial" w:cs="Arial" w:eastAsia="Arial" w:hAnsi="Arial"/>
          <w:sz w:val="19"/>
          <w:szCs w:val="19"/>
          <w:color w:val="011B2B"/>
        </w:rPr>
        <w:t>Bona fide gifts are not deemed to involve sales of stock for purposes of Rule 144, so they can be made at any time without limitation on the amount of the gift. Donees who receive restricted securities from an affiliate generally will be subject to the same restrictions under Rule 144 that would have applied to the donor for a period of up to six months following the gift, depending on the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011B2B"/>
        </w:rPr>
        <w:t>B. RESTRICTIONS ON PURCHASES OF COMPANY SECURITIES</w:t>
      </w:r>
    </w:p>
    <w:p>
      <w:pPr>
        <w:spacing w:after="0" w:line="140" w:lineRule="exact"/>
        <w:rPr>
          <w:sz w:val="20"/>
          <w:szCs w:val="20"/>
          <w:color w:val="auto"/>
        </w:rPr>
      </w:pPr>
    </w:p>
    <w:p>
      <w:pPr>
        <w:jc w:val="both"/>
        <w:ind w:left="340"/>
        <w:spacing w:after="0" w:line="270" w:lineRule="auto"/>
        <w:rPr>
          <w:sz w:val="20"/>
          <w:szCs w:val="20"/>
          <w:color w:val="auto"/>
        </w:rPr>
      </w:pPr>
      <w:r>
        <w:rPr>
          <w:rFonts w:ascii="Arial" w:cs="Arial" w:eastAsia="Arial" w:hAnsi="Arial"/>
          <w:sz w:val="19"/>
          <w:szCs w:val="19"/>
          <w:color w:val="011B2B"/>
        </w:rPr>
        <w:t>In order to prevent market manipulation, the SEC adopted Regulation M under the 1934 Act. Regulation M generally prohibits the Company or any of its affiliates from buying Company stock in the open market during certain periods while a public offering is taking place. Regulation M sets forth guidelines for purchases of Company stock by the Company or its affiliates while a stock buyback program is occurring. You should consult with the Company’s General Counsel if you desire to make purchases of Company stock during any period that the Company is making a public offering. There also may be additional considerations when the Company is buying stock from the public, so it is essential to always obtain approval prior to any transaction in Company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011B2B"/>
        </w:rPr>
        <w:t>C. DISGORGEMENT OF PROFITS ON SHORT-SWING TRANSACTIONS – SECTION 16(b)</w:t>
      </w:r>
    </w:p>
    <w:p>
      <w:pPr>
        <w:spacing w:after="0" w:line="140" w:lineRule="exact"/>
        <w:rPr>
          <w:sz w:val="20"/>
          <w:szCs w:val="20"/>
          <w:color w:val="auto"/>
        </w:rPr>
      </w:pPr>
    </w:p>
    <w:p>
      <w:pPr>
        <w:ind w:left="340" w:right="220"/>
        <w:spacing w:after="0" w:line="272" w:lineRule="auto"/>
        <w:rPr>
          <w:sz w:val="20"/>
          <w:szCs w:val="20"/>
          <w:color w:val="auto"/>
        </w:rPr>
      </w:pPr>
      <w:r>
        <w:rPr>
          <w:rFonts w:ascii="Arial" w:cs="Arial" w:eastAsia="Arial" w:hAnsi="Arial"/>
          <w:sz w:val="18"/>
          <w:szCs w:val="18"/>
          <w:color w:val="011B2B"/>
        </w:rPr>
        <w:t>Section 16 of the 1934 Act applies to directors and officers (such as the Company’s president, CFO, and principal accounting officer), and other officers or individuals who perform policy-making functions for the Company and to any person owning more than 10%</w:t>
      </w:r>
      <w:r>
        <w:rPr>
          <w:rFonts w:ascii="Arial" w:cs="Arial" w:eastAsia="Arial" w:hAnsi="Arial"/>
          <w:sz w:val="23"/>
          <w:szCs w:val="23"/>
          <w:color w:val="011B2B"/>
          <w:vertAlign w:val="superscript"/>
        </w:rPr>
        <w:t>2</w:t>
      </w:r>
      <w:r>
        <w:rPr>
          <w:rFonts w:ascii="Arial" w:cs="Arial" w:eastAsia="Arial" w:hAnsi="Arial"/>
          <w:sz w:val="18"/>
          <w:szCs w:val="18"/>
          <w:color w:val="011B2B"/>
        </w:rPr>
        <w:t xml:space="preserve"> of any registered class of the Company’s equity securities. The section is intended to deter such persons (collectively referred to below as “Insiders”) from misusing material inside information about their companies for personal trading gain.</w:t>
      </w:r>
    </w:p>
    <w:p>
      <w:pPr>
        <w:spacing w:after="0" w:line="77"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color w:val="011B2B"/>
        </w:rPr>
      </w:pPr>
      <w:r>
        <w:rPr>
          <w:rFonts w:ascii="Arial" w:cs="Arial" w:eastAsia="Arial" w:hAnsi="Arial"/>
          <w:sz w:val="19"/>
          <w:szCs w:val="19"/>
          <w:color w:val="011B2B"/>
        </w:rPr>
        <w:t>Section 16(a) requires Insiders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714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2" w:lineRule="exact"/>
        <w:rPr>
          <w:sz w:val="20"/>
          <w:szCs w:val="20"/>
          <w:color w:val="auto"/>
        </w:rPr>
      </w:pPr>
    </w:p>
    <w:p>
      <w:pPr>
        <w:ind w:firstLine="8"/>
        <w:spacing w:after="0" w:line="264" w:lineRule="auto"/>
        <w:tabs>
          <w:tab w:leader="none" w:pos="92" w:val="left"/>
        </w:tabs>
        <w:numPr>
          <w:ilvl w:val="0"/>
          <w:numId w:val="197"/>
        </w:numPr>
        <w:rPr>
          <w:rFonts w:ascii="Arial" w:cs="Arial" w:eastAsia="Arial" w:hAnsi="Arial"/>
          <w:sz w:val="19"/>
          <w:szCs w:val="19"/>
          <w:color w:val="011B2B"/>
          <w:vertAlign w:val="superscript"/>
        </w:rPr>
      </w:pPr>
      <w:r>
        <w:rPr>
          <w:rFonts w:ascii="Arial" w:cs="Arial" w:eastAsia="Arial" w:hAnsi="Arial"/>
          <w:sz w:val="14"/>
          <w:szCs w:val="14"/>
          <w:color w:val="011B2B"/>
        </w:rPr>
        <w:t xml:space="preserve">For purposes of determining status as a 10% shareholder, a person is deemed to beneficially own securities over which that person exercises voting or investment </w:t>
      </w:r>
      <w:r>
        <w:rPr>
          <w:rFonts w:ascii="Arial" w:cs="Arial" w:eastAsia="Arial" w:hAnsi="Arial"/>
          <w:sz w:val="14"/>
          <w:szCs w:val="14"/>
          <w:i w:val="1"/>
          <w:iCs w:val="1"/>
          <w:color w:val="011B2B"/>
        </w:rPr>
        <w:t>control</w:t>
      </w:r>
      <w:r>
        <w:rPr>
          <w:rFonts w:ascii="Arial" w:cs="Arial" w:eastAsia="Arial" w:hAnsi="Arial"/>
          <w:sz w:val="14"/>
          <w:szCs w:val="14"/>
          <w:color w:val="011B2B"/>
        </w:rPr>
        <w:t xml:space="preserve">. However, for reporting transactions and holdings, a person is deemed to be the beneficial owner of securities if that person has a pecuniary interest in such securities (i.e., the opportunity, directly or indirectly, to </w:t>
      </w:r>
      <w:r>
        <w:rPr>
          <w:rFonts w:ascii="Arial" w:cs="Arial" w:eastAsia="Arial" w:hAnsi="Arial"/>
          <w:sz w:val="14"/>
          <w:szCs w:val="14"/>
          <w:i w:val="1"/>
          <w:iCs w:val="1"/>
          <w:color w:val="011B2B"/>
        </w:rPr>
        <w:t>profit</w:t>
      </w:r>
      <w:r>
        <w:rPr>
          <w:rFonts w:ascii="Arial" w:cs="Arial" w:eastAsia="Arial" w:hAnsi="Arial"/>
          <w:sz w:val="14"/>
          <w:szCs w:val="14"/>
          <w:color w:val="011B2B"/>
        </w:rPr>
        <w:t xml:space="preserve"> or </w:t>
      </w:r>
      <w:r>
        <w:rPr>
          <w:rFonts w:ascii="Arial" w:cs="Arial" w:eastAsia="Arial" w:hAnsi="Arial"/>
          <w:sz w:val="14"/>
          <w:szCs w:val="14"/>
          <w:i w:val="1"/>
          <w:iCs w:val="1"/>
          <w:color w:val="011B2B"/>
        </w:rPr>
        <w:t>share in any profit</w:t>
      </w:r>
      <w:r>
        <w:rPr>
          <w:rFonts w:ascii="Arial" w:cs="Arial" w:eastAsia="Arial" w:hAnsi="Arial"/>
          <w:sz w:val="14"/>
          <w:szCs w:val="14"/>
          <w:color w:val="011B2B"/>
        </w:rPr>
        <w:t xml:space="preserve"> derived from a transaction in the securities). Section 16 does not apply to qualified institutional investors who hold securities (1) for the benefit of third parties or in customer or fiduciary accounts in the ordinary course of business and (2) without the purpose or effect of changing or influencing control over the issuer.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26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13 of 18</w:t>
      </w:r>
    </w:p>
    <w:p>
      <w:pPr>
        <w:sectPr>
          <w:pgSz w:w="11900" w:h="16838" w:orient="portrait"/>
          <w:cols w:equalWidth="0" w:num="2">
            <w:col w:w="8540" w:space="720"/>
            <w:col w:w="1980"/>
          </w:cols>
          <w:pgMar w:left="320" w:top="895" w:right="339" w:bottom="1440" w:gutter="0" w:footer="0" w:header="0"/>
          <w:type w:val="continuous"/>
        </w:sectPr>
      </w:pPr>
    </w:p>
    <w:bookmarkStart w:id="206" w:name="page207"/>
    <w:bookmarkEnd w:id="206"/>
    <w:p>
      <w:pPr>
        <w:ind w:left="432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60" w:right="1160" w:hanging="320"/>
        <w:spacing w:after="0" w:line="300" w:lineRule="auto"/>
        <w:tabs>
          <w:tab w:leader="none" w:pos="1255" w:val="left"/>
        </w:tabs>
        <w:numPr>
          <w:ilvl w:val="1"/>
          <w:numId w:val="198"/>
        </w:numPr>
        <w:rPr>
          <w:rFonts w:ascii="Arial" w:cs="Arial" w:eastAsia="Arial" w:hAnsi="Arial"/>
          <w:sz w:val="18"/>
          <w:szCs w:val="18"/>
          <w:color w:val="011B2B"/>
        </w:rPr>
      </w:pPr>
      <w:r>
        <w:rPr>
          <w:rFonts w:ascii="Arial" w:cs="Arial" w:eastAsia="Arial" w:hAnsi="Arial"/>
          <w:sz w:val="19"/>
          <w:szCs w:val="19"/>
          <w:color w:val="011B2B"/>
        </w:rPr>
        <w:t>publicly disclose any changes in their beneficial ownership of the Company’s equity securities (see “Filing Requirements” below); and</w:t>
      </w:r>
    </w:p>
    <w:p>
      <w:pPr>
        <w:spacing w:after="0" w:line="34" w:lineRule="exact"/>
        <w:rPr>
          <w:rFonts w:ascii="Arial" w:cs="Arial" w:eastAsia="Arial" w:hAnsi="Arial"/>
          <w:sz w:val="18"/>
          <w:szCs w:val="18"/>
          <w:color w:val="011B2B"/>
        </w:rPr>
      </w:pPr>
    </w:p>
    <w:p>
      <w:pPr>
        <w:ind w:left="1260" w:hanging="320"/>
        <w:spacing w:after="0"/>
        <w:tabs>
          <w:tab w:leader="none" w:pos="1260" w:val="left"/>
        </w:tabs>
        <w:numPr>
          <w:ilvl w:val="1"/>
          <w:numId w:val="198"/>
        </w:numPr>
        <w:rPr>
          <w:rFonts w:ascii="Arial" w:cs="Arial" w:eastAsia="Arial" w:hAnsi="Arial"/>
          <w:sz w:val="18"/>
          <w:szCs w:val="18"/>
          <w:color w:val="011B2B"/>
        </w:rPr>
      </w:pPr>
      <w:r>
        <w:rPr>
          <w:rFonts w:ascii="Arial" w:cs="Arial" w:eastAsia="Arial" w:hAnsi="Arial"/>
          <w:sz w:val="19"/>
          <w:szCs w:val="19"/>
          <w:color w:val="011B2B"/>
        </w:rPr>
        <w:t>disgorge to the Company any “profit” resulting from “short-swing” trades, as discussed more fully below.</w:t>
      </w:r>
    </w:p>
    <w:p>
      <w:pPr>
        <w:spacing w:after="0" w:line="132" w:lineRule="exact"/>
        <w:rPr>
          <w:rFonts w:ascii="Arial" w:cs="Arial" w:eastAsia="Arial" w:hAnsi="Arial"/>
          <w:sz w:val="18"/>
          <w:szCs w:val="18"/>
          <w:color w:val="011B2B"/>
        </w:rPr>
      </w:pPr>
    </w:p>
    <w:p>
      <w:pPr>
        <w:ind w:left="620" w:hanging="328"/>
        <w:spacing w:after="0"/>
        <w:tabs>
          <w:tab w:leader="none" w:pos="620" w:val="left"/>
        </w:tabs>
        <w:numPr>
          <w:ilvl w:val="0"/>
          <w:numId w:val="198"/>
        </w:numPr>
        <w:rPr>
          <w:rFonts w:ascii="Times New Roman" w:cs="Times New Roman" w:eastAsia="Times New Roman" w:hAnsi="Times New Roman"/>
          <w:sz w:val="19"/>
          <w:szCs w:val="19"/>
          <w:color w:val="0626A9"/>
        </w:rPr>
      </w:pPr>
      <w:r>
        <w:rPr>
          <w:rFonts w:ascii="Arial" w:cs="Arial" w:eastAsia="Arial" w:hAnsi="Arial"/>
          <w:sz w:val="19"/>
          <w:szCs w:val="19"/>
          <w:color w:val="011B2B"/>
        </w:rPr>
        <w:t>Section 16(c) effectively prohibits Insiders from engaging in short sales (see “Prohibition of Short Sales” below).</w:t>
      </w:r>
    </w:p>
    <w:p>
      <w:pPr>
        <w:spacing w:after="0" w:line="132" w:lineRule="exact"/>
        <w:rPr>
          <w:sz w:val="20"/>
          <w:szCs w:val="20"/>
          <w:color w:val="auto"/>
        </w:rPr>
      </w:pPr>
    </w:p>
    <w:p>
      <w:pPr>
        <w:jc w:val="both"/>
        <w:ind w:left="300"/>
        <w:spacing w:after="0" w:line="275" w:lineRule="auto"/>
        <w:rPr>
          <w:sz w:val="20"/>
          <w:szCs w:val="20"/>
          <w:color w:val="auto"/>
        </w:rPr>
      </w:pPr>
      <w:r>
        <w:rPr>
          <w:rFonts w:ascii="Arial" w:cs="Arial" w:eastAsia="Arial" w:hAnsi="Arial"/>
          <w:sz w:val="19"/>
          <w:szCs w:val="19"/>
          <w:color w:val="011B2B"/>
        </w:rPr>
        <w:t>Under Section 16(b), any profit realized by an Insider on a “short-swing” transaction (i.e.,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w:t>
      </w:r>
    </w:p>
    <w:p>
      <w:pPr>
        <w:spacing w:after="0" w:line="71" w:lineRule="exact"/>
        <w:rPr>
          <w:sz w:val="20"/>
          <w:szCs w:val="20"/>
          <w:color w:val="auto"/>
        </w:rPr>
      </w:pPr>
    </w:p>
    <w:p>
      <w:pPr>
        <w:jc w:val="both"/>
        <w:ind w:left="300"/>
        <w:spacing w:after="0" w:line="269" w:lineRule="auto"/>
        <w:rPr>
          <w:sz w:val="20"/>
          <w:szCs w:val="20"/>
          <w:color w:val="auto"/>
        </w:rPr>
      </w:pPr>
      <w:r>
        <w:rPr>
          <w:rFonts w:ascii="Arial" w:cs="Arial" w:eastAsia="Arial" w:hAnsi="Arial"/>
          <w:sz w:val="19"/>
          <w:szCs w:val="19"/>
          <w:color w:val="011B2B"/>
        </w:rPr>
        <w:t>Liability under Section 16(b) is imposed in a mechanical fashion without regard to whether the Insider intended to violate the section. Good faith, therefore, is not a defense. All that is necessary for a successful claim is to show that the Insider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 month period, the courts maximize the recovery by matching the lowest purchase price with the highest sale price, the next lowest purchase price with the next highest sale price, and so on, regardless of actual gains or losses. This method can result in recoverable profits being calculated even if the Insider sustains a net loss across a series of transactions.</w:t>
      </w:r>
    </w:p>
    <w:p>
      <w:pPr>
        <w:spacing w:after="0" w:line="79" w:lineRule="exact"/>
        <w:rPr>
          <w:sz w:val="20"/>
          <w:szCs w:val="20"/>
          <w:color w:val="auto"/>
        </w:rPr>
      </w:pPr>
    </w:p>
    <w:p>
      <w:pPr>
        <w:ind w:left="300" w:right="160"/>
        <w:spacing w:after="0" w:line="273" w:lineRule="auto"/>
        <w:rPr>
          <w:sz w:val="20"/>
          <w:szCs w:val="20"/>
          <w:color w:val="auto"/>
        </w:rPr>
      </w:pPr>
      <w:r>
        <w:rPr>
          <w:rFonts w:ascii="Arial" w:cs="Arial" w:eastAsia="Arial" w:hAnsi="Arial"/>
          <w:sz w:val="19"/>
          <w:szCs w:val="19"/>
          <w:color w:val="011B2B"/>
        </w:rPr>
        <w:t>The terms “purchase” and “sale” are construed under Section 16(b) to cover a broad range of transactions, including acquisitions and dispositions in tender offers and certain corporate reorganizations. Moreover, purchases and sales by an Insider may be matched with transactions by any person whose securities are deemed to be beneficially owned by the Insider (such as certain family members or controlled entities).</w:t>
      </w:r>
    </w:p>
    <w:p>
      <w:pPr>
        <w:spacing w:after="0" w:line="72" w:lineRule="exact"/>
        <w:rPr>
          <w:sz w:val="20"/>
          <w:szCs w:val="20"/>
          <w:color w:val="auto"/>
        </w:rPr>
      </w:pPr>
    </w:p>
    <w:p>
      <w:pPr>
        <w:jc w:val="both"/>
        <w:ind w:left="300" w:right="620"/>
        <w:spacing w:after="0" w:line="306" w:lineRule="auto"/>
        <w:rPr>
          <w:sz w:val="20"/>
          <w:szCs w:val="20"/>
          <w:color w:val="auto"/>
        </w:rPr>
      </w:pPr>
      <w:r>
        <w:rPr>
          <w:rFonts w:ascii="Arial" w:cs="Arial" w:eastAsia="Arial" w:hAnsi="Arial"/>
          <w:sz w:val="18"/>
          <w:szCs w:val="18"/>
          <w:color w:val="011B2B"/>
        </w:rPr>
        <w:t>The Section 16 rules are complicated and present ample opportunity for inadvertent error. To avoid unnecessary costs and potential embarrassment for Insiders and the Company, Insiders must consult with the Company’s General Counsel prior to engaging in any transaction or other transfer of Company equity securities that may constitute a “short-swing” trade.</w:t>
      </w:r>
    </w:p>
    <w:p>
      <w:pPr>
        <w:sectPr>
          <w:pgSz w:w="11900" w:h="16838" w:orient="portrait"/>
          <w:cols w:equalWidth="0" w:num="1">
            <w:col w:w="11200"/>
          </w:cols>
          <w:pgMar w:left="36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45262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14 of 18</w:t>
      </w:r>
    </w:p>
    <w:p>
      <w:pPr>
        <w:sectPr>
          <w:pgSz w:w="11900" w:h="16838" w:orient="portrait"/>
          <w:cols w:equalWidth="0" w:num="2">
            <w:col w:w="8500" w:space="720"/>
            <w:col w:w="1980"/>
          </w:cols>
          <w:pgMar w:left="360" w:top="895" w:right="339" w:bottom="1440" w:gutter="0" w:footer="0" w:header="0"/>
          <w:type w:val="continuous"/>
        </w:sectPr>
      </w:pPr>
    </w:p>
    <w:bookmarkStart w:id="207" w:name="page208"/>
    <w:bookmarkEnd w:id="207"/>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011B2B"/>
        </w:rPr>
        <w:t>D. PROHIBITION OF SHORT SALES</w:t>
      </w:r>
    </w:p>
    <w:p>
      <w:pPr>
        <w:spacing w:after="0" w:line="140" w:lineRule="exact"/>
        <w:rPr>
          <w:sz w:val="20"/>
          <w:szCs w:val="20"/>
          <w:color w:val="auto"/>
        </w:rPr>
      </w:pPr>
    </w:p>
    <w:p>
      <w:pPr>
        <w:jc w:val="both"/>
        <w:ind w:left="340"/>
        <w:spacing w:after="0" w:line="271" w:lineRule="auto"/>
        <w:rPr>
          <w:sz w:val="20"/>
          <w:szCs w:val="20"/>
          <w:color w:val="auto"/>
        </w:rPr>
      </w:pPr>
      <w:r>
        <w:rPr>
          <w:rFonts w:ascii="Arial" w:cs="Arial" w:eastAsia="Arial" w:hAnsi="Arial"/>
          <w:sz w:val="19"/>
          <w:szCs w:val="19"/>
          <w:color w:val="011B2B"/>
        </w:rPr>
        <w:t>Under Section 16(c),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 Wholly apart from Section 16(c), the Company prohibits directors, officers and employees from short selling the Company’s stock. This type of activity is inherently speculative in nature and is contrary to the best interests of the Company and its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011B2B"/>
        </w:rPr>
        <w:t>E. FILING REQUIREMENTS</w:t>
      </w:r>
    </w:p>
    <w:p>
      <w:pPr>
        <w:spacing w:after="0" w:line="140" w:lineRule="exact"/>
        <w:rPr>
          <w:sz w:val="20"/>
          <w:szCs w:val="20"/>
          <w:color w:val="auto"/>
        </w:rPr>
      </w:pPr>
    </w:p>
    <w:p>
      <w:pPr>
        <w:jc w:val="both"/>
        <w:ind w:left="660" w:hanging="328"/>
        <w:spacing w:after="0" w:line="283" w:lineRule="auto"/>
        <w:tabs>
          <w:tab w:leader="none" w:pos="656" w:val="left"/>
        </w:tabs>
        <w:numPr>
          <w:ilvl w:val="0"/>
          <w:numId w:val="199"/>
        </w:numPr>
        <w:rPr>
          <w:rFonts w:ascii="Arial" w:cs="Arial" w:eastAsia="Arial" w:hAnsi="Arial"/>
          <w:sz w:val="19"/>
          <w:szCs w:val="19"/>
          <w:color w:val="0626A9"/>
        </w:rPr>
      </w:pPr>
      <w:r>
        <w:rPr>
          <w:rFonts w:ascii="Arial" w:cs="Arial" w:eastAsia="Arial" w:hAnsi="Arial"/>
          <w:sz w:val="19"/>
          <w:szCs w:val="19"/>
          <w:b w:val="1"/>
          <w:bCs w:val="1"/>
          <w:color w:val="011B2B"/>
        </w:rPr>
        <w:t xml:space="preserve">Forms 3, 4 and 5. </w:t>
      </w:r>
      <w:r>
        <w:rPr>
          <w:rFonts w:ascii="Arial" w:cs="Arial" w:eastAsia="Arial" w:hAnsi="Arial"/>
          <w:sz w:val="19"/>
          <w:szCs w:val="19"/>
          <w:color w:val="011B2B"/>
        </w:rPr>
        <w:t>Under Section 16(a) of the 1934 Act, Insiders must file with the SEC public reports disclosing their holdings</w:t>
      </w:r>
      <w:r>
        <w:rPr>
          <w:rFonts w:ascii="Arial" w:cs="Arial" w:eastAsia="Arial" w:hAnsi="Arial"/>
          <w:sz w:val="19"/>
          <w:szCs w:val="19"/>
          <w:b w:val="1"/>
          <w:bCs w:val="1"/>
          <w:color w:val="011B2B"/>
        </w:rPr>
        <w:t xml:space="preserve"> </w:t>
      </w:r>
      <w:r>
        <w:rPr>
          <w:rFonts w:ascii="Arial" w:cs="Arial" w:eastAsia="Arial" w:hAnsi="Arial"/>
          <w:sz w:val="19"/>
          <w:szCs w:val="19"/>
          <w:color w:val="011B2B"/>
        </w:rPr>
        <w:t>of, and transactions involving, the Company’s equity securities. Copies of these reports must also be submitted to the Company.</w:t>
      </w:r>
    </w:p>
    <w:p>
      <w:pPr>
        <w:spacing w:after="0" w:line="64" w:lineRule="exact"/>
        <w:rPr>
          <w:sz w:val="20"/>
          <w:szCs w:val="20"/>
          <w:color w:val="auto"/>
        </w:rPr>
      </w:pPr>
    </w:p>
    <w:p>
      <w:pPr>
        <w:jc w:val="both"/>
        <w:ind w:left="660" w:hanging="328"/>
        <w:spacing w:after="0" w:line="275" w:lineRule="auto"/>
        <w:tabs>
          <w:tab w:leader="none" w:pos="659" w:val="left"/>
        </w:tabs>
        <w:numPr>
          <w:ilvl w:val="0"/>
          <w:numId w:val="200"/>
        </w:numPr>
        <w:rPr>
          <w:rFonts w:ascii="Times New Roman" w:cs="Times New Roman" w:eastAsia="Times New Roman" w:hAnsi="Times New Roman"/>
          <w:sz w:val="19"/>
          <w:szCs w:val="19"/>
          <w:color w:val="0626A9"/>
        </w:rPr>
      </w:pPr>
      <w:r>
        <w:rPr>
          <w:rFonts w:ascii="Arial" w:cs="Arial" w:eastAsia="Arial" w:hAnsi="Arial"/>
          <w:sz w:val="19"/>
          <w:szCs w:val="19"/>
          <w:color w:val="011B2B"/>
        </w:rPr>
        <w:t>An initial report on Form 3 must be filed by every Insider within 10 days after election or appointment disclosing all equity securities of the Company beneficially owned by the reporting person on the date he or she became an Insider. Even if no securities were owned on that date, the Insider must file a report.</w:t>
      </w:r>
    </w:p>
    <w:p>
      <w:pPr>
        <w:spacing w:after="0" w:line="71" w:lineRule="exact"/>
        <w:rPr>
          <w:rFonts w:ascii="Times New Roman" w:cs="Times New Roman" w:eastAsia="Times New Roman" w:hAnsi="Times New Roman"/>
          <w:sz w:val="19"/>
          <w:szCs w:val="19"/>
          <w:color w:val="0626A9"/>
        </w:rPr>
      </w:pPr>
    </w:p>
    <w:p>
      <w:pPr>
        <w:jc w:val="both"/>
        <w:ind w:left="660" w:hanging="328"/>
        <w:spacing w:after="0" w:line="283" w:lineRule="auto"/>
        <w:tabs>
          <w:tab w:leader="none" w:pos="659" w:val="left"/>
        </w:tabs>
        <w:numPr>
          <w:ilvl w:val="0"/>
          <w:numId w:val="200"/>
        </w:numPr>
        <w:rPr>
          <w:rFonts w:ascii="Times New Roman" w:cs="Times New Roman" w:eastAsia="Times New Roman" w:hAnsi="Times New Roman"/>
          <w:sz w:val="19"/>
          <w:szCs w:val="19"/>
          <w:color w:val="0626A9"/>
        </w:rPr>
      </w:pPr>
      <w:r>
        <w:rPr>
          <w:rFonts w:ascii="Arial" w:cs="Arial" w:eastAsia="Arial" w:hAnsi="Arial"/>
          <w:sz w:val="19"/>
          <w:szCs w:val="19"/>
          <w:color w:val="011B2B"/>
        </w:rPr>
        <w:t>Any subsequent change in the nature or amount of beneficial ownership by the Insider, including gifts, must be reported on Form 4 and filed by the end of the second business day following the date of the transaction. Under the SEC’s amended rules, gifts are no longer exempt from immediate reporting and must be disclosed on Form 4.</w:t>
      </w:r>
    </w:p>
    <w:p>
      <w:pPr>
        <w:spacing w:after="0" w:line="63" w:lineRule="exact"/>
        <w:rPr>
          <w:rFonts w:ascii="Times New Roman" w:cs="Times New Roman" w:eastAsia="Times New Roman" w:hAnsi="Times New Roman"/>
          <w:sz w:val="19"/>
          <w:szCs w:val="19"/>
          <w:color w:val="0626A9"/>
        </w:rPr>
      </w:pPr>
    </w:p>
    <w:p>
      <w:pPr>
        <w:jc w:val="both"/>
        <w:ind w:left="660" w:hanging="328"/>
        <w:spacing w:after="0" w:line="269" w:lineRule="auto"/>
        <w:tabs>
          <w:tab w:leader="none" w:pos="659" w:val="left"/>
        </w:tabs>
        <w:numPr>
          <w:ilvl w:val="0"/>
          <w:numId w:val="200"/>
        </w:numPr>
        <w:rPr>
          <w:rFonts w:ascii="Times New Roman" w:cs="Times New Roman" w:eastAsia="Times New Roman" w:hAnsi="Times New Roman"/>
          <w:sz w:val="19"/>
          <w:szCs w:val="19"/>
          <w:color w:val="0626A9"/>
        </w:rPr>
      </w:pPr>
      <w:r>
        <w:rPr>
          <w:rFonts w:ascii="Arial" w:cs="Arial" w:eastAsia="Arial" w:hAnsi="Arial"/>
          <w:sz w:val="19"/>
          <w:szCs w:val="19"/>
          <w:color w:val="011B2B"/>
        </w:rPr>
        <w:t>Certain exempt transactions may be reported on Form 5 within 45 days after the end of the fiscal year. The fact that an Insider’s transactions resulted in no net change, or the fact that no securities were owned after the transactions were completed, does not provide a basis for failing to report. Changes in the form of beneficial ownership that do not alter a person’s pecuniary interest in the securities (e.g., transfers from direct to indirect ownership) generally do not trigger an immediate Form 4 reporting requirement. However, such changes must still be reported on Form 5 within 45 days of the end of the fiscal year if not previously reported. Transactions such as stock dividends are generally reportable. Moreover, an officer or director who has ceased to be an Insider must report any transactions after termination which occurred within six months of a transaction that occurred while the person was an Insider.</w:t>
      </w:r>
    </w:p>
    <w:p>
      <w:pPr>
        <w:spacing w:after="0" w:line="78" w:lineRule="exact"/>
        <w:rPr>
          <w:rFonts w:ascii="Times New Roman" w:cs="Times New Roman" w:eastAsia="Times New Roman" w:hAnsi="Times New Roman"/>
          <w:sz w:val="19"/>
          <w:szCs w:val="19"/>
          <w:color w:val="0626A9"/>
        </w:rPr>
      </w:pPr>
    </w:p>
    <w:p>
      <w:pPr>
        <w:ind w:left="660"/>
        <w:spacing w:after="0" w:line="300" w:lineRule="auto"/>
        <w:rPr>
          <w:rFonts w:ascii="Times New Roman" w:cs="Times New Roman" w:eastAsia="Times New Roman" w:hAnsi="Times New Roman"/>
          <w:sz w:val="19"/>
          <w:szCs w:val="19"/>
          <w:color w:val="0626A9"/>
        </w:rPr>
      </w:pPr>
      <w:r>
        <w:rPr>
          <w:rFonts w:ascii="Arial" w:cs="Arial" w:eastAsia="Arial" w:hAnsi="Arial"/>
          <w:sz w:val="19"/>
          <w:szCs w:val="19"/>
          <w:color w:val="011B2B"/>
        </w:rPr>
        <w:t>The reports under Section 16(a) are intended to cover all securities beneficially owned either directly by the Insider or indirectly through others. An Insider is considered the direct owner of all Company equity securities held in his or her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262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15 of 18</w:t>
      </w:r>
    </w:p>
    <w:p>
      <w:pPr>
        <w:sectPr>
          <w:pgSz w:w="11900" w:h="16838" w:orient="portrait"/>
          <w:cols w:equalWidth="0" w:num="2">
            <w:col w:w="8540" w:space="720"/>
            <w:col w:w="1980"/>
          </w:cols>
          <w:pgMar w:left="320" w:top="895" w:right="339" w:bottom="1440" w:gutter="0" w:footer="0" w:header="0"/>
          <w:type w:val="continuous"/>
        </w:sectPr>
      </w:pPr>
    </w:p>
    <w:bookmarkStart w:id="208" w:name="page209"/>
    <w:bookmarkEnd w:id="208"/>
    <w:p>
      <w:pPr>
        <w:ind w:left="432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20"/>
        <w:spacing w:after="0" w:line="270" w:lineRule="auto"/>
        <w:rPr>
          <w:sz w:val="20"/>
          <w:szCs w:val="20"/>
          <w:color w:val="auto"/>
        </w:rPr>
      </w:pPr>
      <w:r>
        <w:rPr>
          <w:rFonts w:ascii="Arial" w:cs="Arial" w:eastAsia="Arial" w:hAnsi="Arial"/>
          <w:sz w:val="19"/>
          <w:szCs w:val="19"/>
          <w:color w:val="011B2B"/>
        </w:rPr>
        <w:t>own name or held jointly with others. An Insider is considered the indirect owner of any securities from which he or she obtains benefits substantially equivalent to those of ownership. Thus, equity securities of the Company beneficially owned through partnerships, corporations, trusts, estates and by family members generally are subject to reporting. Absent countervailing facts, an Insider is presumed to be the beneficial owner of securities held by his or her spouse, domestic partner and other family members sharing the same home. An Insider may, however, seek to disclaim beneficial ownership of these or any other securities being reported if the Insider believes there is a reasonable basis for doing so.</w:t>
      </w:r>
    </w:p>
    <w:p>
      <w:pPr>
        <w:spacing w:after="0" w:line="78"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011B2B"/>
        </w:rPr>
        <w:t>It is important that reports under Section 16(a) be prepared properly and filed on a timely basis. The reports must be received at the SEC by the filing deadline. There is no provision for an extension of the filing deadlines, and the SEC can take enforcement action against Insiders who do not comply fully with the filing requirements. In addition, the Company is required to disclose in its annual proxy statement the names of Insiders who failed to file Section 16(a) reports properly during the fiscal year, along with the particulars of such instances of non-compliance. All Insiders must notify the Company’s General Counsel prior to any transactions or changes in their or their family members’ beneficial ownership, or any account they could reasonably be expected to influence or control, involving Company stock and to avail themselves of the assistance available from the General Counsel’s office in satisfying the reporting requirements. Insiders should also ensure their EDGAR access codes are up to date to meet these filing requirements.</w:t>
      </w:r>
    </w:p>
    <w:p>
      <w:pPr>
        <w:spacing w:after="0" w:line="81" w:lineRule="exact"/>
        <w:rPr>
          <w:sz w:val="20"/>
          <w:szCs w:val="20"/>
          <w:color w:val="auto"/>
        </w:rPr>
      </w:pPr>
    </w:p>
    <w:p>
      <w:pPr>
        <w:jc w:val="both"/>
        <w:ind w:left="620" w:hanging="328"/>
        <w:spacing w:after="0" w:line="291" w:lineRule="auto"/>
        <w:tabs>
          <w:tab w:leader="none" w:pos="616" w:val="left"/>
        </w:tabs>
        <w:numPr>
          <w:ilvl w:val="0"/>
          <w:numId w:val="201"/>
        </w:numPr>
        <w:rPr>
          <w:rFonts w:ascii="Arial" w:cs="Arial" w:eastAsia="Arial" w:hAnsi="Arial"/>
          <w:sz w:val="19"/>
          <w:szCs w:val="19"/>
          <w:color w:val="0626A9"/>
        </w:rPr>
      </w:pPr>
      <w:r>
        <w:rPr>
          <w:rFonts w:ascii="Arial" w:cs="Arial" w:eastAsia="Arial" w:hAnsi="Arial"/>
          <w:sz w:val="20"/>
          <w:szCs w:val="20"/>
          <w:b w:val="1"/>
          <w:bCs w:val="1"/>
          <w:color w:val="011B2B"/>
        </w:rPr>
        <w:t>Schedule 13D and 13G</w:t>
      </w:r>
      <w:r>
        <w:rPr>
          <w:rFonts w:ascii="Arial" w:cs="Arial" w:eastAsia="Arial" w:hAnsi="Arial"/>
          <w:sz w:val="20"/>
          <w:szCs w:val="20"/>
          <w:i w:val="1"/>
          <w:iCs w:val="1"/>
          <w:color w:val="011B2B"/>
        </w:rPr>
        <w:t>.</w:t>
      </w:r>
      <w:r>
        <w:rPr>
          <w:rFonts w:ascii="Arial" w:cs="Arial" w:eastAsia="Arial" w:hAnsi="Arial"/>
          <w:sz w:val="20"/>
          <w:szCs w:val="20"/>
          <w:b w:val="1"/>
          <w:bCs w:val="1"/>
          <w:color w:val="011B2B"/>
        </w:rPr>
        <w:t xml:space="preserve"> </w:t>
      </w:r>
      <w:r>
        <w:rPr>
          <w:rFonts w:ascii="Arial" w:cs="Arial" w:eastAsia="Arial" w:hAnsi="Arial"/>
          <w:sz w:val="18"/>
          <w:szCs w:val="18"/>
          <w:color w:val="011B2B"/>
        </w:rPr>
        <w:t>Section 13(d) of the 1934 Act requires the filing of a statement on Schedule 13D (or on Schedule</w:t>
      </w:r>
      <w:r>
        <w:rPr>
          <w:rFonts w:ascii="Arial" w:cs="Arial" w:eastAsia="Arial" w:hAnsi="Arial"/>
          <w:sz w:val="20"/>
          <w:szCs w:val="20"/>
          <w:b w:val="1"/>
          <w:bCs w:val="1"/>
          <w:color w:val="011B2B"/>
        </w:rPr>
        <w:t xml:space="preserve"> </w:t>
      </w:r>
      <w:r>
        <w:rPr>
          <w:rFonts w:ascii="Arial" w:cs="Arial" w:eastAsia="Arial" w:hAnsi="Arial"/>
          <w:sz w:val="18"/>
          <w:szCs w:val="18"/>
          <w:color w:val="011B2B"/>
        </w:rPr>
        <w:t>13G, in certain limited circumstances) by any person or group which acquires beneficial ownership of more than five percent of a class of equity securities registered under the 1934 Act. The threshold for reporting is met if the stock owned, when coupled with the amount of stock subject to options exercisable within 60 days, exceeds the five percent limit.</w:t>
      </w:r>
    </w:p>
    <w:p>
      <w:pPr>
        <w:spacing w:after="0" w:line="58" w:lineRule="exact"/>
        <w:rPr>
          <w:rFonts w:ascii="Arial" w:cs="Arial" w:eastAsia="Arial" w:hAnsi="Arial"/>
          <w:sz w:val="19"/>
          <w:szCs w:val="19"/>
          <w:color w:val="0626A9"/>
        </w:rPr>
      </w:pPr>
    </w:p>
    <w:p>
      <w:pPr>
        <w:jc w:val="both"/>
        <w:ind w:left="620"/>
        <w:spacing w:after="0" w:line="275" w:lineRule="auto"/>
        <w:rPr>
          <w:rFonts w:ascii="Arial" w:cs="Arial" w:eastAsia="Arial" w:hAnsi="Arial"/>
          <w:sz w:val="19"/>
          <w:szCs w:val="19"/>
          <w:color w:val="0626A9"/>
        </w:rPr>
      </w:pPr>
      <w:r>
        <w:rPr>
          <w:rFonts w:ascii="Arial" w:cs="Arial" w:eastAsia="Arial" w:hAnsi="Arial"/>
          <w:sz w:val="19"/>
          <w:szCs w:val="19"/>
          <w:color w:val="011B2B"/>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 A decrease in beneficial ownership to less than five percent is per se material and must be reported.</w:t>
      </w:r>
    </w:p>
    <w:p>
      <w:pPr>
        <w:spacing w:after="0" w:line="71" w:lineRule="exact"/>
        <w:rPr>
          <w:rFonts w:ascii="Arial" w:cs="Arial" w:eastAsia="Arial" w:hAnsi="Arial"/>
          <w:sz w:val="19"/>
          <w:szCs w:val="19"/>
          <w:color w:val="0626A9"/>
        </w:rPr>
      </w:pPr>
    </w:p>
    <w:p>
      <w:pPr>
        <w:jc w:val="both"/>
        <w:ind w:left="620"/>
        <w:spacing w:after="0" w:line="276" w:lineRule="auto"/>
        <w:rPr>
          <w:rFonts w:ascii="Arial" w:cs="Arial" w:eastAsia="Arial" w:hAnsi="Arial"/>
          <w:sz w:val="19"/>
          <w:szCs w:val="19"/>
          <w:color w:val="0626A9"/>
        </w:rPr>
      </w:pPr>
      <w:r>
        <w:rPr>
          <w:rFonts w:ascii="Arial" w:cs="Arial" w:eastAsia="Arial" w:hAnsi="Arial"/>
          <w:sz w:val="19"/>
          <w:szCs w:val="19"/>
          <w:color w:val="011B2B"/>
        </w:rPr>
        <w:t>A person is deemed the beneficial owner of securities for purposes of Section 13(d) if such person has or shares voting power (i.e., the power to vote or direct the voting of the securities) or dispositive power (i.e., the power to sell or direct the sale of the securities). Beneficial ownership may also extend to securities</w:t>
      </w:r>
    </w:p>
    <w:p>
      <w:pPr>
        <w:sectPr>
          <w:pgSz w:w="11900" w:h="16838" w:orient="portrait"/>
          <w:cols w:equalWidth="0" w:num="1">
            <w:col w:w="11200"/>
          </w:cols>
          <w:pgMar w:left="36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45262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16 of 18</w:t>
      </w:r>
    </w:p>
    <w:p>
      <w:pPr>
        <w:sectPr>
          <w:pgSz w:w="11900" w:h="16838" w:orient="portrait"/>
          <w:cols w:equalWidth="0" w:num="2">
            <w:col w:w="8500" w:space="720"/>
            <w:col w:w="1980"/>
          </w:cols>
          <w:pgMar w:left="360" w:top="895" w:right="339" w:bottom="1440" w:gutter="0" w:footer="0" w:header="0"/>
          <w:type w:val="continuous"/>
        </w:sectPr>
      </w:pPr>
    </w:p>
    <w:bookmarkStart w:id="209" w:name="page210"/>
    <w:bookmarkEnd w:id="209"/>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660"/>
        <w:spacing w:after="0" w:line="276" w:lineRule="auto"/>
        <w:rPr>
          <w:sz w:val="20"/>
          <w:szCs w:val="20"/>
          <w:color w:val="auto"/>
        </w:rPr>
      </w:pPr>
      <w:r>
        <w:rPr>
          <w:rFonts w:ascii="Arial" w:cs="Arial" w:eastAsia="Arial" w:hAnsi="Arial"/>
          <w:sz w:val="19"/>
          <w:szCs w:val="19"/>
          <w:color w:val="011B2B"/>
        </w:rPr>
        <w:t>held indirectly through trusts, family members, or other controlled entities. As is true under Section 16(a) of the 1934 Act, a person filing a Schedule 13D may seek to disclaim beneficial ownership of any securities attributed to him or her if he or she believes there is a reasonable basis for doing so.</w:t>
      </w:r>
    </w:p>
    <w:p>
      <w:pPr>
        <w:spacing w:after="0" w:line="63"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V. Potential disciplinary sanctions</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011B2B"/>
        </w:rPr>
        <w:t>A. COMPANY DISCLOSURE</w:t>
      </w:r>
    </w:p>
    <w:p>
      <w:pPr>
        <w:spacing w:after="0" w:line="140" w:lineRule="exact"/>
        <w:rPr>
          <w:sz w:val="20"/>
          <w:szCs w:val="20"/>
          <w:color w:val="auto"/>
        </w:rPr>
      </w:pPr>
    </w:p>
    <w:p>
      <w:pPr>
        <w:jc w:val="both"/>
        <w:ind w:left="340"/>
        <w:spacing w:after="0" w:line="272" w:lineRule="auto"/>
        <w:rPr>
          <w:sz w:val="20"/>
          <w:szCs w:val="20"/>
          <w:color w:val="auto"/>
        </w:rPr>
      </w:pPr>
      <w:r>
        <w:rPr>
          <w:rFonts w:ascii="Arial" w:cs="Arial" w:eastAsia="Arial" w:hAnsi="Arial"/>
          <w:sz w:val="19"/>
          <w:szCs w:val="19"/>
          <w:color w:val="011B2B"/>
        </w:rPr>
        <w:t>Violation of this Policy or insider trading or tipping laws by any director, officer or employee may subject such director to dismissal proceedings and such officer or employee to disciplinary action by the Company up to and including termination for cause. A violation of this Policy is not necessarily the same as a violation of law. In fact, this Policy contains requirements that may be broader than the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color w:val="011B2B"/>
        </w:rPr>
        <w:t>B. REPORTING OF VIOLATIONS</w:t>
      </w:r>
    </w:p>
    <w:p>
      <w:pPr>
        <w:spacing w:after="0" w:line="140"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011B2B"/>
        </w:rPr>
        <w:t>Any director, officer or employee who violates this Policy or any federal or state laws governing insider trading or tipping, or knows of any such violation by any other director, officer or employee, must report the violation immediately to the General Counsel. Upon learning of any such violation, the General Counsel will determine whether the Company should release any material inside information, or whether the Company should report the violation to the SEC or other appropriate governmental authority.</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45262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17 of 18</w:t>
      </w:r>
    </w:p>
    <w:p>
      <w:pPr>
        <w:sectPr>
          <w:pgSz w:w="11900" w:h="16838" w:orient="portrait"/>
          <w:cols w:equalWidth="0" w:num="2">
            <w:col w:w="8540" w:space="720"/>
            <w:col w:w="1980"/>
          </w:cols>
          <w:pgMar w:left="320" w:top="895" w:right="339" w:bottom="1440" w:gutter="0" w:footer="0" w:header="0"/>
          <w:type w:val="continuous"/>
        </w:sectPr>
      </w:pPr>
    </w:p>
    <w:bookmarkStart w:id="210" w:name="page211"/>
    <w:bookmarkEnd w:id="210"/>
    <w:p>
      <w:pPr>
        <w:ind w:left="4360"/>
        <w:spacing w:after="0"/>
        <w:rPr>
          <w:sz w:val="20"/>
          <w:szCs w:val="20"/>
          <w:color w:val="auto"/>
        </w:rPr>
      </w:pPr>
      <w:r>
        <w:rPr>
          <w:rFonts w:ascii="Arial" w:cs="Arial" w:eastAsia="Arial" w:hAnsi="Arial"/>
          <w:sz w:val="16"/>
          <w:szCs w:val="16"/>
          <w:color w:val="73787C"/>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94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94335"/>
                    </a:xfrm>
                    <a:prstGeom prst="rect">
                      <a:avLst/>
                    </a:prstGeom>
                    <a:noFill/>
                  </pic:spPr>
                </pic:pic>
              </a:graphicData>
            </a:graphic>
          </wp:anchor>
        </w:drawing>
        <w:t>MSCI TRADING POLICY FOR TRANSACTIONS IN MSCI INC. SECURITIES | JANUARY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0626A9"/>
        </w:rPr>
        <w:t>VI. Modifications; personal responsibility</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011B2B"/>
        </w:rPr>
        <w:t>This Policy cannot address all potential transactions, trades or types of financial products that may exist today or be developed in the future. Accordingly, the Company reserves the right from time to time to review and consider whether to include additional transactions, types of products or trading arrangements as prohibited under this Policy.</w:t>
      </w:r>
    </w:p>
    <w:p>
      <w:pPr>
        <w:spacing w:after="0" w:line="64"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011B2B"/>
        </w:rPr>
        <w:t>It is your responsibility to understand this Policy and the trading restrictions and laws applicable to you and all Controlled Accounts and to comply with both the letter and the spirit of this Policy and applicable law. This requires that you not only avoid actual misconduct, but also the appearance of impropriety. You should assess the potential reputational and compliance implications for yourself and the Company before taking any action. You will be held personally responsible for any violation of this Policy.</w:t>
      </w:r>
    </w:p>
    <w:p>
      <w:pPr>
        <w:spacing w:after="0" w:line="59" w:lineRule="exact"/>
        <w:rPr>
          <w:sz w:val="20"/>
          <w:szCs w:val="20"/>
          <w:color w:val="auto"/>
        </w:rPr>
      </w:pPr>
    </w:p>
    <w:p>
      <w:pPr>
        <w:spacing w:after="0" w:line="300" w:lineRule="auto"/>
        <w:rPr>
          <w:sz w:val="20"/>
          <w:szCs w:val="20"/>
          <w:color w:val="auto"/>
        </w:rPr>
      </w:pPr>
      <w:r>
        <w:rPr>
          <w:rFonts w:ascii="Arial" w:cs="Arial" w:eastAsia="Arial" w:hAnsi="Arial"/>
          <w:sz w:val="19"/>
          <w:szCs w:val="19"/>
          <w:color w:val="011B2B"/>
        </w:rPr>
        <w:t>When in doubt, please direct all inquiries regarding any of the provisions or procedures of this Policy to the MSCI Legal and Compliance Department.</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1"/>
          <w:szCs w:val="11"/>
          <w:color w:val="73787B"/>
        </w:rPr>
        <w:t>© 2026 MSCI Inc.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45262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73787C"/>
        </w:rPr>
        <w:t>MSCI.COM | Page 18 of 18</w:t>
      </w:r>
    </w:p>
    <w:p>
      <w:pPr>
        <w:sectPr>
          <w:pgSz w:w="11900" w:h="16838" w:orient="portrait"/>
          <w:cols w:equalWidth="0" w:num="2">
            <w:col w:w="8540" w:space="720"/>
            <w:col w:w="1980"/>
          </w:cols>
          <w:pgMar w:left="320" w:top="895" w:right="339" w:bottom="1440" w:gutter="0" w:footer="0" w:header="0"/>
          <w:type w:val="continuous"/>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MSCI Inc.</w:t>
      </w:r>
    </w:p>
    <w:p>
      <w:pPr>
        <w:spacing w:after="0" w:line="23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0"/>
          <w:szCs w:val="20"/>
          <w:color w:val="auto"/>
        </w:rPr>
        <w:t>The following is a list of the subsidiaries of MSCI Inc., excluding those subsidiaries that, considered in the aggregate as a single subsidiary, do not constitute a significant subsidiary as of December 31, 2025.</w:t>
      </w: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5"/>
              </w:rPr>
              <w:t>Name</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Jurisdiction of</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8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40" w:type="dxa"/>
            <w:vAlign w:val="bottom"/>
          </w:tcPr>
          <w:p>
            <w:pPr>
              <w:spacing w:after="0"/>
              <w:rPr>
                <w:sz w:val="10"/>
                <w:szCs w:val="10"/>
                <w:color w:val="auto"/>
              </w:rPr>
            </w:pPr>
          </w:p>
        </w:tc>
        <w:tc>
          <w:tcPr>
            <w:tcW w:w="2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Incorporation/Organization</w:t>
            </w:r>
          </w:p>
        </w:tc>
        <w:tc>
          <w:tcPr>
            <w:tcW w:w="0" w:type="dxa"/>
            <w:vAlign w:val="bottom"/>
          </w:tcPr>
          <w:p>
            <w:pPr>
              <w:spacing w:after="0"/>
              <w:rPr>
                <w:sz w:val="1"/>
                <w:szCs w:val="1"/>
                <w:color w:val="auto"/>
              </w:rPr>
            </w:pPr>
          </w:p>
        </w:tc>
      </w:tr>
      <w:tr>
        <w:trPr>
          <w:trHeight w:val="120"/>
        </w:trPr>
        <w:tc>
          <w:tcPr>
            <w:tcW w:w="3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360" w:type="dxa"/>
            <w:vAlign w:val="bottom"/>
            <w:tcBorders>
              <w:bottom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Barra, LLC</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Delaware, U.S.A.</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Investment Property Databank Limited</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MSCI Barra (Suisse) Sàrl</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Switzerland</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MSCI G.K.</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MSCI Limited</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MSCI Solutions (UK) Limited</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MSCI Solutions LLC</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Delaware, U.S.A.</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Real Capital Analytics, Inc.</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New York, U.S.A.</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RiskMetrics Solutions, LLC</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Delaware, U.S.A.</w:t>
            </w:r>
          </w:p>
        </w:tc>
        <w:tc>
          <w:tcPr>
            <w:tcW w:w="0" w:type="dxa"/>
            <w:vAlign w:val="bottom"/>
          </w:tcPr>
          <w:p>
            <w:pPr>
              <w:spacing w:after="0"/>
              <w:rPr>
                <w:sz w:val="1"/>
                <w:szCs w:val="1"/>
                <w:color w:val="auto"/>
              </w:rPr>
            </w:pPr>
          </w:p>
        </w:tc>
      </w:tr>
      <w:tr>
        <w:trPr>
          <w:trHeight w:val="32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The Burgiss Group, LLC</w:t>
            </w:r>
          </w:p>
        </w:tc>
        <w:tc>
          <w:tcPr>
            <w:tcW w:w="500" w:type="dxa"/>
            <w:vAlign w:val="bottom"/>
          </w:tcPr>
          <w:p>
            <w:pPr>
              <w:spacing w:after="0"/>
              <w:rPr>
                <w:sz w:val="24"/>
                <w:szCs w:val="24"/>
                <w:color w:val="auto"/>
              </w:rPr>
            </w:pPr>
          </w:p>
        </w:tc>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20"/>
                <w:szCs w:val="20"/>
                <w:color w:val="auto"/>
              </w:rPr>
              <w:t>New Jersey, U.S.A.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212" w:name="page213"/>
    <w:bookmarkEnd w:id="212"/>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333-286760) and Form S-3 (No. 333-277791) of MSCI Inc. of our report dated February 6,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2026</w:t>
      </w:r>
    </w:p>
    <w:p>
      <w:pPr>
        <w:sectPr>
          <w:pgSz w:w="11900" w:h="16838" w:orient="portrait"/>
          <w:cols w:equalWidth="0" w:num="1">
            <w:col w:w="11240"/>
          </w:cols>
          <w:pgMar w:left="320" w:top="1440"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A. Fernandez, certify that:</w:t>
      </w:r>
    </w:p>
    <w:p>
      <w:pPr>
        <w:spacing w:after="0" w:line="117"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MSCI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Henry A. Fernandez</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51"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Wiechmann, certify that:</w:t>
      </w:r>
    </w:p>
    <w:p>
      <w:pPr>
        <w:spacing w:after="0" w:line="117"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MSCI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C. Wiechmann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51"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18 U.S.C. 1350, as adopted pursuant to Section 906 of the Sarbanes-Oxley Act of 2002, Henry A. Fernandez, Chairman and Chief Executive Officer of MSCI Inc. (the “Registrant”) and Andrew C. Wiechmann, Chief Financial Officer of the Registrant, each hereby certifies that, to the best of his/her knowledge:</w:t>
      </w:r>
    </w:p>
    <w:p>
      <w:pPr>
        <w:spacing w:after="0" w:line="68" w:lineRule="exact"/>
        <w:rPr>
          <w:sz w:val="20"/>
          <w:szCs w:val="20"/>
          <w:color w:val="auto"/>
        </w:rPr>
      </w:pPr>
    </w:p>
    <w:p>
      <w:pPr>
        <w:ind w:left="1300" w:right="720" w:hanging="644"/>
        <w:spacing w:after="0" w:line="266" w:lineRule="auto"/>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period ended December 31, 2025 (the “Periodic Report”), to which this Certification is attached as Exhibit 32.1, fully complies with the requirements of Section 13(a) or Section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5580" w:type="dxa"/>
            <w:vAlign w:val="bottom"/>
          </w:tcPr>
          <w:p>
            <w:pPr>
              <w:spacing w:after="0"/>
              <w:rPr>
                <w:sz w:val="20"/>
                <w:szCs w:val="20"/>
                <w:color w:val="auto"/>
              </w:rPr>
            </w:pPr>
          </w:p>
        </w:tc>
      </w:tr>
      <w:tr>
        <w:trPr>
          <w:trHeight w:val="36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Henry A. Fernandez</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C. Wiechmann</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Henry A. Fernandez</w:t>
            </w: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 Wiechmann</w:t>
            </w:r>
          </w:p>
        </w:tc>
      </w:tr>
      <w:tr>
        <w:trPr>
          <w:trHeight w:val="25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2"/>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1)"/>
      <w:numFmt w:val="decimal"/>
      <w:start w:val="1"/>
    </w:lvl>
  </w:abstractNum>
  <w:abstractNum w:abstractNumId="23">
    <w:nsid w:val="E7FFA2B"/>
    <w:multiLevelType w:val="hybridMultilevel"/>
    <w:lvl w:ilvl="0">
      <w:lvlJc w:val="left"/>
      <w:lvlText w:val="(%1)"/>
      <w:numFmt w:val="decimal"/>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1)"/>
      <w:numFmt w:val="decimal"/>
      <w:start w:val="1"/>
    </w:lvl>
  </w:abstractNum>
  <w:abstractNum w:abstractNumId="26">
    <w:nsid w:val="78DF6A55"/>
    <w:multiLevelType w:val="hybridMultilevel"/>
    <w:lvl w:ilvl="0">
      <w:lvlJc w:val="left"/>
      <w:lvlText w:val="(%1)"/>
      <w:numFmt w:val="decimal"/>
      <w:start w:val="1"/>
    </w:lvl>
  </w:abstractNum>
  <w:abstractNum w:abstractNumId="27">
    <w:nsid w:val="39B7AAA2"/>
    <w:multiLevelType w:val="hybridMultilevel"/>
    <w:lvl w:ilvl="0">
      <w:lvlJc w:val="left"/>
      <w:lvlText w:val="(%1)"/>
      <w:numFmt w:val="decimal"/>
      <w:start w:val="1"/>
    </w:lvl>
  </w:abstractNum>
  <w:abstractNum w:abstractNumId="28">
    <w:nsid w:val="2B0D8DBE"/>
    <w:multiLevelType w:val="hybridMultilevel"/>
    <w:lvl w:ilvl="0">
      <w:lvlJc w:val="left"/>
      <w:lvlText w:val="(%1)"/>
      <w:numFmt w:val="decimal"/>
      <w:start w:val="2"/>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1."/>
      <w:numFmt w:val="decimal"/>
      <w:start w:val="1"/>
    </w:lvl>
  </w:abstractNum>
  <w:abstractNum w:abstractNumId="34">
    <w:nsid w:val="6AA7B75C"/>
    <w:multiLevelType w:val="hybridMultilevel"/>
    <w:lvl w:ilvl="0">
      <w:lvlJc w:val="left"/>
      <w:lvlText w:val="(%1)"/>
      <w:numFmt w:val="decimal"/>
      <w:start w:val="1"/>
    </w:lvl>
  </w:abstractNum>
  <w:abstractNum w:abstractNumId="35">
    <w:nsid w:val="1DF029D3"/>
    <w:multiLevelType w:val="hybridMultilevel"/>
    <w:lvl w:ilvl="0">
      <w:lvlJc w:val="left"/>
      <w:lvlText w:val="%1."/>
      <w:numFmt w:val="decimal"/>
      <w:start w:val="1"/>
    </w:lvl>
  </w:abstractNum>
  <w:abstractNum w:abstractNumId="36">
    <w:nsid w:val="5675FF36"/>
    <w:multiLevelType w:val="hybridMultilevel"/>
    <w:lvl w:ilvl="0">
      <w:lvlJc w:val="left"/>
      <w:lvlText w:val="(%1)"/>
      <w:numFmt w:val="decimal"/>
      <w:start w:val="1"/>
    </w:lvl>
  </w:abstractNum>
  <w:abstractNum w:abstractNumId="37">
    <w:nsid w:val="3DD15094"/>
    <w:multiLevelType w:val="hybridMultilevel"/>
    <w:lvl w:ilvl="0">
      <w:lvlJc w:val="left"/>
      <w:lvlText w:val="(%1)"/>
      <w:numFmt w:val="decimal"/>
      <w:start w:val="1"/>
    </w:lvl>
  </w:abstractNum>
  <w:abstractNum w:abstractNumId="38">
    <w:nsid w:val="3DB012B3"/>
    <w:multiLevelType w:val="hybridMultilevel"/>
    <w:lvl w:ilvl="0">
      <w:lvlJc w:val="left"/>
      <w:lvlText w:val="(%1)"/>
      <w:numFmt w:val="decimal"/>
      <w:start w:val="1"/>
    </w:lvl>
  </w:abstractNum>
  <w:abstractNum w:abstractNumId="39">
    <w:nsid w:val="2708C9AF"/>
    <w:multiLevelType w:val="hybridMultilevel"/>
    <w:lvl w:ilvl="0">
      <w:lvlJc w:val="left"/>
      <w:lvlText w:val="%1."/>
      <w:numFmt w:val="decimal"/>
      <w:start w:val="9"/>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1)"/>
      <w:numFmt w:val="decimal"/>
      <w:start w:val="1"/>
    </w:lvl>
  </w:abstractNum>
  <w:abstractNum w:abstractNumId="42">
    <w:nsid w:val="4F97E3E4"/>
    <w:multiLevelType w:val="hybridMultilevel"/>
    <w:lvl w:ilvl="0">
      <w:lvlJc w:val="left"/>
      <w:lvlText w:val="(%1)"/>
      <w:numFmt w:val="decimal"/>
      <w:start w:val="1"/>
    </w:lvl>
  </w:abstractNum>
  <w:abstractNum w:abstractNumId="43">
    <w:nsid w:val="53B0A9E"/>
    <w:multiLevelType w:val="hybridMultilevel"/>
    <w:lvl w:ilvl="0">
      <w:lvlJc w:val="left"/>
      <w:lvlText w:val="(%1)"/>
      <w:numFmt w:val="decimal"/>
      <w:start w:val="1"/>
    </w:lvl>
  </w:abstractNum>
  <w:abstractNum w:abstractNumId="44">
    <w:nsid w:val="34FD6B4F"/>
    <w:multiLevelType w:val="hybridMultilevel"/>
    <w:lvl w:ilvl="0">
      <w:lvlJc w:val="left"/>
      <w:lvlText w:val="(%1)"/>
      <w:numFmt w:val="decimal"/>
      <w:start w:val="1"/>
    </w:lvl>
  </w:abstractNum>
  <w:abstractNum w:abstractNumId="45">
    <w:nsid w:val="5915FF32"/>
    <w:multiLevelType w:val="hybridMultilevel"/>
    <w:lvl w:ilvl="0">
      <w:lvlJc w:val="left"/>
      <w:lvlText w:val="(%1)"/>
      <w:numFmt w:val="decimal"/>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1)"/>
      <w:numFmt w:val="decimal"/>
      <w:start w:val="1"/>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lvl w:ilvl="1">
      <w:lvlJc w:val="left"/>
      <w:lvlText w:val="(%2)"/>
      <w:numFmt w:val="lowerRoman"/>
      <w:start w:val="1"/>
    </w:lvl>
  </w:abstractNum>
  <w:abstractNum w:abstractNumId="50">
    <w:nsid w:val="4DF72E4E"/>
    <w:multiLevelType w:val="hybridMultilevel"/>
    <w:lvl w:ilvl="0">
      <w:lvlJc w:val="left"/>
      <w:lvlText w:val="%1."/>
      <w:numFmt w:val="lowerRoman"/>
      <w:start w:val="1"/>
    </w:lvl>
  </w:abstractNum>
  <w:abstractNum w:abstractNumId="51">
    <w:nsid w:val="5046B5A9"/>
    <w:multiLevelType w:val="hybridMultilevel"/>
    <w:lvl w:ilvl="0">
      <w:lvlJc w:val="left"/>
      <w:lvlText w:val="(%1)"/>
      <w:numFmt w:val="decimal"/>
      <w:start w:val="1"/>
    </w:lvl>
  </w:abstractNum>
  <w:abstractNum w:abstractNumId="52">
    <w:nsid w:val="5D888A08"/>
    <w:multiLevelType w:val="hybridMultilevel"/>
    <w:lvl w:ilvl="0">
      <w:lvlJc w:val="left"/>
      <w:lvlText w:val="%1."/>
      <w:numFmt w:val="decimal"/>
      <w:start w:val="1"/>
    </w:lvl>
  </w:abstractNum>
  <w:abstractNum w:abstractNumId="53">
    <w:nsid w:val="2A082C70"/>
    <w:multiLevelType w:val="hybridMultilevel"/>
    <w:lvl w:ilvl="0">
      <w:lvlJc w:val="left"/>
      <w:lvlText w:val="(%1)"/>
      <w:numFmt w:val="lowerLetter"/>
      <w:start w:val="1"/>
    </w:lvl>
  </w:abstractNum>
  <w:abstractNum w:abstractNumId="54">
    <w:nsid w:val="5EC6AFD4"/>
    <w:multiLevelType w:val="hybridMultilevel"/>
    <w:lvl w:ilvl="0">
      <w:lvlJc w:val="left"/>
      <w:lvlText w:val="%1"/>
      <w:numFmt w:val="lowerLetter"/>
      <w:start w:val="1"/>
    </w:lvl>
    <w:lvl w:ilvl="1">
      <w:lvlJc w:val="left"/>
      <w:lvlText w:val="(%2)"/>
      <w:numFmt w:val="lowerLetter"/>
      <w:start w:val="1"/>
    </w:lvl>
  </w:abstractNum>
  <w:abstractNum w:abstractNumId="55">
    <w:nsid w:val="19E21BB2"/>
    <w:multiLevelType w:val="hybridMultilevel"/>
    <w:lvl w:ilvl="0">
      <w:lvlJc w:val="left"/>
      <w:lvlText w:val="(%1)"/>
      <w:numFmt w:val="lowerLetter"/>
      <w:start w:val="35"/>
    </w:lvl>
    <w:lvl w:ilvl="1">
      <w:lvlJc w:val="left"/>
      <w:lvlText w:val="(%2)"/>
      <w:numFmt w:val="lowerLetter"/>
      <w:start w:val="2"/>
    </w:lvl>
  </w:abstractNum>
  <w:abstractNum w:abstractNumId="56">
    <w:nsid w:val="75E0858A"/>
    <w:multiLevelType w:val="hybridMultilevel"/>
    <w:lvl w:ilvl="0">
      <w:lvlJc w:val="left"/>
      <w:lvlText w:val="%1"/>
      <w:numFmt w:val="lowerRoman"/>
      <w:start w:val="1"/>
    </w:lvl>
    <w:lvl w:ilvl="1">
      <w:lvlJc w:val="left"/>
      <w:lvlText w:val="(%2)"/>
      <w:numFmt w:val="lowerRoman"/>
      <w:start w:val="1"/>
    </w:lvl>
  </w:abstractNum>
  <w:abstractNum w:abstractNumId="57">
    <w:nsid w:val="57A61A29"/>
    <w:multiLevelType w:val="hybridMultilevel"/>
    <w:lvl w:ilvl="0">
      <w:lvlJc w:val="left"/>
      <w:lvlText w:val="(%1)"/>
      <w:numFmt w:val="lowerRoman"/>
      <w:start w:val="1"/>
    </w:lvl>
    <w:lvl w:ilvl="1">
      <w:lvlJc w:val="left"/>
      <w:lvlText w:val="(%2)"/>
      <w:numFmt w:val="lowerRoman"/>
      <w:start w:val="2"/>
    </w:lvl>
  </w:abstractNum>
  <w:abstractNum w:abstractNumId="58">
    <w:nsid w:val="5399C654"/>
    <w:multiLevelType w:val="hybridMultilevel"/>
    <w:lvl w:ilvl="0">
      <w:lvlJc w:val="left"/>
      <w:lvlText w:val="(%1)"/>
      <w:numFmt w:val="lowerLetter"/>
      <w:start w:val="5"/>
    </w:lvl>
    <w:lvl w:ilvl="1">
      <w:lvlJc w:val="left"/>
      <w:lvlText w:val="(%2)"/>
      <w:numFmt w:val="lowerRoman"/>
      <w:start w:val="1"/>
    </w:lvl>
  </w:abstractNum>
  <w:abstractNum w:abstractNumId="59">
    <w:nsid w:val="20EE1348"/>
    <w:multiLevelType w:val="hybridMultilevel"/>
    <w:lvl w:ilvl="0">
      <w:lvlJc w:val="left"/>
      <w:lvlText w:val="(%1)"/>
      <w:numFmt w:val="lowerLetter"/>
      <w:start w:val="6"/>
    </w:lvl>
  </w:abstractNum>
  <w:abstractNum w:abstractNumId="60">
    <w:nsid w:val="4427069A"/>
    <w:multiLevelType w:val="hybridMultilevel"/>
    <w:lvl w:ilvl="0">
      <w:lvlJc w:val="left"/>
      <w:lvlText w:val="(%1)"/>
      <w:numFmt w:val="lowerLetter"/>
      <w:start w:val="1"/>
    </w:lvl>
  </w:abstractNum>
  <w:abstractNum w:abstractNumId="61">
    <w:nsid w:val="B37E80A"/>
    <w:multiLevelType w:val="hybridMultilevel"/>
    <w:lvl w:ilvl="0">
      <w:lvlJc w:val="left"/>
      <w:lvlText w:val="(%1)"/>
      <w:numFmt w:val="lowerLetter"/>
      <w:start w:val="2"/>
    </w:lvl>
  </w:abstractNum>
  <w:abstractNum w:abstractNumId="62">
    <w:nsid w:val="2157F6BC"/>
    <w:multiLevelType w:val="hybridMultilevel"/>
    <w:lvl w:ilvl="0">
      <w:lvlJc w:val="left"/>
      <w:lvlText w:val="(%1)"/>
      <w:numFmt w:val="lowerLetter"/>
      <w:start w:val="1"/>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1"/>
    </w:lvl>
    <w:lvl w:ilvl="1">
      <w:lvlJc w:val="left"/>
      <w:lvlText w:val="(%2)"/>
      <w:numFmt w:val="lowerRoman"/>
      <w:start w:val="1"/>
    </w:lvl>
  </w:abstractNum>
  <w:abstractNum w:abstractNumId="65">
    <w:nsid w:val="BFFAE18"/>
    <w:multiLevelType w:val="hybridMultilevel"/>
    <w:lvl w:ilvl="0">
      <w:lvlJc w:val="left"/>
      <w:lvlText w:val="(%1)"/>
      <w:numFmt w:val="lowerRoman"/>
      <w:start w:val="3"/>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lowerLetter"/>
      <w:start w:val="3"/>
    </w:lvl>
    <w:lvl w:ilvl="1">
      <w:lvlJc w:val="left"/>
      <w:lvlText w:val="(%2)"/>
      <w:numFmt w:val="lowerRoman"/>
      <w:start w:val="1"/>
    </w:lvl>
  </w:abstractNum>
  <w:abstractNum w:abstractNumId="68">
    <w:nsid w:val="49D0FEAC"/>
    <w:multiLevelType w:val="hybridMultilevel"/>
    <w:lvl w:ilvl="0">
      <w:lvlJc w:val="left"/>
      <w:lvlText w:val="(%1)"/>
      <w:numFmt w:val="lowerRoman"/>
      <w:start w:val="6"/>
    </w:lvl>
  </w:abstractNum>
  <w:abstractNum w:abstractNumId="69">
    <w:nsid w:val="4BEE5A5B"/>
    <w:multiLevelType w:val="hybridMultilevel"/>
    <w:lvl w:ilvl="0">
      <w:lvlJc w:val="left"/>
      <w:lvlText w:val="%1"/>
      <w:numFmt w:val="lowerLetter"/>
      <w:start w:val="1"/>
    </w:lvl>
    <w:lvl w:ilvl="1">
      <w:lvlJc w:val="left"/>
      <w:lvlText w:val="(%2)"/>
      <w:numFmt w:val="lowerRoman"/>
      <w:start w:val="8"/>
    </w:lvl>
  </w:abstractNum>
  <w:abstractNum w:abstractNumId="70">
    <w:nsid w:val="5551B9F3"/>
    <w:multiLevelType w:val="hybridMultilevel"/>
    <w:lvl w:ilvl="0">
      <w:lvlJc w:val="left"/>
      <w:lvlText w:val="(%1)"/>
      <w:numFmt w:val="lowerLetter"/>
      <w:start w:val="4"/>
    </w:lvl>
    <w:lvl w:ilvl="1">
      <w:lvlJc w:val="left"/>
      <w:lvlText w:val="%2"/>
      <w:numFmt w:val="lowerRoman"/>
      <w:start w:val="1"/>
    </w:lvl>
  </w:abstractNum>
  <w:abstractNum w:abstractNumId="71">
    <w:nsid w:val="24F6AB8E"/>
    <w:multiLevelType w:val="hybridMultilevel"/>
    <w:lvl w:ilvl="0">
      <w:lvlJc w:val="left"/>
      <w:lvlText w:val="%1"/>
      <w:numFmt w:val="lowerLetter"/>
      <w:start w:val="1"/>
    </w:lvl>
    <w:lvl w:ilvl="1">
      <w:lvlJc w:val="left"/>
      <w:lvlText w:val="(%2)"/>
      <w:numFmt w:val="lowerRoman"/>
      <w:start w:val="1"/>
    </w:lvl>
  </w:abstractNum>
  <w:abstractNum w:abstractNumId="72">
    <w:nsid w:val="634C574C"/>
    <w:multiLevelType w:val="hybridMultilevel"/>
    <w:lvl w:ilvl="0">
      <w:lvlJc w:val="left"/>
      <w:lvlText w:val="(%1)"/>
      <w:numFmt w:val="lowerLetter"/>
      <w:start w:val="6"/>
    </w:lvl>
    <w:lvl w:ilvl="1">
      <w:lvlJc w:val="left"/>
      <w:lvlText w:val="%2"/>
      <w:numFmt w:val="lowerRoman"/>
      <w:start w:val="1"/>
    </w:lvl>
  </w:abstractNum>
  <w:abstractNum w:abstractNumId="73">
    <w:nsid w:val="24E99DD7"/>
    <w:multiLevelType w:val="hybridMultilevel"/>
    <w:lvl w:ilvl="0">
      <w:lvlJc w:val="left"/>
      <w:lvlText w:val="(%1)"/>
      <w:numFmt w:val="lowerLetter"/>
      <w:start w:val="7"/>
    </w:lvl>
  </w:abstractNum>
  <w:abstractNum w:abstractNumId="74">
    <w:nsid w:val="2A31B62D"/>
    <w:multiLevelType w:val="hybridMultilevel"/>
    <w:lvl w:ilvl="0">
      <w:lvlJc w:val="left"/>
      <w:lvlText w:val="(%1)"/>
      <w:numFmt w:val="lowerLetter"/>
      <w:start w:val="1"/>
    </w:lvl>
    <w:lvl w:ilvl="1">
      <w:lvlJc w:val="left"/>
      <w:lvlText w:val="(%2)"/>
      <w:numFmt w:val="lowerRoman"/>
      <w:start w:val="1"/>
    </w:lvl>
  </w:abstractNum>
  <w:abstractNum w:abstractNumId="75">
    <w:nsid w:val="1849C29B"/>
    <w:multiLevelType w:val="hybridMultilevel"/>
    <w:lvl w:ilvl="0">
      <w:lvlJc w:val="left"/>
      <w:lvlText w:val="(%1)"/>
      <w:numFmt w:val="lowerLetter"/>
      <w:start w:val="1"/>
    </w:lvl>
  </w:abstractNum>
  <w:abstractNum w:abstractNumId="76">
    <w:nsid w:val="7DFF9D09"/>
    <w:multiLevelType w:val="hybridMultilevel"/>
    <w:lvl w:ilvl="0">
      <w:lvlJc w:val="left"/>
      <w:lvlText w:val="(%1)"/>
      <w:numFmt w:val="lowerLetter"/>
      <w:start w:val="2"/>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lowerLetter"/>
      <w:start w:val="3"/>
    </w:lvl>
  </w:abstractNum>
  <w:abstractNum w:abstractNumId="79">
    <w:nsid w:val="2A6DE806"/>
    <w:multiLevelType w:val="hybridMultilevel"/>
    <w:lvl w:ilvl="0">
      <w:lvlJc w:val="left"/>
      <w:lvlText w:val="(%1)"/>
      <w:numFmt w:val="lowerLetter"/>
      <w:start w:val="1"/>
    </w:lvl>
  </w:abstractNum>
  <w:abstractNum w:abstractNumId="80">
    <w:nsid w:val="1816F8C4"/>
    <w:multiLevelType w:val="hybridMultilevel"/>
    <w:lvl w:ilvl="0">
      <w:lvlJc w:val="left"/>
      <w:lvlText w:val="(%1)"/>
      <w:numFmt w:val="lowerRoman"/>
      <w:start w:val="1"/>
    </w:lvl>
  </w:abstractNum>
  <w:abstractNum w:abstractNumId="81">
    <w:nsid w:val="37DF2233"/>
    <w:multiLevelType w:val="hybridMultilevel"/>
    <w:lvl w:ilvl="0">
      <w:lvlJc w:val="left"/>
      <w:lvlText w:val="(%1)"/>
      <w:numFmt w:val="lowerLetter"/>
      <w:start w:val="1"/>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lowerLetter"/>
      <w:start w:val="1"/>
    </w:lvl>
    <w:lvl w:ilvl="1">
      <w:lvlJc w:val="left"/>
      <w:lvlText w:val="(%2)"/>
      <w:numFmt w:val="lowerLetter"/>
      <w:start w:val="6"/>
    </w:lvl>
  </w:abstractNum>
  <w:abstractNum w:abstractNumId="84">
    <w:nsid w:val="61E74EA3"/>
    <w:multiLevelType w:val="hybridMultilevel"/>
    <w:lvl w:ilvl="0">
      <w:lvlJc w:val="left"/>
      <w:lvlText w:val="(%1)"/>
      <w:numFmt w:val="lowerLetter"/>
      <w:start w:val="9"/>
    </w:lvl>
    <w:lvl w:ilvl="1">
      <w:lvlJc w:val="left"/>
      <w:lvlText w:val="%2"/>
      <w:numFmt w:val="lowerLetter"/>
      <w:start w:val="1"/>
    </w:lvl>
  </w:abstractNum>
  <w:abstractNum w:abstractNumId="85">
    <w:nsid w:val="597B4D84"/>
    <w:multiLevelType w:val="hybridMultilevel"/>
    <w:lvl w:ilvl="0">
      <w:lvlJc w:val="left"/>
      <w:lvlText w:val="(%1)"/>
      <w:numFmt w:val="lowerLetter"/>
      <w:start w:val="1"/>
    </w:lvl>
  </w:abstractNum>
  <w:abstractNum w:abstractNumId="86">
    <w:nsid w:val="F819E7F"/>
    <w:multiLevelType w:val="hybridMultilevel"/>
    <w:lvl w:ilvl="0">
      <w:lvlJc w:val="left"/>
      <w:lvlText w:val="(%1)"/>
      <w:numFmt w:val="lowerLetter"/>
      <w:start w:val="3"/>
    </w:lvl>
  </w:abstractNum>
  <w:abstractNum w:abstractNumId="87">
    <w:nsid w:val="57C7D42D"/>
    <w:multiLevelType w:val="hybridMultilevel"/>
    <w:lvl w:ilvl="0">
      <w:lvlJc w:val="left"/>
      <w:lvlText w:val="(%1)"/>
      <w:numFmt w:val="lowerLetter"/>
      <w:start w:val="1"/>
    </w:lvl>
  </w:abstractNum>
  <w:abstractNum w:abstractNumId="88">
    <w:nsid w:val="312167AD"/>
    <w:multiLevelType w:val="hybridMultilevel"/>
    <w:lvl w:ilvl="0">
      <w:lvlJc w:val="left"/>
      <w:lvlText w:val="(%1)"/>
      <w:numFmt w:val="lowerLetter"/>
      <w:start w:val="2"/>
    </w:lvl>
  </w:abstractNum>
  <w:abstractNum w:abstractNumId="89">
    <w:nsid w:val="631B64D4"/>
    <w:multiLevelType w:val="hybridMultilevel"/>
    <w:lvl w:ilvl="0">
      <w:lvlJc w:val="left"/>
      <w:lvlText w:val="(%1)"/>
      <w:numFmt w:val="lowerLetter"/>
      <w:start w:val="1"/>
    </w:lvl>
    <w:lvl w:ilvl="1">
      <w:lvlJc w:val="left"/>
      <w:lvlText w:val="(%2)"/>
      <w:numFmt w:val="lowerRoman"/>
      <w:start w:val="1"/>
    </w:lvl>
  </w:abstractNum>
  <w:abstractNum w:abstractNumId="90">
    <w:nsid w:val="78B5E776"/>
    <w:multiLevelType w:val="hybridMultilevel"/>
    <w:lvl w:ilvl="0">
      <w:lvlJc w:val="left"/>
      <w:lvlText w:val="(%1)"/>
      <w:numFmt w:val="lowerLetter"/>
      <w:start w:val="3"/>
    </w:lvl>
    <w:lvl w:ilvl="1">
      <w:lvlJc w:val="left"/>
      <w:lvlText w:val="(%2)"/>
      <w:numFmt w:val="lowerRoman"/>
      <w:start w:val="1"/>
    </w:lvl>
  </w:abstractNum>
  <w:abstractNum w:abstractNumId="91">
    <w:nsid w:val="75486E47"/>
    <w:multiLevelType w:val="hybridMultilevel"/>
    <w:lvl w:ilvl="0">
      <w:lvlJc w:val="left"/>
      <w:lvlText w:val="(%1)"/>
      <w:numFmt w:val="lowerLetter"/>
      <w:start w:val="4"/>
    </w:lvl>
    <w:lvl w:ilvl="1">
      <w:lvlJc w:val="left"/>
      <w:lvlText w:val="(%2)"/>
      <w:numFmt w:val="lowerRoman"/>
      <w:start w:val="1"/>
    </w:lvl>
  </w:abstractNum>
  <w:abstractNum w:abstractNumId="92">
    <w:nsid w:val="6E534CDE"/>
    <w:multiLevelType w:val="hybridMultilevel"/>
    <w:lvl w:ilvl="0">
      <w:lvlJc w:val="left"/>
      <w:lvlText w:val="(%1)"/>
      <w:numFmt w:val="lowerLetter"/>
      <w:start w:val="5"/>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lowerLetter"/>
      <w:start w:val="1"/>
    </w:lvl>
  </w:abstractNum>
  <w:abstractNum w:abstractNumId="95">
    <w:nsid w:val="46263DEC"/>
    <w:multiLevelType w:val="hybridMultilevel"/>
    <w:lvl w:ilvl="0">
      <w:lvlJc w:val="left"/>
      <w:lvlText w:val="(%1)"/>
      <w:numFmt w:val="lowerLetter"/>
      <w:start w:val="1"/>
    </w:lvl>
  </w:abstractNum>
  <w:abstractNum w:abstractNumId="96">
    <w:nsid w:val="260D8C4A"/>
    <w:multiLevelType w:val="hybridMultilevel"/>
    <w:lvl w:ilvl="0">
      <w:lvlJc w:val="left"/>
      <w:lvlText w:val="(%1)"/>
      <w:numFmt w:val="lowerLetter"/>
      <w:start w:val="3"/>
    </w:lvl>
  </w:abstractNum>
  <w:abstractNum w:abstractNumId="97">
    <w:nsid w:val="73D4D3C4"/>
    <w:multiLevelType w:val="hybridMultilevel"/>
    <w:lvl w:ilvl="0">
      <w:lvlJc w:val="left"/>
      <w:lvlText w:val="(%1)"/>
      <w:numFmt w:val="lowerLetter"/>
      <w:start w:val="1"/>
    </w:lvl>
    <w:lvl w:ilvl="1">
      <w:lvlJc w:val="left"/>
      <w:lvlText w:val="(%2)"/>
      <w:numFmt w:val="lowerRoman"/>
      <w:start w:val="1"/>
    </w:lvl>
  </w:abstractNum>
  <w:abstractNum w:abstractNumId="98">
    <w:nsid w:val="746F2E30"/>
    <w:multiLevelType w:val="hybridMultilevel"/>
    <w:lvl w:ilvl="0">
      <w:lvlJc w:val="left"/>
      <w:lvlText w:val="(%1)"/>
      <w:numFmt w:val="lowerRoman"/>
      <w:start w:val="3"/>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lowerLetter"/>
      <w:start w:val="2"/>
    </w:lvl>
    <w:lvl w:ilvl="1">
      <w:lvlJc w:val="left"/>
      <w:lvlText w:val="(%2)"/>
      <w:numFmt w:val="lowerRoman"/>
      <w:start w:val="1"/>
    </w:lvl>
  </w:abstractNum>
  <w:abstractNum w:abstractNumId="101">
    <w:nsid w:val="49C0E823"/>
    <w:multiLevelType w:val="hybridMultilevel"/>
    <w:lvl w:ilvl="0">
      <w:lvlJc w:val="left"/>
      <w:lvlText w:val="%1"/>
      <w:numFmt w:val="lowerLetter"/>
      <w:start w:val="1"/>
    </w:lvl>
    <w:lvl w:ilvl="1">
      <w:lvlJc w:val="left"/>
      <w:lvlText w:val="(%2)"/>
      <w:numFmt w:val="lowerRoman"/>
      <w:start w:val="8"/>
    </w:lvl>
  </w:abstractNum>
  <w:abstractNum w:abstractNumId="102">
    <w:nsid w:val="14D53685"/>
    <w:multiLevelType w:val="hybridMultilevel"/>
    <w:lvl w:ilvl="0">
      <w:lvlJc w:val="left"/>
      <w:lvlText w:val="(%1)"/>
      <w:numFmt w:val="lowerLetter"/>
      <w:start w:val="3"/>
    </w:lvl>
    <w:lvl w:ilvl="1">
      <w:lvlJc w:val="left"/>
      <w:lvlText w:val="%2"/>
      <w:numFmt w:val="lowerRoman"/>
      <w:start w:val="1"/>
    </w:lvl>
  </w:abstractNum>
  <w:abstractNum w:abstractNumId="103">
    <w:nsid w:val="230F856C"/>
    <w:multiLevelType w:val="hybridMultilevel"/>
    <w:lvl w:ilvl="0">
      <w:lvlJc w:val="left"/>
      <w:lvlText w:val="%1"/>
      <w:numFmt w:val="lowerLetter"/>
      <w:start w:val="1"/>
    </w:lvl>
    <w:lvl w:ilvl="1">
      <w:lvlJc w:val="left"/>
      <w:lvlText w:val="(%2)"/>
      <w:numFmt w:val="lowerRoman"/>
      <w:start w:val="1"/>
    </w:lvl>
  </w:abstractNum>
  <w:abstractNum w:abstractNumId="104">
    <w:nsid w:val="6EAA85FB"/>
    <w:multiLevelType w:val="hybridMultilevel"/>
    <w:lvl w:ilvl="0">
      <w:lvlJc w:val="left"/>
      <w:lvlText w:val="(%1)"/>
      <w:numFmt w:val="lowerLetter"/>
      <w:start w:val="5"/>
    </w:lvl>
    <w:lvl w:ilvl="1">
      <w:lvlJc w:val="left"/>
      <w:lvlText w:val="%2"/>
      <w:numFmt w:val="lowerRoman"/>
      <w:start w:val="1"/>
    </w:lvl>
  </w:abstractNum>
  <w:abstractNum w:abstractNumId="105">
    <w:nsid w:val="3F06ECB2"/>
    <w:multiLevelType w:val="hybridMultilevel"/>
    <w:lvl w:ilvl="0">
      <w:lvlJc w:val="left"/>
      <w:lvlText w:val="(%1)"/>
      <w:numFmt w:val="lowerLetter"/>
      <w:start w:val="7"/>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1"/>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Roman"/>
      <w:start w:val="1"/>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Letter"/>
      <w:start w:val="1"/>
    </w:lvl>
  </w:abstractNum>
  <w:abstractNum w:abstractNumId="113">
    <w:nsid w:val="11CCA8BA"/>
    <w:multiLevelType w:val="hybridMultilevel"/>
    <w:lvl w:ilvl="0">
      <w:lvlJc w:val="left"/>
      <w:lvlText w:val="(%1)"/>
      <w:numFmt w:val="lowerLetter"/>
      <w:start w:val="4"/>
    </w:lvl>
  </w:abstractNum>
  <w:abstractNum w:abstractNumId="114">
    <w:nsid w:val="4D32AB86"/>
    <w:multiLevelType w:val="hybridMultilevel"/>
    <w:lvl w:ilvl="0">
      <w:lvlJc w:val="left"/>
      <w:lvlText w:val="%1"/>
      <w:numFmt w:val="lowerLetter"/>
      <w:start w:val="1"/>
    </w:lvl>
    <w:lvl w:ilvl="1">
      <w:lvlJc w:val="left"/>
      <w:lvlText w:val="(%2)"/>
      <w:numFmt w:val="lowerLetter"/>
      <w:start w:val="6"/>
    </w:lvl>
  </w:abstractNum>
  <w:abstractNum w:abstractNumId="115">
    <w:nsid w:val="3F07ACC3"/>
    <w:multiLevelType w:val="hybridMultilevel"/>
    <w:lvl w:ilvl="0">
      <w:lvlJc w:val="left"/>
      <w:lvlText w:val="(%1)"/>
      <w:numFmt w:val="lowerLetter"/>
      <w:start w:val="9"/>
    </w:lvl>
    <w:lvl w:ilvl="1">
      <w:lvlJc w:val="left"/>
      <w:lvlText w:val="%2"/>
      <w:numFmt w:val="lowerLetter"/>
      <w:start w:val="1"/>
    </w:lvl>
  </w:abstractNum>
  <w:abstractNum w:abstractNumId="116">
    <w:nsid w:val="6B47F63E"/>
    <w:multiLevelType w:val="hybridMultilevel"/>
    <w:lvl w:ilvl="0">
      <w:lvlJc w:val="left"/>
      <w:lvlText w:val="(%1)"/>
      <w:numFmt w:val="lowerLetter"/>
      <w:start w:val="1"/>
    </w:lvl>
  </w:abstractNum>
  <w:abstractNum w:abstractNumId="117">
    <w:nsid w:val="5CB44A05"/>
    <w:multiLevelType w:val="hybridMultilevel"/>
    <w:lvl w:ilvl="0">
      <w:lvlJc w:val="left"/>
      <w:lvlText w:val="(%1)"/>
      <w:numFmt w:val="lowerLetter"/>
      <w:start w:val="3"/>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Letter"/>
      <w:start w:val="2"/>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upperLetter"/>
      <w:start w:val="1"/>
    </w:lvl>
    <w:lvl w:ilvl="1">
      <w:lvlJc w:val="left"/>
      <w:lvlText w:val="(%2)"/>
      <w:numFmt w:val="lowerLetter"/>
      <w:start w:val="2"/>
    </w:lvl>
  </w:abstractNum>
  <w:abstractNum w:abstractNumId="123">
    <w:nsid w:val="2E22FBB7"/>
    <w:multiLevelType w:val="hybridMultilevel"/>
    <w:lvl w:ilvl="0">
      <w:lvlJc w:val="left"/>
      <w:lvlText w:val="(%1)"/>
      <w:numFmt w:val="upperLetter"/>
      <w:start w:val="2"/>
    </w:lvl>
    <w:lvl w:ilvl="1">
      <w:lvlJc w:val="left"/>
      <w:lvlText w:val="(%2)"/>
      <w:numFmt w:val="lowerLetter"/>
      <w:start w:val="3"/>
    </w:lvl>
  </w:abstractNum>
  <w:abstractNum w:abstractNumId="124">
    <w:nsid w:val="29934699"/>
    <w:multiLevelType w:val="hybridMultilevel"/>
    <w:lvl w:ilvl="0">
      <w:lvlJc w:val="left"/>
      <w:lvlText w:val="(%1)"/>
      <w:numFmt w:val="lowerLetter"/>
      <w:start w:val="1"/>
    </w:lvl>
    <w:lvl w:ilvl="1">
      <w:lvlJc w:val="left"/>
      <w:lvlText w:val="(%2)"/>
      <w:numFmt w:val="lowerLetter"/>
      <w:start w:val="9"/>
    </w:lvl>
  </w:abstractNum>
  <w:abstractNum w:abstractNumId="125">
    <w:nsid w:val="77485850"/>
    <w:multiLevelType w:val="hybridMultilevel"/>
    <w:lvl w:ilvl="0">
      <w:lvlJc w:val="left"/>
      <w:lvlText w:val="%1"/>
      <w:numFmt w:val="lowerLetter"/>
      <w:start w:val="1"/>
    </w:lvl>
    <w:lvl w:ilvl="1">
      <w:lvlJc w:val="left"/>
      <w:lvlText w:val="(%2)"/>
      <w:numFmt w:val="lowerLetter"/>
      <w:start w:val="35"/>
    </w:lvl>
  </w:abstractNum>
  <w:abstractNum w:abstractNumId="126">
    <w:nsid w:val="744939A3"/>
    <w:multiLevelType w:val="hybridMultilevel"/>
    <w:lvl w:ilvl="0">
      <w:lvlJc w:val="left"/>
      <w:lvlText w:val="(%1)"/>
      <w:numFmt w:val="lowerLetter"/>
      <w:start w:val="2"/>
    </w:lvl>
    <w:lvl w:ilvl="1">
      <w:lvlJc w:val="left"/>
      <w:lvlText w:val="(%2)"/>
      <w:numFmt w:val="lowerLetter"/>
      <w:start w:val="9"/>
    </w:lvl>
  </w:abstractNum>
  <w:abstractNum w:abstractNumId="127">
    <w:nsid w:val="4FA0D2E3"/>
    <w:multiLevelType w:val="hybridMultilevel"/>
    <w:lvl w:ilvl="0">
      <w:lvlJc w:val="left"/>
      <w:lvlText w:val="%1"/>
      <w:numFmt w:val="lowerLetter"/>
      <w:start w:val="1"/>
    </w:lvl>
    <w:lvl w:ilvl="1">
      <w:lvlJc w:val="left"/>
      <w:lvlText w:val="(%2)"/>
      <w:numFmt w:val="lowerRoman"/>
      <w:start w:val="2"/>
    </w:lvl>
  </w:abstractNum>
  <w:abstractNum w:abstractNumId="128">
    <w:nsid w:val="6B1D2C14"/>
    <w:multiLevelType w:val="hybridMultilevel"/>
    <w:lvl w:ilvl="0">
      <w:lvlJc w:val="left"/>
      <w:lvlText w:val="(%1)"/>
      <w:numFmt w:val="lowerLetter"/>
      <w:start w:val="3"/>
    </w:lvl>
    <w:lvl w:ilvl="1">
      <w:lvlJc w:val="left"/>
      <w:lvlText w:val="%2"/>
      <w:numFmt w:val="lowerRoman"/>
      <w:start w:val="1"/>
    </w:lvl>
  </w:abstractNum>
  <w:abstractNum w:abstractNumId="129">
    <w:nsid w:val="68B867D3"/>
    <w:multiLevelType w:val="hybridMultilevel"/>
    <w:lvl w:ilvl="0">
      <w:lvlJc w:val="left"/>
      <w:lvlText w:val="(%1)"/>
      <w:numFmt w:val="lowerRoman"/>
      <w:start w:val="1"/>
    </w:lvl>
  </w:abstractNum>
  <w:abstractNum w:abstractNumId="130">
    <w:nsid w:val="3F7F5DD9"/>
    <w:multiLevelType w:val="hybridMultilevel"/>
    <w:lvl w:ilvl="0">
      <w:lvlJc w:val="left"/>
      <w:lvlText w:val="(%1)"/>
      <w:numFmt w:val="lowerLetter"/>
      <w:start w:val="4"/>
    </w:lvl>
  </w:abstractNum>
  <w:abstractNum w:abstractNumId="131">
    <w:nsid w:val="2AE05A34"/>
    <w:multiLevelType w:val="hybridMultilevel"/>
    <w:lvl w:ilvl="0">
      <w:lvlJc w:val="left"/>
      <w:lvlText w:val="(%1)"/>
      <w:numFmt w:val="lowerLetter"/>
      <w:start w:val="7"/>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1"/>
    </w:lvl>
    <w:lvl w:ilvl="1">
      <w:lvlJc w:val="left"/>
      <w:lvlText w:val="(%2)"/>
      <w:numFmt w:val="lowerLetter"/>
      <w:start w:val="1"/>
    </w:lvl>
  </w:abstractNum>
  <w:abstractNum w:abstractNumId="134">
    <w:nsid w:val="4DEFDFA0"/>
    <w:multiLevelType w:val="hybridMultilevel"/>
    <w:lvl w:ilvl="0">
      <w:lvlJc w:val="left"/>
      <w:lvlText w:val="(%1)"/>
      <w:numFmt w:val="lowerLetter"/>
      <w:start w:val="9"/>
    </w:lvl>
    <w:lvl w:ilvl="1">
      <w:lvlJc w:val="left"/>
      <w:lvlText w:val="%2"/>
      <w:numFmt w:val="lowerLetter"/>
      <w:start w:val="1"/>
    </w:lvl>
  </w:abstractNum>
  <w:abstractNum w:abstractNumId="135">
    <w:nsid w:val="2123D5F2"/>
    <w:multiLevelType w:val="hybridMultilevel"/>
    <w:lvl w:ilvl="0">
      <w:lvlJc w:val="left"/>
      <w:lvlText w:val="(%1)"/>
      <w:numFmt w:val="lowerLetter"/>
      <w:start w:val="1"/>
    </w:lvl>
  </w:abstractNum>
  <w:abstractNum w:abstractNumId="136">
    <w:nsid w:val="135B8110"/>
    <w:multiLevelType w:val="hybridMultilevel"/>
    <w:lvl w:ilvl="0">
      <w:lvlJc w:val="left"/>
      <w:lvlText w:val="(%1)"/>
      <w:numFmt w:val="lowerLetter"/>
      <w:start w:val="1"/>
    </w:lvl>
    <w:lvl w:ilvl="1">
      <w:lvlJc w:val="left"/>
      <w:lvlText w:val="(%2)"/>
      <w:numFmt w:val="lowerRoman"/>
      <w:start w:val="1"/>
    </w:lvl>
  </w:abstractNum>
  <w:abstractNum w:abstractNumId="137">
    <w:nsid w:val="94927A8"/>
    <w:multiLevelType w:val="hybridMultilevel"/>
    <w:lvl w:ilvl="0">
      <w:lvlJc w:val="left"/>
      <w:lvlText w:val="%1"/>
      <w:numFmt w:val="lowerLetter"/>
      <w:start w:val="1"/>
    </w:lvl>
    <w:lvl w:ilvl="1">
      <w:lvlJc w:val="left"/>
      <w:lvlText w:val="(%2)"/>
      <w:numFmt w:val="lowerRoman"/>
      <w:start w:val="8"/>
    </w:lvl>
  </w:abstractNum>
  <w:abstractNum w:abstractNumId="138">
    <w:nsid w:val="DCDF8F6"/>
    <w:multiLevelType w:val="hybridMultilevel"/>
    <w:lvl w:ilvl="0">
      <w:lvlJc w:val="left"/>
      <w:lvlText w:val="(%1)"/>
      <w:numFmt w:val="lowerLetter"/>
      <w:start w:val="3"/>
    </w:lvl>
    <w:lvl w:ilvl="1">
      <w:lvlJc w:val="left"/>
      <w:lvlText w:val="%2"/>
      <w:numFmt w:val="lowerRoman"/>
      <w:start w:val="1"/>
    </w:lvl>
  </w:abstractNum>
  <w:abstractNum w:abstractNumId="139">
    <w:nsid w:val="52D7B105"/>
    <w:multiLevelType w:val="hybridMultilevel"/>
    <w:lvl w:ilvl="0">
      <w:lvlJc w:val="left"/>
      <w:lvlText w:val="%1"/>
      <w:numFmt w:val="lowerLetter"/>
      <w:start w:val="1"/>
    </w:lvl>
    <w:lvl w:ilvl="1">
      <w:lvlJc w:val="left"/>
      <w:lvlText w:val="(%2)"/>
      <w:numFmt w:val="lowerRoman"/>
      <w:start w:val="1"/>
    </w:lvl>
  </w:abstractNum>
  <w:abstractNum w:abstractNumId="140">
    <w:nsid w:val="2E8A6394"/>
    <w:multiLevelType w:val="hybridMultilevel"/>
    <w:lvl w:ilvl="0">
      <w:lvlJc w:val="left"/>
      <w:lvlText w:val="(%1)"/>
      <w:numFmt w:val="lowerLetter"/>
      <w:start w:val="5"/>
    </w:lvl>
    <w:lvl w:ilvl="1">
      <w:lvlJc w:val="left"/>
      <w:lvlText w:val="%2"/>
      <w:numFmt w:val="lowerRoman"/>
      <w:start w:val="1"/>
    </w:lvl>
  </w:abstractNum>
  <w:abstractNum w:abstractNumId="141">
    <w:nsid w:val="24E60401"/>
    <w:multiLevelType w:val="hybridMultilevel"/>
    <w:lvl w:ilvl="0">
      <w:lvlJc w:val="left"/>
      <w:lvlText w:val="(%1)"/>
      <w:numFmt w:val="lowerLetter"/>
      <w:start w:val="6"/>
    </w:lvl>
  </w:abstractNum>
  <w:abstractNum w:abstractNumId="142">
    <w:nsid w:val="2A6AD9BE"/>
    <w:multiLevelType w:val="hybridMultilevel"/>
    <w:lvl w:ilvl="0">
      <w:lvlJc w:val="left"/>
      <w:lvlText w:val="(%1)"/>
      <w:numFmt w:val="lowerLetter"/>
      <w:start w:val="1"/>
    </w:lvl>
  </w:abstractNum>
  <w:abstractNum w:abstractNumId="143">
    <w:nsid w:val="BAAC1B4"/>
    <w:multiLevelType w:val="hybridMultilevel"/>
    <w:lvl w:ilvl="0">
      <w:lvlJc w:val="left"/>
      <w:lvlText w:val="(%1)"/>
      <w:numFmt w:val="lowerLetter"/>
      <w:start w:val="1"/>
    </w:lvl>
  </w:abstractNum>
  <w:abstractNum w:abstractNumId="144">
    <w:nsid w:val="36B2ACBC"/>
    <w:multiLevelType w:val="hybridMultilevel"/>
    <w:lvl w:ilvl="0">
      <w:lvlJc w:val="left"/>
      <w:lvlText w:val="(%1)"/>
      <w:numFmt w:val="lowerLetter"/>
      <w:start w:val="1"/>
    </w:lvl>
  </w:abstractNum>
  <w:abstractNum w:abstractNumId="145">
    <w:nsid w:val="779D8544"/>
    <w:multiLevelType w:val="hybridMultilevel"/>
    <w:lvl w:ilvl="0">
      <w:lvlJc w:val="left"/>
      <w:lvlText w:val="(%1)"/>
      <w:numFmt w:val="lowerLetter"/>
      <w:start w:val="1"/>
    </w:lvl>
  </w:abstractNum>
  <w:abstractNum w:abstractNumId="146">
    <w:nsid w:val="4AB26E78"/>
    <w:multiLevelType w:val="hybridMultilevel"/>
    <w:lvl w:ilvl="0">
      <w:lvlJc w:val="left"/>
      <w:lvlText w:val="(%1)"/>
      <w:numFmt w:val="lowerRoman"/>
      <w:start w:val="1"/>
    </w:lvl>
  </w:abstractNum>
  <w:abstractNum w:abstractNumId="147">
    <w:nsid w:val="21FAA2FA"/>
    <w:multiLevelType w:val="hybridMultilevel"/>
    <w:lvl w:ilvl="0">
      <w:lvlJc w:val="left"/>
      <w:lvlText w:val="(%1)"/>
      <w:numFmt w:val="lowerRoman"/>
      <w:start w:val="5"/>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6"/>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3"/>
    </w:lvl>
  </w:abstractNum>
  <w:abstractNum w:abstractNumId="153">
    <w:nsid w:val="5015CD1A"/>
    <w:multiLevelType w:val="hybridMultilevel"/>
    <w:lvl w:ilvl="0">
      <w:lvlJc w:val="left"/>
      <w:lvlText w:val="%1."/>
      <w:numFmt w:val="decimal"/>
      <w:start w:val="1"/>
    </w:lvl>
  </w:abstractNum>
  <w:abstractNum w:abstractNumId="154">
    <w:nsid w:val="424479DA"/>
    <w:multiLevelType w:val="hybridMultilevel"/>
    <w:lvl w:ilvl="0">
      <w:lvlJc w:val="left"/>
      <w:lvlText w:val="%1."/>
      <w:numFmt w:val="decimal"/>
      <w:start w:val="3"/>
    </w:lvl>
  </w:abstractNum>
  <w:abstractNum w:abstractNumId="155">
    <w:nsid w:val="1A9A9E69"/>
    <w:multiLevelType w:val="hybridMultilevel"/>
    <w:lvl w:ilvl="0">
      <w:lvlJc w:val="left"/>
      <w:lvlText w:val="%1."/>
      <w:numFmt w:val="decimal"/>
      <w:start w:val="4"/>
    </w:lvl>
  </w:abstractNum>
  <w:abstractNum w:abstractNumId="156">
    <w:nsid w:val="475E256A"/>
    <w:multiLevelType w:val="hybridMultilevel"/>
    <w:lvl w:ilvl="0">
      <w:lvlJc w:val="left"/>
      <w:lvlText w:val="%1."/>
      <w:numFmt w:val="decimal"/>
      <w:start w:val="7"/>
    </w:lvl>
  </w:abstractNum>
  <w:abstractNum w:abstractNumId="157">
    <w:nsid w:val="368DB37E"/>
    <w:multiLevelType w:val="hybridMultilevel"/>
    <w:lvl w:ilvl="0">
      <w:lvlJc w:val="left"/>
      <w:lvlText w:val="%1."/>
      <w:numFmt w:val="decimal"/>
      <w:start w:val="1"/>
    </w:lvl>
    <w:lvl w:ilvl="1">
      <w:lvlJc w:val="left"/>
      <w:lvlText w:val="%2"/>
      <w:numFmt w:val="lowerLetter"/>
      <w:start w:val="1"/>
    </w:lvl>
  </w:abstractNum>
  <w:abstractNum w:abstractNumId="158">
    <w:nsid w:val="6A3B714C"/>
    <w:multiLevelType w:val="hybridMultilevel"/>
    <w:lvl w:ilvl="0">
      <w:lvlJc w:val="left"/>
      <w:lvlText w:val="%1."/>
      <w:numFmt w:val="lowerLetter"/>
      <w:start w:val="2"/>
    </w:lvl>
  </w:abstractNum>
  <w:abstractNum w:abstractNumId="159">
    <w:nsid w:val="327B517E"/>
    <w:multiLevelType w:val="hybridMultilevel"/>
    <w:lvl w:ilvl="0">
      <w:lvlJc w:val="left"/>
      <w:lvlText w:val="%1"/>
      <w:numFmt w:val="decimal"/>
      <w:start w:val="1"/>
    </w:lvl>
    <w:lvl w:ilvl="1">
      <w:lvlJc w:val="left"/>
      <w:lvlText w:val="%2."/>
      <w:numFmt w:val="lowerLetter"/>
      <w:start w:val="6"/>
    </w:lvl>
  </w:abstractNum>
  <w:abstractNum w:abstractNumId="160">
    <w:nsid w:val="1F461B51"/>
    <w:multiLevelType w:val="hybridMultilevel"/>
    <w:lvl w:ilvl="0">
      <w:lvlJc w:val="left"/>
      <w:lvlText w:val="%1."/>
      <w:numFmt w:val="decimal"/>
      <w:start w:val="3"/>
    </w:lvl>
    <w:lvl w:ilvl="1">
      <w:lvlJc w:val="left"/>
      <w:lvlText w:val="%2"/>
      <w:numFmt w:val="lowerLetter"/>
      <w:start w:val="1"/>
    </w:lvl>
  </w:abstractNum>
  <w:abstractNum w:abstractNumId="161">
    <w:nsid w:val="29BACF25"/>
    <w:multiLevelType w:val="hybridMultilevel"/>
    <w:lvl w:ilvl="0">
      <w:lvlJc w:val="left"/>
      <w:lvlText w:val="%1."/>
      <w:numFmt w:val="decimal"/>
      <w:start w:val="1"/>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lowerLetter"/>
      <w:start w:val="6"/>
    </w:lvl>
  </w:abstractNum>
  <w:abstractNum w:abstractNumId="164">
    <w:nsid w:val="7E0F638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165">
    <w:nsid w:val="2B4B8B53"/>
    <w:multiLevelType w:val="hybridMultilevel"/>
    <w:lvl w:ilvl="0">
      <w:lvlJc w:val="left"/>
      <w:lvlText w:val="%1"/>
      <w:numFmt w:val="lowerLetter"/>
      <w:start w:val="1"/>
    </w:lvl>
    <w:lvl w:ilvl="1">
      <w:lvlJc w:val="left"/>
      <w:lvlText w:val="(%2)"/>
      <w:numFmt w:val="lowerLetter"/>
      <w:start w:val="35"/>
    </w:lvl>
  </w:abstractNum>
  <w:abstractNum w:abstractNumId="166">
    <w:nsid w:val="72E3413A"/>
    <w:multiLevelType w:val="hybridMultilevel"/>
    <w:lvl w:ilvl="0">
      <w:lvlJc w:val="left"/>
      <w:lvlText w:val="(%1)"/>
      <w:numFmt w:val="lowerLetter"/>
      <w:start w:val="2"/>
    </w:lvl>
    <w:lvl w:ilvl="1">
      <w:lvlJc w:val="left"/>
      <w:lvlText w:val="(%2)"/>
      <w:numFmt w:val="lowerLetter"/>
      <w:start w:val="9"/>
    </w:lvl>
  </w:abstractNum>
  <w:abstractNum w:abstractNumId="167">
    <w:nsid w:val="116AE4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68">
    <w:nsid w:val="3494B2F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69">
    <w:nsid w:val="B13A3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70">
    <w:nsid w:val="6442959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1">
    <w:nsid w:val="631F169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2">
    <w:nsid w:val="25973E32"/>
    <w:multiLevelType w:val="hybridMultilevel"/>
    <w:lvl w:ilvl="0">
      <w:lvlJc w:val="left"/>
      <w:lvlText w:val="(%1)"/>
      <w:numFmt w:val="lowerLetter"/>
      <w:start w:val="2"/>
    </w:lvl>
  </w:abstractNum>
  <w:abstractNum w:abstractNumId="173">
    <w:nsid w:val="EAD6F5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4">
    <w:nsid w:val="6EC9D84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5">
    <w:nsid w:val="5C49EAEE"/>
    <w:multiLevelType w:val="hybridMultilevel"/>
    <w:lvl w:ilvl="0">
      <w:lvlJc w:val="left"/>
      <w:lvlText w:val="(%1)"/>
      <w:numFmt w:val="lowerRoman"/>
      <w:start w:val="1"/>
    </w:lvl>
  </w:abstractNum>
  <w:abstractNum w:abstractNumId="176">
    <w:nsid w:val="64AF49B"/>
    <w:multiLevelType w:val="hybridMultilevel"/>
    <w:lvl w:ilvl="0">
      <w:lvlJc w:val="left"/>
      <w:lvlText w:val="(%1)"/>
      <w:numFmt w:val="lowerRoman"/>
      <w:start w:val="1"/>
    </w:lvl>
  </w:abstractNum>
  <w:abstractNum w:abstractNumId="177">
    <w:nsid w:val="397C46BC"/>
    <w:multiLevelType w:val="hybridMultilevel"/>
    <w:lvl w:ilvl="0">
      <w:lvlJc w:val="left"/>
      <w:lvlText w:val="(%1)"/>
      <w:numFmt w:val="lowerRoman"/>
      <w:start w:val="1"/>
    </w:lvl>
    <w:lvl w:ilvl="1">
      <w:lvlJc w:val="left"/>
      <w:lvlText w:val="(%2)"/>
      <w:numFmt w:val="lowerRoman"/>
      <w:start w:val="2"/>
    </w:lvl>
  </w:abstractNum>
  <w:abstractNum w:abstractNumId="178">
    <w:nsid w:val="7E448DE9"/>
    <w:multiLevelType w:val="hybridMultilevel"/>
    <w:lvl w:ilvl="0">
      <w:lvlJc w:val="left"/>
      <w:lvlText w:val="(%1)"/>
      <w:numFmt w:val="lowerRoman"/>
      <w:start w:val="1"/>
    </w:lvl>
  </w:abstractNum>
  <w:abstractNum w:abstractNumId="179">
    <w:nsid w:val="5A9CC3E5"/>
    <w:multiLevelType w:val="hybridMultilevel"/>
    <w:lvl w:ilvl="0">
      <w:lvlJc w:val="left"/>
      <w:lvlText w:val="(%1)"/>
      <w:numFmt w:val="lowerRoman"/>
      <w:start w:val="1"/>
    </w:lvl>
  </w:abstractNum>
  <w:abstractNum w:abstractNumId="180">
    <w:nsid w:val="1AFE3625"/>
    <w:multiLevelType w:val="hybridMultilevel"/>
    <w:lvl w:ilvl="0">
      <w:lvlJc w:val="left"/>
      <w:lvlText w:val="(%1)"/>
      <w:numFmt w:val="lowerRoman"/>
      <w:start w:val="1"/>
    </w:lvl>
  </w:abstractNum>
  <w:abstractNum w:abstractNumId="181">
    <w:nsid w:val="3CA88ECF"/>
    <w:multiLevelType w:val="hybridMultilevel"/>
    <w:lvl w:ilvl="0">
      <w:lvlJc w:val="left"/>
      <w:lvlText w:val="%1."/>
      <w:numFmt w:val="decimal"/>
      <w:start w:val="8"/>
    </w:lvl>
  </w:abstractNum>
  <w:abstractNum w:abstractNumId="182">
    <w:nsid w:val="6EBE420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183">
    <w:nsid w:val="C058DF5"/>
    <w:multiLevelType w:val="hybridMultilevel"/>
    <w:lvl w:ilvl="0">
      <w:lvlJc w:val="left"/>
      <w:lvlText w:val="%1"/>
      <w:numFmt w:val="decimal"/>
      <w:start w:val="1"/>
    </w:lvl>
    <w:lvl w:ilvl="1">
      <w:lvlJc w:val="left"/>
      <w:lvlText w:val="(%2)"/>
      <w:numFmt w:val="decimal"/>
      <w:start w:val="12"/>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184">
    <w:nsid w:val="CBE5BE9"/>
    <w:multiLevelType w:val="hybridMultilevel"/>
    <w:lvl w:ilvl="0">
      <w:lvlJc w:val="left"/>
      <w:lvlText w:val="%1."/>
      <w:numFmt w:val="decimal"/>
      <w:start w:val="9"/>
    </w:lvl>
    <w:lvl w:ilvl="1">
      <w:lvlJc w:val="left"/>
      <w:lvlText w:val="%2"/>
      <w:numFmt w:val="decimal"/>
      <w:start w:val="1"/>
    </w:lvl>
    <w:lvl w:ilvl="2">
      <w:lvlJc w:val="left"/>
      <w:lvlText w:val="%3"/>
      <w:numFmt w:val="lowerRoman"/>
      <w:start w:val="1"/>
    </w:lvl>
    <w:lvl w:ilvl="3">
      <w:lvlJc w:val="left"/>
      <w:lvlText w:val="(%4)"/>
      <w:numFmt w:val="lowerLetter"/>
      <w:start w:val="1"/>
    </w:lvl>
    <w:lvl w:ilvl="4">
      <w:lvlJc w:val="left"/>
      <w:lvlText w:val="%5"/>
      <w:numFmt w:val="lowerLetter"/>
      <w:start w:val="1"/>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89">
    <w:nsid w:val="10DB9DAA"/>
    <w:multiLevelType w:val="hybridMultilevel"/>
    <w:lvl w:ilvl="0">
      <w:lvlJc w:val="left"/>
      <w:lvlText w:val="•"/>
      <w:numFmt w:val="bullet"/>
      <w:start w:val="1"/>
    </w:lvl>
    <w:lvl w:ilvl="1">
      <w:lvlJc w:val="left"/>
      <w:lvlText w:val="•"/>
      <w:numFmt w:val="bullet"/>
      <w:start w:val="1"/>
    </w:lvl>
  </w:abstractNum>
  <w:abstractNum w:abstractNumId="190">
    <w:nsid w:val="697D2D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91">
    <w:nsid w:val="6D68AB2"/>
    <w:multiLevelType w:val="hybridMultilevel"/>
    <w:lvl w:ilvl="0">
      <w:lvlJc w:val="left"/>
      <w:lvlText w:val="•"/>
      <w:numFmt w:val="bullet"/>
      <w:start w:val="1"/>
    </w:lvl>
    <w:lvl w:ilvl="1">
      <w:lvlJc w:val="left"/>
      <w:lvlText w:val="•"/>
      <w:numFmt w:val="bullet"/>
      <w:start w:val="1"/>
    </w:lvl>
  </w:abstractNum>
  <w:abstractNum w:abstractNumId="192">
    <w:nsid w:val="3A966CD0"/>
    <w:multiLevelType w:val="hybridMultilevel"/>
    <w:lvl w:ilvl="0">
      <w:lvlJc w:val="left"/>
      <w:lvlText w:val="%1."/>
      <w:numFmt w:val="decimal"/>
      <w:start w:val="1"/>
    </w:lvl>
  </w:abstractNum>
  <w:abstractNum w:abstractNumId="193">
    <w:nsid w:val="63F37E85"/>
    <w:multiLevelType w:val="hybridMultilevel"/>
    <w:lvl w:ilvl="0">
      <w:lvlJc w:val="left"/>
      <w:lvlText w:val="1"/>
      <w:numFmt w:val="bullet"/>
      <w:start w:val="1"/>
    </w:lvl>
  </w:abstractNum>
  <w:abstractNum w:abstractNumId="194">
    <w:nsid w:val="5895F5FA"/>
    <w:multiLevelType w:val="hybridMultilevel"/>
    <w:lvl w:ilvl="0">
      <w:lvlJc w:val="left"/>
      <w:lvlText w:val="%1."/>
      <w:numFmt w:val="decimal"/>
      <w:start w:val="4"/>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2"/>
      <w:numFmt w:val="bullet"/>
      <w:start w:val="1"/>
    </w:lvl>
  </w:abstractNum>
  <w:abstractNum w:abstractNumId="197">
    <w:nsid w:val="4B793735"/>
    <w:multiLevelType w:val="hybridMultilevel"/>
    <w:lvl w:ilvl="0">
      <w:lvlJc w:val="left"/>
      <w:lvlText w:val="•"/>
      <w:numFmt w:val="bullet"/>
      <w:start w:val="1"/>
    </w:lvl>
    <w:lvl w:ilvl="1">
      <w:lvlJc w:val="left"/>
      <w:lvlText w:val="•"/>
      <w:numFmt w:val="bullet"/>
      <w:start w:val="1"/>
    </w:lvl>
  </w:abstractNum>
  <w:abstractNum w:abstractNumId="198">
    <w:nsid w:val="4A10B4E8"/>
    <w:multiLevelType w:val="hybridMultilevel"/>
    <w:lvl w:ilvl="0">
      <w:lvlJc w:val="left"/>
      <w:lvlText w:val="%1."/>
      <w:numFmt w:val="decimal"/>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1."/>
      <w:numFmt w:val="decimal"/>
      <w:start w:val="2"/>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58" Type="http://schemas.openxmlformats.org/officeDocument/2006/relationships/image" Target="media/image124.png"/><Relationship Id="rId170"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jpeg"/><Relationship Id="rId194" Type="http://schemas.openxmlformats.org/officeDocument/2006/relationships/image" Target="media/image148.jpeg"/><Relationship Id="rId195" Type="http://schemas.openxmlformats.org/officeDocument/2006/relationships/image" Target="media/image149.jpeg"/><Relationship Id="rId196" Type="http://schemas.openxmlformats.org/officeDocument/2006/relationships/image" Target="media/image150.jpeg"/><Relationship Id="rId197" Type="http://schemas.openxmlformats.org/officeDocument/2006/relationships/image" Target="media/image151.jpeg"/><Relationship Id="rId198" Type="http://schemas.openxmlformats.org/officeDocument/2006/relationships/image" Target="media/image152.jpeg"/><Relationship Id="rId199" Type="http://schemas.openxmlformats.org/officeDocument/2006/relationships/image" Target="media/image153.jpeg"/><Relationship Id="rId200" Type="http://schemas.openxmlformats.org/officeDocument/2006/relationships/image" Target="media/image154.jpeg"/><Relationship Id="rId201" Type="http://schemas.openxmlformats.org/officeDocument/2006/relationships/image" Target="media/image155.jpeg"/><Relationship Id="rId202" Type="http://schemas.openxmlformats.org/officeDocument/2006/relationships/image" Target="media/image156.jpeg"/><Relationship Id="rId203" Type="http://schemas.openxmlformats.org/officeDocument/2006/relationships/image" Target="media/image157.jpeg"/><Relationship Id="rId204" Type="http://schemas.openxmlformats.org/officeDocument/2006/relationships/image" Target="media/image158.jpeg"/><Relationship Id="rId205" Type="http://schemas.openxmlformats.org/officeDocument/2006/relationships/image" Target="media/image159.jpeg"/><Relationship Id="rId206" Type="http://schemas.openxmlformats.org/officeDocument/2006/relationships/image" Target="media/image160.jpeg"/><Relationship Id="rId207" Type="http://schemas.openxmlformats.org/officeDocument/2006/relationships/image" Target="media/image161.jpeg"/><Relationship Id="rId208" Type="http://schemas.openxmlformats.org/officeDocument/2006/relationships/image" Target="media/image162.jpeg"/><Relationship Id="rId209" Type="http://schemas.openxmlformats.org/officeDocument/2006/relationships/image" Target="media/image163.jpeg"/><Relationship Id="rId210" Type="http://schemas.openxmlformats.org/officeDocument/2006/relationships/image" Target="media/image164.jpeg"/><Relationship Id="rId211" Type="http://schemas.openxmlformats.org/officeDocument/2006/relationships/image" Target="media/image165.jpeg"/><Relationship Id="rId212" Type="http://schemas.openxmlformats.org/officeDocument/2006/relationships/image" Target="media/image166.jpeg"/><Relationship Id="rId213" Type="http://schemas.openxmlformats.org/officeDocument/2006/relationships/image" Target="media/image167.jpeg"/><Relationship Id="rId214" Type="http://schemas.openxmlformats.org/officeDocument/2006/relationships/image" Target="media/image168.jpeg"/><Relationship Id="rId215" Type="http://schemas.openxmlformats.org/officeDocument/2006/relationships/image" Target="media/image169.png"/><Relationship Id="rId216" Type="http://schemas.openxmlformats.org/officeDocument/2006/relationships/image" Target="media/image170.jpeg"/><Relationship Id="rId217" Type="http://schemas.openxmlformats.org/officeDocument/2006/relationships/image" Target="media/image171.jpeg"/><Relationship Id="rId218" Type="http://schemas.openxmlformats.org/officeDocument/2006/relationships/image" Target="media/image172.png"/><Relationship Id="rId219" Type="http://schemas.openxmlformats.org/officeDocument/2006/relationships/image" Target="media/image173.jpeg"/><Relationship Id="rId220" Type="http://schemas.openxmlformats.org/officeDocument/2006/relationships/image" Target="media/image174.jpeg"/><Relationship Id="rId221" Type="http://schemas.openxmlformats.org/officeDocument/2006/relationships/image" Target="media/image175.jpeg"/><Relationship Id="rId222" Type="http://schemas.openxmlformats.org/officeDocument/2006/relationships/image" Target="media/image176.jpeg"/><Relationship Id="rId223" Type="http://schemas.openxmlformats.org/officeDocument/2006/relationships/image" Target="media/image177.jpeg"/><Relationship Id="rId224" Type="http://schemas.openxmlformats.org/officeDocument/2006/relationships/image" Target="media/image178.jpeg"/><Relationship Id="rId225" Type="http://schemas.openxmlformats.org/officeDocument/2006/relationships/image" Target="media/image179.jpeg"/><Relationship Id="rId226" Type="http://schemas.openxmlformats.org/officeDocument/2006/relationships/image" Target="media/image180.jpeg"/><Relationship Id="rId227" Type="http://schemas.openxmlformats.org/officeDocument/2006/relationships/image" Target="media/image181.jpeg"/><Relationship Id="rId228" Type="http://schemas.openxmlformats.org/officeDocument/2006/relationships/image" Target="media/image182.jpeg"/><Relationship Id="rId229" Type="http://schemas.openxmlformats.org/officeDocument/2006/relationships/image" Target="media/image183.jpeg"/><Relationship Id="rId230" Type="http://schemas.openxmlformats.org/officeDocument/2006/relationships/image" Target="media/image184.png"/><Relationship Id="rId231" Type="http://schemas.openxmlformats.org/officeDocument/2006/relationships/image" Target="media/image185.png"/><Relationship Id="rId129" Type="http://schemas.openxmlformats.org/officeDocument/2006/relationships/hyperlink" Target="https://www.sec.gov/Archives/edgar/data/1408198/000119312512212354/d324997dex31.htm" TargetMode="External"/><Relationship Id="rId130" Type="http://schemas.openxmlformats.org/officeDocument/2006/relationships/hyperlink" Target="https://www.sec.gov/Archives/edgar/data/1408198/000140819824000030/ex_3x2xmscibylawsx2024upda.htm" TargetMode="External"/><Relationship Id="rId131" Type="http://schemas.openxmlformats.org/officeDocument/2006/relationships/hyperlink" Target="https://www.sec.gov/Archives/edgar/data/1408198/000095010315006360/dp58253_ex0401.htm" TargetMode="External"/><Relationship Id="rId132" Type="http://schemas.openxmlformats.org/officeDocument/2006/relationships/hyperlink" Target="https://www.sec.gov/Archives/edgar/data/1408198/000095010315006360/dp58253_ex0402.htm" TargetMode="External"/><Relationship Id="rId133" Type="http://schemas.openxmlformats.org/officeDocument/2006/relationships/hyperlink" Target="https://www.sec.gov/Archives/edgar/data/1408198/000119312512212354/d324997dex41.htm" TargetMode="External"/><Relationship Id="rId134" Type="http://schemas.openxmlformats.org/officeDocument/2006/relationships/hyperlink" Target="https://www.sec.gov/Archives/edgar/data/1408198/000119312519286824/d828551dex41.htm" TargetMode="External"/><Relationship Id="rId135" Type="http://schemas.openxmlformats.org/officeDocument/2006/relationships/hyperlink" Target="https://www.sec.gov/Archives/edgar/data/0001408198/000119312520061718/d871635dex41.htm" TargetMode="External"/><Relationship Id="rId136" Type="http://schemas.openxmlformats.org/officeDocument/2006/relationships/hyperlink" Target="https://www.sec.gov/Archives/edgar/data/0001408198/000119312520151613/d829084dex41.htm" TargetMode="External"/><Relationship Id="rId137" Type="http://schemas.openxmlformats.org/officeDocument/2006/relationships/hyperlink" Target="https://www.sec.gov/Archives/edgar/data/0001408198/000119312521162036/d420165dex41.htm" TargetMode="External"/><Relationship Id="rId138" Type="http://schemas.openxmlformats.org/officeDocument/2006/relationships/hyperlink" Target="https://www.sec.gov/Archives/edgar/data/0001408198/000119312521249156/d215701dex41.htm" TargetMode="External"/><Relationship Id="rId141" Type="http://schemas.openxmlformats.org/officeDocument/2006/relationships/hyperlink" Target="https://www.sec.gov/Archives/edgar/data/1408198/000119312521249156/d215701dex41.htm" TargetMode="External"/><Relationship Id="rId142" Type="http://schemas.openxmlformats.org/officeDocument/2006/relationships/hyperlink" Target="https://www.sec.gov/Archives/edgar/data/1408198/000095010325010115/dp232812_ex0401.htm" TargetMode="External"/><Relationship Id="rId143" Type="http://schemas.openxmlformats.org/officeDocument/2006/relationships/hyperlink" Target="https://www.sec.gov/Archives/edgar/data/1408198/000095010325010115/dp232812_ex0402.htm" TargetMode="External"/><Relationship Id="rId144" Type="http://schemas.openxmlformats.org/officeDocument/2006/relationships/hyperlink" Target="https://www.sec.gov/Archives/edgar/data/1408198/000095010325014418/dp236995_ex0402.htm" TargetMode="External"/><Relationship Id="rId145" Type="http://schemas.openxmlformats.org/officeDocument/2006/relationships/hyperlink" Target="https://www.sec.gov/Archives/edgar/data/1408198/000140819825000111/exhibit102_non-employeedir.htm" TargetMode="External"/><Relationship Id="rId146" Type="http://schemas.openxmlformats.org/officeDocument/2006/relationships/hyperlink" Target="https://www.sec.gov/Archives/edgar/data/1408198/000140819824000030/ex_105xmsci-executivecicse.htm" TargetMode="External"/><Relationship Id="rId147" Type="http://schemas.openxmlformats.org/officeDocument/2006/relationships/hyperlink" Target="https://www.sec.gov/Archives/edgar/data/1408198/000140819825000177/ex_102xecownershipxpolicyx.htm" TargetMode="External"/><Relationship Id="rId148" Type="http://schemas.openxmlformats.org/officeDocument/2006/relationships/hyperlink" Target="https://www.sec.gov/Archives/edgar/data/1408198/000119312516564282/d162063dex991.htm" TargetMode="External"/><Relationship Id="rId149" Type="http://schemas.openxmlformats.org/officeDocument/2006/relationships/hyperlink" Target="https://www.sec.gov/Archives/edgar/data/1408198/000095010325005253/dp227937_ex9901.htm" TargetMode="External"/><Relationship Id="rId150" Type="http://schemas.openxmlformats.org/officeDocument/2006/relationships/hyperlink" Target="https://www.sec.gov/Archives/edgar/data/1408198/000140819825000177/ex_103xannualincentiveplan.htm" TargetMode="External"/><Relationship Id="rId151" Type="http://schemas.openxmlformats.org/officeDocument/2006/relationships/hyperlink" Target="https://www.sec.gov/Archives/edgar/data/1408198/000140819824000030/exhibit_1022x2024omnibusrs.htm" TargetMode="External"/><Relationship Id="rId152" Type="http://schemas.openxmlformats.org/officeDocument/2006/relationships/hyperlink" Target="https://www.sec.gov/Archives/edgar/data/1408198/000140819824000030/exhibit_1023x2024omnibusps.htm" TargetMode="External"/><Relationship Id="rId153" Type="http://schemas.openxmlformats.org/officeDocument/2006/relationships/hyperlink" Target="https://www.sec.gov/Archives/edgar/data/1408198/000140819824000030/exhibit_1024x2024omnibusps.htm" TargetMode="External"/><Relationship Id="rId154" Type="http://schemas.openxmlformats.org/officeDocument/2006/relationships/hyperlink" Target="https://www.sec.gov/Archives/edgar/data/1408198/000140819825000053/ex1018_2025omnibusrsuaward.htm" TargetMode="External"/><Relationship Id="rId155" Type="http://schemas.openxmlformats.org/officeDocument/2006/relationships/hyperlink" Target="https://www.sec.gov/Archives/edgar/data/1408198/000140819825000053/ex1019_2025omnibuspsuaward.htm" TargetMode="External"/><Relationship Id="rId156" Type="http://schemas.openxmlformats.org/officeDocument/2006/relationships/hyperlink" Target="https://www.sec.gov/Archives/edgar/data/1408198/000140819825000053/ex1020_2025omnibuspsoaward.htm" TargetMode="External"/><Relationship Id="rId157" Type="http://schemas.openxmlformats.org/officeDocument/2006/relationships/hyperlink" Target="https://www.sec.gov/Archives/edgar/data/1408198/000140819825000053/ex1021_msci-2025premiumpri.htm" TargetMode="External"/><Relationship Id="rId159" Type="http://schemas.openxmlformats.org/officeDocument/2006/relationships/hyperlink" Target="https://www.sec.gov/Archives/edgar/data/1408198/000140819825000177/ex_104x2025formofdirectorr.htm" TargetMode="External"/><Relationship Id="rId160" Type="http://schemas.openxmlformats.org/officeDocument/2006/relationships/hyperlink" Target="https://www.sec.gov/Archives/edgar/data/1408198/000140819825000177/ex_105x2025omnibusrsuaward.htm" TargetMode="External"/><Relationship Id="rId161" Type="http://schemas.openxmlformats.org/officeDocument/2006/relationships/hyperlink" Target="https://www.sec.gov/Archives/edgar/data/1408198/000140819825000177/ex_106x2025omnibuspsuaward.htm" TargetMode="External"/><Relationship Id="rId162" Type="http://schemas.openxmlformats.org/officeDocument/2006/relationships/hyperlink" Target="https://www.sec.gov/Archives/edgar/data/1408198/000140819825000177/ex_107x2025omnibuspsoaward.htm" TargetMode="External"/><Relationship Id="rId163" Type="http://schemas.openxmlformats.org/officeDocument/2006/relationships/hyperlink" Target="https://www.sec.gov/Archives/edgar/data/1408198/000156459018010882/msci-ex101_98.htm" TargetMode="External"/><Relationship Id="rId164" Type="http://schemas.openxmlformats.org/officeDocument/2006/relationships/hyperlink" Target="https://www.sec.gov/Archives/edgar/data/0001408198/000119312520253892/d40154dex101.htm" TargetMode="External"/><Relationship Id="rId165" Type="http://schemas.openxmlformats.org/officeDocument/2006/relationships/hyperlink" Target="https://www.sec.gov/Archives/edgar/data/0001408198/000156459021021208/msci-ex102_184.htm" TargetMode="External"/><Relationship Id="rId166" Type="http://schemas.openxmlformats.org/officeDocument/2006/relationships/hyperlink" Target="https://www.sec.gov/Archives/edgar/data/1408198/000095010325010515/dp233145_ex1001.htm" TargetMode="External"/><Relationship Id="rId167" Type="http://schemas.openxmlformats.org/officeDocument/2006/relationships/hyperlink" Target="https://www.sec.gov/Archives/edgar/data/1408198/000119312511254465/d235117dex101.htm" TargetMode="External"/><Relationship Id="rId168" Type="http://schemas.openxmlformats.org/officeDocument/2006/relationships/hyperlink" Target="https://www.sec.gov/Archives/edgar/data/1408198/000140819822000012/ex_101xblkglobaletfagreeme.htm" TargetMode="External"/><Relationship Id="rId169" Type="http://schemas.openxmlformats.org/officeDocument/2006/relationships/hyperlink" Target="https://www.sec.gov/Archives/edgar/data/1408198/000140819826000008/exhibit101_blackrockamendm.htm" TargetMode="External"/><Relationship Id="rId171" Type="http://schemas.openxmlformats.org/officeDocument/2006/relationships/hyperlink" Target="https://www.sec.gov/Archives/edgar/data/1408198/000140819824000030/ex_97x1xmscifinancial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2026-02-06T14:06:36Z</dcterms:created>
  <dcterms:modified xsi:type="dcterms:W3CDTF">2026-02-06T14:06:36Z</dcterms:modified>
</cp:coreProperties>
</file>