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MSCI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#55354G100</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#55354G100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396,433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3,895,651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3,895,651</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4.598%</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#55354G100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3,895,651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3,895,651</w:t>
      </w:r>
    </w:p>
    <w:p>
      <w:pPr>
        <w:spacing w:after="0" w:line="237" w:lineRule="auto"/>
        <w:rPr>
          <w:sz w:val="20"/>
          <w:szCs w:val="20"/>
          <w:color w:val="auto"/>
        </w:rPr>
      </w:pPr>
      <w:r>
        <w:rPr>
          <w:rFonts w:ascii="Courier New" w:cs="Courier New" w:eastAsia="Courier New" w:hAnsi="Courier New"/>
          <w:sz w:val="18"/>
          <w:szCs w:val="18"/>
          <w:color w:val="auto"/>
        </w:rPr>
        <w:t>Item 11: 4.598%</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MSCI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 WORLD TRADE CENTER 250 GREENWICH STREET, 49TH FLOOR</w:t>
      </w:r>
    </w:p>
    <w:p>
      <w:pPr>
        <w:spacing w:after="0" w:line="238" w:lineRule="auto"/>
        <w:rPr>
          <w:sz w:val="20"/>
          <w:szCs w:val="20"/>
          <w:color w:val="auto"/>
        </w:rPr>
      </w:pPr>
      <w:r>
        <w:rPr>
          <w:rFonts w:ascii="Courier New" w:cs="Courier New" w:eastAsia="Courier New" w:hAnsi="Courier New"/>
          <w:sz w:val="18"/>
          <w:szCs w:val="18"/>
          <w:color w:val="auto"/>
        </w:rPr>
        <w:t>New York, NY 10007</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55354G100</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3,895,651</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4.598%</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396,433</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3,895,651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One or more other persons are known to have the right to receive or the power to direct the receipt of dividends from, or the proceeds from the sale of, the COMMON STOCK of MSCI INC. No one other person's interest in the COMMON STOCK of MSCI INC is more than five percent of the total outstanding COMMON STOCK.</w:t>
      </w:r>
    </w:p>
    <w:p>
      <w:pPr>
        <w:spacing w:after="0" w:line="182"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tabs>
          <w:tab w:leader="none" w:pos="4000" w:val="left"/>
        </w:tabs>
        <w:rPr>
          <w:sz w:val="20"/>
          <w:szCs w:val="20"/>
          <w:color w:val="auto"/>
        </w:rPr>
      </w:pPr>
      <w:r>
        <w:rPr>
          <w:rFonts w:ascii="Courier New" w:cs="Courier New" w:eastAsia="Courier New" w:hAnsi="Courier New"/>
          <w:sz w:val="18"/>
          <w:szCs w:val="18"/>
          <w:color w:val="auto"/>
        </w:rPr>
        <w:t>Fidelity Personal Trust Company, FSB</w:t>
      </w:r>
      <w:r>
        <w:rPr>
          <w:sz w:val="20"/>
          <w:szCs w:val="20"/>
          <w:color w:val="auto"/>
        </w:rPr>
        <w:tab/>
      </w:r>
      <w:r>
        <w:rPr>
          <w:rFonts w:ascii="Courier New" w:cs="Courier New" w:eastAsia="Courier New" w:hAnsi="Courier New"/>
          <w:sz w:val="16"/>
          <w:szCs w:val="16"/>
          <w:color w:val="auto"/>
        </w:rPr>
        <w:t>SA</w:t>
      </w:r>
    </w:p>
    <w:p>
      <w:pPr>
        <w:sectPr>
          <w:pgSz w:w="11900" w:h="16838" w:orient="portrait"/>
          <w:cols w:equalWidth="0" w:num="1">
            <w:col w:w="10219"/>
          </w:cols>
          <w:pgMar w:left="240" w:top="339" w:right="1440" w:bottom="0" w:gutter="0" w:footer="0" w:header="0"/>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FMR CO., INC</w:t>
        <w:tab/>
        <w:t>IA</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MSCI INC at December 31, 2019.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2020-02-17T16:38:11Z</dcterms:created>
  <dcterms:modified xsi:type="dcterms:W3CDTF">2020-02-17T16:38:11Z</dcterms:modified>
</cp:coreProperties>
</file>