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Matlock Robin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299" w:lineRule="auto"/>
        <w:rPr>
          <w:sz w:val="20"/>
          <w:szCs w:val="20"/>
          <w:color w:val="auto"/>
        </w:rPr>
      </w:pPr>
      <w:r>
        <w:rPr>
          <w:rFonts w:ascii="Times New Roman" w:cs="Times New Roman" w:eastAsia="Times New Roman" w:hAnsi="Times New Roman"/>
          <w:sz w:val="17"/>
          <w:szCs w:val="17"/>
          <w:color w:val="0000FF"/>
        </w:rPr>
        <w:t>7 WORLD TRADE CENTER, 250 GREENWICH ST.</w:t>
      </w:r>
    </w:p>
    <w:p>
      <w:pPr>
        <w:spacing w:after="0" w:line="274"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MSCI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MSCI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388</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2,025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vesting on May 1, 2027. Pursuant to the MSCI Inc. Non-Employee Directors Deferral Plan, the Reporting Person has elected to defer receipt of the shares until the earlier of June 1, 2033 and the 60th day after such Reporting Person's "separation from service" as a director.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Cecilia Aza, attorney-in-</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1215" TargetMode="External"/><Relationship Id="rId14"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2026-05-05T15:19:43Z</dcterms:created>
  <dcterms:modified xsi:type="dcterms:W3CDTF">2026-05-05T15:19:43Z</dcterms:modified>
</cp:coreProperties>
</file>