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7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68" w:lineRule="exact"/>
        <w:rPr>
          <w:sz w:val="24"/>
          <w:szCs w:val="24"/>
          <w:color w:val="auto"/>
        </w:rPr>
      </w:pPr>
    </w:p>
    <w:p>
      <w:pPr>
        <w:spacing w:after="0" w:line="242" w:lineRule="exact"/>
        <w:tabs>
          <w:tab w:leader="none" w:pos="440" w:val="left"/>
          <w:tab w:leader="none" w:pos="5580" w:val="left"/>
          <w:tab w:leader="none" w:pos="60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20" w:hanging="437"/>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520" w:hanging="437"/>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20" w:hanging="43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219075</wp:posOffset>
            </wp:positionV>
            <wp:extent cx="1517015"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MSCI INC.</w:t>
      </w:r>
    </w:p>
    <w:p>
      <w:pPr>
        <w:spacing w:after="0" w:line="182"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5"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171" w:lineRule="exact"/>
        <w:rPr>
          <w:sz w:val="24"/>
          <w:szCs w:val="24"/>
          <w:color w:val="auto"/>
        </w:rPr>
      </w:pPr>
    </w:p>
    <w:p>
      <w:pPr>
        <w:ind w:left="520" w:hanging="437"/>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3232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31" w:lineRule="exact"/>
        <w:rPr>
          <w:sz w:val="24"/>
          <w:szCs w:val="24"/>
          <w:color w:val="auto"/>
        </w:rPr>
      </w:pPr>
    </w:p>
    <w:p>
      <w:pPr>
        <w:ind w:left="520" w:hanging="43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866775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136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8996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8996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7"/>
          <w:szCs w:val="47"/>
          <w:b w:val="1"/>
          <w:bCs w:val="1"/>
          <w:color w:val="1A3FD6"/>
        </w:rPr>
        <w:t>Letter From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-308610</wp:posOffset>
            </wp:positionV>
            <wp:extent cx="985520" cy="986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85520" cy="986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46"/>
          <w:szCs w:val="46"/>
          <w:b w:val="1"/>
          <w:bCs w:val="1"/>
          <w:color w:val="7188EF"/>
        </w:rPr>
        <w:t>Chairman and CEO</w:t>
      </w:r>
    </w:p>
    <w:p>
      <w:pPr>
        <w:sectPr>
          <w:pgSz w:w="11900" w:h="16838" w:orient="portrait"/>
          <w:cols w:equalWidth="0" w:num="1">
            <w:col w:w="11240"/>
          </w:cols>
          <w:pgMar w:left="320" w:top="10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Dear fellow shareholders,</w:t>
      </w:r>
    </w:p>
    <w:p>
      <w:pPr>
        <w:spacing w:after="0" w:line="111"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Thank you for your continued trust and confidence in MSCI. In 2025, we delivered another year of strong performance while making important investments in the future of our business. Our results reflect the durability of our franchise, the mission-critical nature of our solutions and the dedication of our people.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Delivering Results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In 2025, MSCI achieved its 11th consecutive year of double-digit adjusted earnings-per-share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growth.¹ Total run rate surpassed $3.3 billion, including fourth-quarter recurring net-new</w:t>
      </w:r>
    </w:p>
    <w:p>
      <w:pPr>
        <w:spacing w:after="0"/>
        <w:rPr>
          <w:sz w:val="20"/>
          <w:szCs w:val="20"/>
          <w:color w:val="auto"/>
        </w:rPr>
      </w:pPr>
      <w:r>
        <w:rPr>
          <w:rFonts w:ascii="Arial" w:cs="Arial" w:eastAsia="Arial" w:hAnsi="Arial"/>
          <w:sz w:val="12"/>
          <w:szCs w:val="12"/>
          <w:color w:val="auto"/>
        </w:rPr>
        <w:t>subscription sales of $65 million, our second-best quarter on record. Record annual inflows of</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$204 billion into ETFs linked to MSCI equity indexes helped drive total ETF and non-ETF assets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under management linked to our indexes to approximately $7 trillion. In 2025, we also returned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substantial capital to shareholders through $2.4 billion in share repurchases and $557 million 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dividends during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a period of significant change — driven by advanced technologies, alternative asset classes and emerging risks and opportunities — and our clients rely on MSCI to help them adapt. In 2025, we took steps to align our organizational structure more closely with client segments — including appointing client segment leaders, establishing client-focused quarterly business reviews and redesigning incentive structures to place greater emphasis on recurring sales and cross-functional collaboration. These changes are intended to help us meet clients where they are, anticipate their evolving needs and deliver integrated solutions that address their most important challenges.</w:t>
      </w:r>
    </w:p>
    <w:p>
      <w:pPr>
        <w:spacing w:after="0" w:line="48"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MSCI has long benefited from two reinforcing strengths. First, we connect participants across the global investment community by establishing standards and a common language. Second, our integrated OneMSCI ecosystem generates powerful network effects by enabling our product lines to enhance one another. By organizing more closely around client needs, we aim to further strengthen both of these advantages.</w:t>
      </w:r>
    </w:p>
    <w:p>
      <w:pPr>
        <w:spacing w:after="0" w:line="1" w:lineRule="exact"/>
        <w:rPr>
          <w:sz w:val="20"/>
          <w:szCs w:val="20"/>
          <w:color w:val="auto"/>
        </w:rPr>
      </w:pPr>
    </w:p>
    <w:p>
      <w:pPr>
        <w:sectPr>
          <w:pgSz w:w="11900" w:h="16838" w:orient="portrait"/>
          <w:cols w:equalWidth="0" w:num="2">
            <w:col w:w="5340" w:space="380"/>
            <w:col w:w="5520"/>
          </w:cols>
          <w:pgMar w:left="320" w:top="1059"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Accelerating Innovation</w:t>
      </w:r>
    </w:p>
    <w:p>
      <w:pPr>
        <w:spacing w:after="0" w:line="46"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The pace of product innovation across MSCI accelerated meaningfully in 2025, with contribution to recurring sales from recently introduced products increasing approximately 20% year-over-year. A key driver of this momentum has been our deployment of artificial intelligence (“AI”) across the business, an area where MSCI has a natural advantage, given the large volumes of data we collect and transform into unique, proprietary institutional-grade datasets, advanced models and mission-critical solutions.</w:t>
      </w:r>
    </w:p>
    <w:p>
      <w:pPr>
        <w:spacing w:after="0" w:line="3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In 2025, we made meaningful progress deploying AI across our operations, our product development and our client-facing solutions. Our AI Portfolio Insights platform combines generative AI with our datasets and risk models to deliver deeper analysis of client portfolios, and has contributed to sales growth in our Analytics solutions. Our GeoSpatial Asset Intelligence solution helps clients assess physical and nature-based risks across nearly 4 million locations for 700,000 public and private companies. We are also applying AI to accelerate our custom-index capabilities, enabling faster design, testing and deployment of customized index and basket solutions.</w:t>
      </w:r>
    </w:p>
    <w:p>
      <w:pPr>
        <w:spacing w:after="0" w:line="35"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Internally, AI is helping us improve operational processes and reallocate resources toward growth investments. We believe these benefits can grow over time and further enhance the value of our solutions.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Building in Private Markets and Wealth</w:t>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Private markets continued to represent a meaningful growth opportunity, and MSCI has invested in building the transparency tools and standards that this expanding asset class requires. We maintain one of the largest private-asset databases in our industry, covering more than $17 trillion in holdings across private equity, private real estate, private debt, infrastructure and natural resources, plus another $57 trillion in real-estate transactions and portfolio assets. Our Private Capital Solutions business delivered significant sales acceleration in the fourth quarter of 2025, driven by demand for solutions that help investors manage total-portfolio allocations, access private-capital intelligence and gain transparency into private-market holdings.</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We also continued to expand our presence in wealth management, one of our fastest-growing client segments, where subscription run rate grew nearly 11% during the year. Our MSCI Wealth Manager platform and direct-indexing solutions are helping wealth managers build portfolios, and we see growing opportunities to deliver content across product lines to support this client segment.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Deepening Client Centricity</w:t>
      </w:r>
    </w:p>
    <w:p>
      <w:pPr>
        <w:spacing w:after="0" w:line="60" w:lineRule="exact"/>
        <w:rPr>
          <w:sz w:val="20"/>
          <w:szCs w:val="20"/>
          <w:color w:val="auto"/>
        </w:rPr>
      </w:pPr>
    </w:p>
    <w:p>
      <w:pPr>
        <w:ind w:right="320"/>
        <w:spacing w:after="0" w:line="264" w:lineRule="auto"/>
        <w:rPr>
          <w:sz w:val="20"/>
          <w:szCs w:val="20"/>
          <w:color w:val="auto"/>
        </w:rPr>
      </w:pPr>
      <w:r>
        <w:rPr>
          <w:rFonts w:ascii="Arial" w:cs="Arial" w:eastAsia="Arial" w:hAnsi="Arial"/>
          <w:sz w:val="13"/>
          <w:szCs w:val="13"/>
          <w:color w:val="auto"/>
        </w:rPr>
        <w:t>We have long believed that our success depends on how well we understand and serve our clients. The investment industry is navigating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Recognizing Baer Pettit</w:t>
      </w:r>
    </w:p>
    <w:p>
      <w:pPr>
        <w:spacing w:after="0" w:line="60" w:lineRule="exact"/>
        <w:rPr>
          <w:sz w:val="20"/>
          <w:szCs w:val="20"/>
          <w:color w:val="auto"/>
        </w:rPr>
      </w:pPr>
    </w:p>
    <w:p>
      <w:pPr>
        <w:ind w:right="240"/>
        <w:spacing w:after="0" w:line="264" w:lineRule="auto"/>
        <w:rPr>
          <w:sz w:val="20"/>
          <w:szCs w:val="20"/>
          <w:color w:val="auto"/>
        </w:rPr>
      </w:pPr>
      <w:r>
        <w:rPr>
          <w:rFonts w:ascii="Arial" w:cs="Arial" w:eastAsia="Arial" w:hAnsi="Arial"/>
          <w:sz w:val="13"/>
          <w:szCs w:val="13"/>
          <w:color w:val="auto"/>
        </w:rPr>
        <w:t>I want to take a moment to recognize C.D. Baer Pettit, who retired from MSCI and our Board of Directors at the end of February, after more than 25 years of service.</w:t>
      </w:r>
    </w:p>
    <w:p>
      <w:pPr>
        <w:spacing w:after="0" w:line="36"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Baer has been my closest business partner and friend throughout MSCI’s growth. When he joined us in January 2000, we were primarily an equity-index company serving active asset managers. At every important juncture since, Baer has helped us anticipate and capture the next phase of our development. His leadership across our Coverage, Marketing, Index and Product functions, and his service as Chief Operating Officer, President and Board member, have left an enduring mark on this company. Baer played a central role in expanding our product lines and deepening our integration across business areas. His focus on data quality, client service and competitive differentiation helped build the franchise we have today.</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3"/>
          <w:szCs w:val="13"/>
          <w:color w:val="auto"/>
        </w:rPr>
        <w:t>Baer’s intellect, integrity and sense of humor earned him the deep respect and affection of colleagues and clients around the world. He will remain with us in an advisory capacity for a period to support the transition. On behalf of the MSCI team, I thank him for his contributions and wish him and his family every happiness.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Strengthening Leadership</w:t>
      </w:r>
    </w:p>
    <w:p>
      <w:pPr>
        <w:spacing w:after="0" w:line="60" w:lineRule="exact"/>
        <w:rPr>
          <w:sz w:val="20"/>
          <w:szCs w:val="20"/>
          <w:color w:val="auto"/>
        </w:rPr>
      </w:pPr>
    </w:p>
    <w:p>
      <w:pPr>
        <w:ind w:right="160"/>
        <w:spacing w:after="0" w:line="274" w:lineRule="auto"/>
        <w:rPr>
          <w:sz w:val="20"/>
          <w:szCs w:val="20"/>
          <w:color w:val="auto"/>
        </w:rPr>
      </w:pPr>
      <w:r>
        <w:rPr>
          <w:rFonts w:ascii="Arial" w:cs="Arial" w:eastAsia="Arial" w:hAnsi="Arial"/>
          <w:sz w:val="12"/>
          <w:szCs w:val="12"/>
          <w:color w:val="auto"/>
        </w:rPr>
        <w:t>To support our continued development, we appointed Alvise Munari as Head of Client Segments in addition to his role as Chief Product Officer, and Jorge Mina as Chief Operating Officer with responsibility for chairing our AI Transformation Center of Excellence. These appointments are part of a broader effort to build a more client-focused and integrated organizational structure.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Ask for Your Support</w:t>
      </w:r>
    </w:p>
    <w:p>
      <w:pPr>
        <w:spacing w:after="0" w:line="60" w:lineRule="exact"/>
        <w:rPr>
          <w:sz w:val="20"/>
          <w:szCs w:val="20"/>
          <w:color w:val="auto"/>
        </w:rPr>
      </w:pPr>
    </w:p>
    <w:p>
      <w:pPr>
        <w:ind w:right="240"/>
        <w:spacing w:after="0" w:line="254" w:lineRule="auto"/>
        <w:rPr>
          <w:sz w:val="20"/>
          <w:szCs w:val="20"/>
          <w:color w:val="auto"/>
        </w:rPr>
      </w:pPr>
      <w:r>
        <w:rPr>
          <w:rFonts w:ascii="Arial" w:cs="Arial" w:eastAsia="Arial" w:hAnsi="Arial"/>
          <w:sz w:val="13"/>
          <w:szCs w:val="13"/>
          <w:color w:val="auto"/>
        </w:rPr>
        <w:t>Your vote is very important to us. We encourage you to read both our Proxy Statement and our 2025 Annual Report on Form 10-K in their entirety, and we ask that you support our recommendations. We remain focused on serving our clients and delivering long-term value for our shareholders.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61722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24003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Henry A. Fernandez</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Chairman, Chief Executive Officer and Shareholder</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March 11, 2026</w:t>
      </w:r>
    </w:p>
    <w:p>
      <w:pPr>
        <w:spacing w:after="0" w:line="313" w:lineRule="exact"/>
        <w:rPr>
          <w:sz w:val="20"/>
          <w:szCs w:val="20"/>
          <w:color w:val="auto"/>
        </w:rPr>
      </w:pPr>
    </w:p>
    <w:p>
      <w:pPr>
        <w:sectPr>
          <w:pgSz w:w="11900" w:h="16838" w:orient="portrait"/>
          <w:cols w:equalWidth="0" w:num="2">
            <w:col w:w="5420" w:space="300"/>
            <w:col w:w="5520"/>
          </w:cols>
          <w:pgMar w:left="320" w:top="1059" w:right="339" w:bottom="1440" w:gutter="0" w:footer="0" w:header="0"/>
          <w:type w:val="continuous"/>
        </w:sectPr>
      </w:pPr>
    </w:p>
    <w:p>
      <w:pPr>
        <w:ind w:left="260" w:hanging="252"/>
        <w:spacing w:after="0"/>
        <w:tabs>
          <w:tab w:leader="none" w:pos="260" w:val="left"/>
        </w:tabs>
        <w:numPr>
          <w:ilvl w:val="0"/>
          <w:numId w:val="6"/>
        </w:numPr>
        <w:rPr>
          <w:rFonts w:ascii="Arial" w:cs="Arial" w:eastAsia="Arial" w:hAnsi="Arial"/>
          <w:sz w:val="15"/>
          <w:szCs w:val="15"/>
          <w:color w:val="auto"/>
          <w:vertAlign w:val="superscript"/>
        </w:rPr>
      </w:pPr>
      <w:r>
        <w:rPr>
          <w:rFonts w:ascii="Arial" w:cs="Arial" w:eastAsia="Arial" w:hAnsi="Arial"/>
          <w:sz w:val="12"/>
          <w:szCs w:val="12"/>
          <w:color w:val="auto"/>
        </w:rPr>
        <w:t>Adjusted EPS is a non-GAAP Metric. See Annex B for definitions and reconciliations of non-GAAP financial measures.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73"/>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7"/>
          <w:szCs w:val="47"/>
          <w:b w:val="1"/>
          <w:bCs w:val="1"/>
          <w:color w:val="1A3FD6"/>
        </w:rPr>
        <w:t>Letter From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-308610</wp:posOffset>
            </wp:positionV>
            <wp:extent cx="986155" cy="986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6155" cy="986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46"/>
          <w:szCs w:val="46"/>
          <w:b w:val="1"/>
          <w:bCs w:val="1"/>
          <w:color w:val="7188EF"/>
        </w:rPr>
        <w:t>Independent Lead Director</w:t>
      </w:r>
    </w:p>
    <w:p>
      <w:pPr>
        <w:sectPr>
          <w:pgSz w:w="11900" w:h="16838" w:orient="portrait"/>
          <w:cols w:equalWidth="0" w:num="1">
            <w:col w:w="11120"/>
          </w:cols>
          <w:pgMar w:left="320" w:top="10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Dear fellow shareholders,</w:t>
      </w:r>
    </w:p>
    <w:p>
      <w:pPr>
        <w:spacing w:after="0" w:line="111" w:lineRule="exact"/>
        <w:rPr>
          <w:sz w:val="20"/>
          <w:szCs w:val="20"/>
          <w:color w:val="auto"/>
        </w:rPr>
      </w:pPr>
    </w:p>
    <w:p>
      <w:pPr>
        <w:spacing w:after="0" w:line="294" w:lineRule="auto"/>
        <w:rPr>
          <w:sz w:val="20"/>
          <w:szCs w:val="20"/>
          <w:color w:val="auto"/>
        </w:rPr>
      </w:pPr>
      <w:r>
        <w:rPr>
          <w:rFonts w:ascii="Arial" w:cs="Arial" w:eastAsia="Arial" w:hAnsi="Arial"/>
          <w:sz w:val="12"/>
          <w:szCs w:val="12"/>
          <w:color w:val="auto"/>
        </w:rPr>
        <w:t>The independent directors of MSCI and I join Henry in inviting you to attend our Company’s 2026 Annual Meeting. It is a privilege to continue to serve as your Independent Lead Director, and I appreciate this opportunity to update you on the Board’s priorities and work over the past year.</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Board Built for This Moment</w:t>
      </w:r>
    </w:p>
    <w:p>
      <w:pPr>
        <w:spacing w:after="0" w:line="114"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color w:val="auto"/>
        </w:rPr>
        <w:t>The investment industry is in the midst of a profound transformation. AI is reshaping how data is collected, analyzed and delivered. Private markets continue to grow in scale and complexity. Clients are demanding more personalized, integrated solutions that span asset classes and investment strategies. In this environment, the quality and composition of a company’s board of directors matter more than ever.</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I am proud of the Board we have built at MSCI. Our directors bring a distinctive combination of deep investment industry expertise, technology leadership, operational experience and strategic vision that is calibrated to oversee a company operating at the intersection of data, technology and the global capital markets. The composition of the MSCI Board is the product of years of thoughtful refreshment designed to ensure that the skills in the boardroom evolve in step with MSCI’s strategy and the broader industry landscape.</w:t>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Our Board includes former CEOs and senior leaders of major asset management firms who understand firsthand how investors use MSCI’s tools to build portfolios and manage risk. Alongside this investment expertise, we have technology leaders who have built and scaled enterprise platforms, led AI and cloud computing innovation at some of the world’s most important technology companies, and guided organizations through large-scale transformations. This pairing of investment acumen, technology depth and strategic insight gives our Board a unique perspective as MSCI continues to develop and deliver critical tools, data and solutions for the global investment community.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 Culture and Oversight</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The strength of a board is measured not only by the credentials of its members, but by the culture in which they operate. At MSCI, we have cultivated a boardroom culture defined by open dialogue, intellectual rigor, constructive challenge and genuine collegiality. Our directors engage with each other and with management with candor and directness, asking thoughtful questions and examining assumptions. We see ourselves as active, engaged fiduciaries whose fundamental responsibility is to represent the interests of MSCI’s shareholders. We work alongside management, while maintaining our independence, to provide informed perspective on strategic choices and ensure that the decisions being made today support durable, long-term value creation for the people we serve — our shareholders.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We work closely with management to evaluate strategic priorities, assess competitive dynamics and review product development and go-to-market strategies. We dedicate significant Board and Committee time to understanding the opportunities and risks presented by emerging technologies, and to ensuring that MSCI’s adoption of AI and other innovations is guided by high standards of data quality, security and responsible use. Throughout, we maintain a focus on sound risk management and disciplined execution of MSCI’s strategy.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and AI Oversight</w:t>
      </w:r>
    </w:p>
    <w:p>
      <w:pPr>
        <w:spacing w:after="0" w:line="114" w:lineRule="exact"/>
        <w:rPr>
          <w:sz w:val="20"/>
          <w:szCs w:val="20"/>
          <w:color w:val="auto"/>
        </w:rPr>
      </w:pPr>
    </w:p>
    <w:p>
      <w:pPr>
        <w:ind w:right="100"/>
        <w:spacing w:after="0" w:line="294" w:lineRule="auto"/>
        <w:rPr>
          <w:sz w:val="20"/>
          <w:szCs w:val="20"/>
          <w:color w:val="auto"/>
        </w:rPr>
      </w:pPr>
      <w:r>
        <w:rPr>
          <w:rFonts w:ascii="Arial" w:cs="Arial" w:eastAsia="Arial" w:hAnsi="Arial"/>
          <w:sz w:val="12"/>
          <w:szCs w:val="12"/>
          <w:color w:val="auto"/>
        </w:rPr>
        <w:t>AI is not a peripheral topic for our Board. It is a key focus of our oversight agenda. MSCI is embedding AI across its platform, from data acquisition and processing to the delivery of client-facing insights. The Board has devoted significant time at both full Board and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349250</wp:posOffset>
            </wp:positionV>
            <wp:extent cx="55689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88" w:lineRule="auto"/>
        <w:rPr>
          <w:sz w:val="20"/>
          <w:szCs w:val="20"/>
          <w:color w:val="auto"/>
        </w:rPr>
      </w:pPr>
      <w:r>
        <w:rPr>
          <w:rFonts w:ascii="Arial" w:cs="Arial" w:eastAsia="Arial" w:hAnsi="Arial"/>
          <w:sz w:val="12"/>
          <w:szCs w:val="12"/>
          <w:color w:val="auto"/>
        </w:rPr>
        <w:t>meetings to understanding MSCI’s AI strategy and evaluating the investments being made. Our directors with deep technology and AI backgrounds bring critical perspective to these discussions, while our directors with investment industry experience help ensure that we remain grounded in how these developments can support the investment industry. This combination of viewpoints is essential to overseeing the responsible and effective deployment of AI.</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Leadership Transitions</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In November 2025, C.D. Baer Pettit, MSCI’s President and Chief Operating Officer and a member of our Board since 2023, announced his retirement after more than 25 years of distinguished service to the Company. Baer helped build MSCI into the global franchise it is today, and his operational expertise, client focus and strategic judgment strengthened the Board’s effectiveness during his tenure as a director. On behalf of the entire Board, I extend our deepest gratitude to Baer for his service.</w:t>
      </w:r>
    </w:p>
    <w:p>
      <w:pPr>
        <w:spacing w:after="0" w:line="96" w:lineRule="exact"/>
        <w:rPr>
          <w:sz w:val="20"/>
          <w:szCs w:val="20"/>
          <w:color w:val="auto"/>
        </w:rPr>
      </w:pPr>
    </w:p>
    <w:p>
      <w:pPr>
        <w:ind w:right="120"/>
        <w:spacing w:after="0" w:line="288" w:lineRule="auto"/>
        <w:rPr>
          <w:sz w:val="20"/>
          <w:szCs w:val="20"/>
          <w:color w:val="auto"/>
        </w:rPr>
      </w:pPr>
      <w:r>
        <w:rPr>
          <w:rFonts w:ascii="Arial" w:cs="Arial" w:eastAsia="Arial" w:hAnsi="Arial"/>
          <w:sz w:val="12"/>
          <w:szCs w:val="12"/>
          <w:color w:val="auto"/>
        </w:rPr>
        <w:t>In connection with Baer’s retirement, Henry has assumed the additional role of President, and the appointment of Jorge Mina as Chief Operating Officer and the expanded responsibilities of Alvise Munari as Head of Client Segments and Chief Product Officer reflect both the depth of MSCI’s leadership bench and the Board’s ongoing focus on succession planning. The Board is confident that this team has the talent, experience and vision to continue driving MSCI forward.</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Engagement</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Meaningful engagement with our shareholders is foundational to how this Board operates. In 2025, members of the Board and management held productive discussions with investors on governance, leadership succession, AI strategy, executive compensation and board composition. We listen carefully to the perspectives of our shareholders, and their feedback directly informs our oversight and priorities. We value these conversations and remain committed to ensuring that our shareholders’ perspectives continue to shape the Board’s work.</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People</w:t>
      </w:r>
    </w:p>
    <w:p>
      <w:pPr>
        <w:spacing w:after="0" w:line="127"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Finally, the Board recognizes that MSCI’s success ultimately depends on the talent, dedication and ingenuity of its people. We engage closely with management on leadership development, talent retention and succession planning, and we are committed to supporting a culture that attracts the best minds in the industry and empowers them to innovate, collaborate and deliver for our clients.</w:t>
      </w:r>
    </w:p>
    <w:p>
      <w:pPr>
        <w:spacing w:after="0" w:line="103"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On behalf of my fellow independent directors and the entire Board, thank you for your continued trust and support. We are proud to serve as stewards of this great company, and we are confident that MSCI’s Board is the right team to oversee the next chapter of MSCI’s growth. We look forward to hearing your views at the 2026 Annual Meeting and through our ongoing engagement.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65151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Robert G. Ashe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Independent Lead Director and Shareholder</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March 11, 2026</w:t>
      </w:r>
    </w:p>
    <w:p>
      <w:pPr>
        <w:spacing w:after="0" w:line="200" w:lineRule="exact"/>
        <w:rPr>
          <w:sz w:val="20"/>
          <w:szCs w:val="20"/>
          <w:color w:val="auto"/>
        </w:rPr>
      </w:pPr>
    </w:p>
    <w:p>
      <w:pPr>
        <w:sectPr>
          <w:pgSz w:w="11900" w:h="16838" w:orient="portrait"/>
          <w:cols w:equalWidth="0" w:num="2">
            <w:col w:w="5400" w:space="320"/>
            <w:col w:w="5400"/>
          </w:cols>
          <w:pgMar w:left="320" w:top="1059" w:right="459" w:bottom="1440" w:gutter="0" w:footer="0" w:header="0"/>
          <w:type w:val="continuous"/>
        </w:sect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9" w:right="4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7"/>
          <w:szCs w:val="47"/>
          <w:b w:val="1"/>
          <w:bCs w:val="1"/>
          <w:color w:val="1A3FD6"/>
        </w:rPr>
        <w:t>Notice of Annual Meeting</w:t>
      </w:r>
    </w:p>
    <w:p>
      <w:pPr>
        <w:spacing w:after="0" w:line="34"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of Shareholders</w:t>
      </w:r>
    </w:p>
    <w:p>
      <w:pPr>
        <w:spacing w:after="0" w:line="138" w:lineRule="exact"/>
        <w:rPr>
          <w:sz w:val="20"/>
          <w:szCs w:val="20"/>
          <w:color w:val="auto"/>
        </w:rPr>
      </w:pPr>
    </w:p>
    <w:p>
      <w:pPr>
        <w:jc w:val="right"/>
        <w:ind w:right="1960"/>
        <w:spacing w:after="0"/>
        <w:rPr>
          <w:sz w:val="20"/>
          <w:szCs w:val="20"/>
          <w:color w:val="auto"/>
        </w:rPr>
      </w:pPr>
      <w:r>
        <w:rPr>
          <w:rFonts w:ascii="Arial" w:cs="Arial" w:eastAsia="Arial" w:hAnsi="Arial"/>
          <w:sz w:val="22"/>
          <w:szCs w:val="22"/>
          <w:b w:val="1"/>
          <w:bCs w:val="1"/>
          <w:color w:val="1A3FD6"/>
        </w:rPr>
        <w:t>Annual Meeting Proposals and Voting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8890" cy="5443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44322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-116205</wp:posOffset>
            </wp:positionV>
            <wp:extent cx="22288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ectPr>
          <w:pgSz w:w="11900" w:h="16838" w:orient="portrait"/>
          <w:cols w:equalWidth="0" w:num="1">
            <w:col w:w="11220"/>
          </w:cols>
          <w:pgMar w:left="320" w:top="1059" w:right="359" w:bottom="1440" w:gutter="0" w:footer="0" w:header="0"/>
        </w:sectPr>
      </w:pPr>
    </w:p>
    <w:p>
      <w:pPr>
        <w:spacing w:after="0" w:line="25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Date and Time</w:t>
      </w:r>
    </w:p>
    <w:p>
      <w:pPr>
        <w:spacing w:after="0" w:line="42" w:lineRule="exact"/>
        <w:rPr>
          <w:sz w:val="20"/>
          <w:szCs w:val="20"/>
          <w:color w:val="auto"/>
        </w:rPr>
      </w:pPr>
    </w:p>
    <w:p>
      <w:pPr>
        <w:ind w:left="280" w:right="680"/>
        <w:spacing w:after="0" w:line="325" w:lineRule="auto"/>
        <w:rPr>
          <w:sz w:val="20"/>
          <w:szCs w:val="20"/>
          <w:color w:val="auto"/>
        </w:rPr>
      </w:pPr>
      <w:r>
        <w:rPr>
          <w:rFonts w:ascii="Arial" w:cs="Arial" w:eastAsia="Arial" w:hAnsi="Arial"/>
          <w:sz w:val="14"/>
          <w:szCs w:val="14"/>
          <w:color w:val="auto"/>
        </w:rPr>
        <w:t>April 21, 2026 (Tuesday) 2:30 P.M.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149225</wp:posOffset>
            </wp:positionV>
            <wp:extent cx="22288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Location</w:t>
      </w:r>
    </w:p>
    <w:p>
      <w:pPr>
        <w:spacing w:after="0" w:line="35" w:lineRule="exact"/>
        <w:rPr>
          <w:sz w:val="20"/>
          <w:szCs w:val="20"/>
          <w:color w:val="auto"/>
        </w:rPr>
      </w:pPr>
    </w:p>
    <w:p>
      <w:pPr>
        <w:ind w:left="280" w:right="700"/>
        <w:spacing w:after="0" w:line="273" w:lineRule="auto"/>
        <w:rPr>
          <w:sz w:val="20"/>
          <w:szCs w:val="20"/>
          <w:color w:val="auto"/>
        </w:rPr>
      </w:pPr>
      <w:r>
        <w:rPr>
          <w:rFonts w:ascii="Arial" w:cs="Arial" w:eastAsia="Arial" w:hAnsi="Arial"/>
          <w:sz w:val="14"/>
          <w:szCs w:val="14"/>
          <w:color w:val="auto"/>
        </w:rPr>
        <w:t xml:space="preserve">Attend the virtual meeting, including to vote and/or submit questions via the internet through a virtual web conference at: </w:t>
      </w:r>
      <w:r>
        <w:rPr>
          <w:rFonts w:ascii="Arial" w:cs="Arial" w:eastAsia="Arial" w:hAnsi="Arial"/>
          <w:sz w:val="14"/>
          <w:szCs w:val="14"/>
          <w:color w:val="1A3FD6"/>
        </w:rPr>
        <w:t>www.</w:t>
      </w:r>
      <w:r>
        <w:rPr>
          <w:rFonts w:ascii="Arial" w:cs="Arial" w:eastAsia="Arial" w:hAnsi="Arial"/>
          <w:sz w:val="14"/>
          <w:szCs w:val="14"/>
          <w:color w:val="auto"/>
        </w:rPr>
        <w:t xml:space="preserve"> </w:t>
      </w:r>
      <w:r>
        <w:rPr>
          <w:rFonts w:ascii="Arial" w:cs="Arial" w:eastAsia="Arial" w:hAnsi="Arial"/>
          <w:sz w:val="14"/>
          <w:szCs w:val="14"/>
          <w:color w:val="1A3FD6"/>
        </w:rPr>
        <w:t>virtualshareholdermeeting. com/MSCI2026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173355</wp:posOffset>
            </wp:positionV>
            <wp:extent cx="2228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Record Date</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February 27, 2026</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Important Notice</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Regarding the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Availability of Proxy</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Materials for the 2026</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Annual Meeting to be</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held on April 21, 2026.</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This Proxy Statement and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our 2025 Annual Report 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Form 10-K for the fiscal</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year ended December 31,</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2025 are available without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charge at</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4"/>
          <w:szCs w:val="14"/>
          <w:color w:val="1A3FD6"/>
        </w:rPr>
        <w:t>www.proxyvote.com</w:t>
      </w:r>
      <w:r>
        <w:rPr>
          <w:rFonts w:ascii="Arial" w:cs="Arial" w:eastAsia="Arial" w:hAnsi="Arial"/>
          <w:sz w:val="14"/>
          <w:szCs w:val="14"/>
          <w:color w:val="000000"/>
        </w:rPr>
        <w: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Information contained 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such website is not</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incorporated by reference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into this Proxy Statement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or any other report we file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with the Securities and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Exchange Commission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“SEC”).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423"/>
        </w:trPr>
        <w:tc>
          <w:tcPr>
            <w:tcW w:w="240" w:type="dxa"/>
            <w:vAlign w:val="bottom"/>
            <w:shd w:val="clear" w:color="auto" w:fill="1A3FD6"/>
          </w:tcPr>
          <w:p>
            <w:pPr>
              <w:spacing w:after="0"/>
              <w:rPr>
                <w:sz w:val="24"/>
                <w:szCs w:val="24"/>
                <w:color w:val="auto"/>
              </w:rPr>
            </w:pPr>
          </w:p>
        </w:tc>
        <w:tc>
          <w:tcPr>
            <w:tcW w:w="540" w:type="dxa"/>
            <w:vAlign w:val="bottom"/>
            <w:vMerge w:val="restart"/>
            <w:shd w:val="clear" w:color="auto" w:fill="1A3FD6"/>
          </w:tcPr>
          <w:p>
            <w:pPr>
              <w:jc w:val="right"/>
              <w:ind w:right="140"/>
              <w:spacing w:after="0"/>
              <w:rPr>
                <w:sz w:val="20"/>
                <w:szCs w:val="20"/>
                <w:color w:val="auto"/>
              </w:rPr>
            </w:pPr>
            <w:r>
              <w:rPr>
                <w:rFonts w:ascii="Arial" w:cs="Arial" w:eastAsia="Arial" w:hAnsi="Arial"/>
                <w:sz w:val="36"/>
                <w:szCs w:val="36"/>
                <w:b w:val="1"/>
                <w:bCs w:val="1"/>
                <w:color w:val="00C4B3"/>
                <w:w w:val="99"/>
              </w:rPr>
              <w:t>1</w:t>
            </w:r>
          </w:p>
        </w:tc>
        <w:tc>
          <w:tcPr>
            <w:tcW w:w="4040" w:type="dxa"/>
            <w:vAlign w:val="bottom"/>
            <w:vMerge w:val="restart"/>
            <w:shd w:val="clear" w:color="auto" w:fill="1A3FD6"/>
          </w:tcPr>
          <w:p>
            <w:pPr>
              <w:ind w:left="20"/>
              <w:spacing w:after="0"/>
              <w:rPr>
                <w:sz w:val="20"/>
                <w:szCs w:val="20"/>
                <w:color w:val="auto"/>
              </w:rPr>
            </w:pPr>
            <w:r>
              <w:rPr>
                <w:rFonts w:ascii="Arial" w:cs="Arial" w:eastAsia="Arial" w:hAnsi="Arial"/>
                <w:sz w:val="22"/>
                <w:szCs w:val="22"/>
                <w:b w:val="1"/>
                <w:bCs w:val="1"/>
                <w:color w:val="FFFFFF"/>
              </w:rPr>
              <w:t>Election of Directors</w:t>
            </w:r>
          </w:p>
        </w:tc>
        <w:tc>
          <w:tcPr>
            <w:tcW w:w="2900" w:type="dxa"/>
            <w:vAlign w:val="bottom"/>
            <w:shd w:val="clear" w:color="auto" w:fill="DDEBF9"/>
          </w:tcPr>
          <w:p>
            <w:pPr>
              <w:ind w:left="26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190"/>
        </w:trPr>
        <w:tc>
          <w:tcPr>
            <w:tcW w:w="240" w:type="dxa"/>
            <w:vAlign w:val="bottom"/>
            <w:shd w:val="clear" w:color="auto" w:fill="1A3FD6"/>
          </w:tcPr>
          <w:p>
            <w:pPr>
              <w:spacing w:after="0"/>
              <w:rPr>
                <w:sz w:val="16"/>
                <w:szCs w:val="16"/>
                <w:color w:val="auto"/>
              </w:rPr>
            </w:pPr>
          </w:p>
        </w:tc>
        <w:tc>
          <w:tcPr>
            <w:tcW w:w="540" w:type="dxa"/>
            <w:vAlign w:val="bottom"/>
            <w:vMerge w:val="continue"/>
            <w:shd w:val="clear" w:color="auto" w:fill="1A3FD6"/>
          </w:tcPr>
          <w:p>
            <w:pPr>
              <w:spacing w:after="0"/>
              <w:rPr>
                <w:sz w:val="16"/>
                <w:szCs w:val="16"/>
                <w:color w:val="auto"/>
              </w:rPr>
            </w:pPr>
          </w:p>
        </w:tc>
        <w:tc>
          <w:tcPr>
            <w:tcW w:w="4040" w:type="dxa"/>
            <w:vAlign w:val="bottom"/>
            <w:vMerge w:val="continue"/>
            <w:shd w:val="clear" w:color="auto" w:fill="1A3FD6"/>
          </w:tcPr>
          <w:p>
            <w:pPr>
              <w:spacing w:after="0"/>
              <w:rPr>
                <w:sz w:val="16"/>
                <w:szCs w:val="16"/>
                <w:color w:val="auto"/>
              </w:rPr>
            </w:pPr>
          </w:p>
        </w:tc>
        <w:tc>
          <w:tcPr>
            <w:tcW w:w="2900" w:type="dxa"/>
            <w:vAlign w:val="bottom"/>
            <w:shd w:val="clear" w:color="auto" w:fill="DDEBF9"/>
          </w:tcPr>
          <w:p>
            <w:pPr>
              <w:ind w:left="260"/>
              <w:spacing w:after="0"/>
              <w:rPr>
                <w:sz w:val="20"/>
                <w:szCs w:val="20"/>
                <w:color w:val="auto"/>
              </w:rPr>
            </w:pPr>
            <w:r>
              <w:rPr>
                <w:rFonts w:ascii="Arial" w:cs="Arial" w:eastAsia="Arial" w:hAnsi="Arial"/>
                <w:sz w:val="14"/>
                <w:szCs w:val="14"/>
                <w:color w:val="auto"/>
              </w:rPr>
              <w:t>each nominee</w:t>
            </w:r>
          </w:p>
        </w:tc>
        <w:tc>
          <w:tcPr>
            <w:tcW w:w="0" w:type="dxa"/>
            <w:vAlign w:val="bottom"/>
          </w:tcPr>
          <w:p>
            <w:pPr>
              <w:spacing w:after="0"/>
              <w:rPr>
                <w:sz w:val="1"/>
                <w:szCs w:val="1"/>
                <w:color w:val="auto"/>
              </w:rPr>
            </w:pPr>
          </w:p>
        </w:tc>
      </w:tr>
      <w:tr>
        <w:trPr>
          <w:trHeight w:val="263"/>
        </w:trPr>
        <w:tc>
          <w:tcPr>
            <w:tcW w:w="240" w:type="dxa"/>
            <w:vAlign w:val="bottom"/>
            <w:shd w:val="clear" w:color="auto" w:fill="1A3FD6"/>
          </w:tcPr>
          <w:p>
            <w:pPr>
              <w:spacing w:after="0"/>
              <w:rPr>
                <w:sz w:val="22"/>
                <w:szCs w:val="22"/>
                <w:color w:val="auto"/>
              </w:rPr>
            </w:pPr>
          </w:p>
        </w:tc>
        <w:tc>
          <w:tcPr>
            <w:tcW w:w="540" w:type="dxa"/>
            <w:vAlign w:val="bottom"/>
            <w:shd w:val="clear" w:color="auto" w:fill="1A3FD6"/>
          </w:tcPr>
          <w:p>
            <w:pPr>
              <w:spacing w:after="0"/>
              <w:rPr>
                <w:sz w:val="22"/>
                <w:szCs w:val="22"/>
                <w:color w:val="auto"/>
              </w:rPr>
            </w:pPr>
          </w:p>
        </w:tc>
        <w:tc>
          <w:tcPr>
            <w:tcW w:w="4040" w:type="dxa"/>
            <w:vAlign w:val="bottom"/>
            <w:shd w:val="clear" w:color="auto" w:fill="1A3FD6"/>
          </w:tcPr>
          <w:p>
            <w:pPr>
              <w:spacing w:after="0"/>
              <w:rPr>
                <w:sz w:val="22"/>
                <w:szCs w:val="22"/>
                <w:color w:val="auto"/>
              </w:rPr>
            </w:pPr>
          </w:p>
        </w:tc>
        <w:tc>
          <w:tcPr>
            <w:tcW w:w="2900" w:type="dxa"/>
            <w:vAlign w:val="bottom"/>
            <w:shd w:val="clear" w:color="auto" w:fill="DDEBF9"/>
          </w:tcPr>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18 ¢</w:t>
            </w:r>
          </w:p>
        </w:tc>
        <w:tc>
          <w:tcPr>
            <w:tcW w:w="0" w:type="dxa"/>
            <w:vAlign w:val="bottom"/>
          </w:tcPr>
          <w:p>
            <w:pPr>
              <w:spacing w:after="0"/>
              <w:rPr>
                <w:sz w:val="1"/>
                <w:szCs w:val="1"/>
                <w:color w:val="auto"/>
              </w:rPr>
            </w:pPr>
          </w:p>
        </w:tc>
      </w:tr>
      <w:tr>
        <w:trPr>
          <w:trHeight w:val="792"/>
        </w:trPr>
        <w:tc>
          <w:tcPr>
            <w:tcW w:w="240" w:type="dxa"/>
            <w:vAlign w:val="bottom"/>
            <w:shd w:val="clear" w:color="auto" w:fill="1A3FD6"/>
          </w:tcPr>
          <w:p>
            <w:pPr>
              <w:spacing w:after="0"/>
              <w:rPr>
                <w:sz w:val="24"/>
                <w:szCs w:val="24"/>
                <w:color w:val="auto"/>
              </w:rPr>
            </w:pPr>
          </w:p>
        </w:tc>
        <w:tc>
          <w:tcPr>
            <w:tcW w:w="540" w:type="dxa"/>
            <w:vAlign w:val="bottom"/>
            <w:shd w:val="clear" w:color="auto" w:fill="1A3FD6"/>
          </w:tcPr>
          <w:p>
            <w:pPr>
              <w:jc w:val="right"/>
              <w:ind w:right="140"/>
              <w:spacing w:after="0"/>
              <w:rPr>
                <w:sz w:val="20"/>
                <w:szCs w:val="20"/>
                <w:color w:val="auto"/>
              </w:rPr>
            </w:pPr>
            <w:r>
              <w:rPr>
                <w:rFonts w:ascii="Arial" w:cs="Arial" w:eastAsia="Arial" w:hAnsi="Arial"/>
                <w:sz w:val="36"/>
                <w:szCs w:val="36"/>
                <w:b w:val="1"/>
                <w:bCs w:val="1"/>
                <w:color w:val="00C4B3"/>
                <w:w w:val="99"/>
              </w:rPr>
              <w:t>2</w:t>
            </w:r>
          </w:p>
        </w:tc>
        <w:tc>
          <w:tcPr>
            <w:tcW w:w="4040" w:type="dxa"/>
            <w:vAlign w:val="bottom"/>
            <w:shd w:val="clear" w:color="auto" w:fill="1A3FD6"/>
          </w:tcPr>
          <w:p>
            <w:pPr>
              <w:ind w:left="20"/>
              <w:spacing w:after="0"/>
              <w:rPr>
                <w:sz w:val="20"/>
                <w:szCs w:val="20"/>
                <w:color w:val="auto"/>
              </w:rPr>
            </w:pPr>
            <w:r>
              <w:rPr>
                <w:rFonts w:ascii="Arial" w:cs="Arial" w:eastAsia="Arial" w:hAnsi="Arial"/>
                <w:sz w:val="22"/>
                <w:szCs w:val="22"/>
                <w:b w:val="1"/>
                <w:bCs w:val="1"/>
                <w:color w:val="FFFFFF"/>
              </w:rPr>
              <w:t>Advisory Vote to Approve Executive</w:t>
            </w:r>
          </w:p>
        </w:tc>
        <w:tc>
          <w:tcPr>
            <w:tcW w:w="2900" w:type="dxa"/>
            <w:vAlign w:val="bottom"/>
            <w:shd w:val="clear" w:color="auto" w:fill="DDEBF9"/>
          </w:tcPr>
          <w:p>
            <w:pPr>
              <w:ind w:left="26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297"/>
        </w:trPr>
        <w:tc>
          <w:tcPr>
            <w:tcW w:w="240" w:type="dxa"/>
            <w:vAlign w:val="bottom"/>
            <w:shd w:val="clear" w:color="auto" w:fill="1A3FD6"/>
          </w:tcPr>
          <w:p>
            <w:pPr>
              <w:spacing w:after="0"/>
              <w:rPr>
                <w:sz w:val="24"/>
                <w:szCs w:val="24"/>
                <w:color w:val="auto"/>
              </w:rPr>
            </w:pPr>
          </w:p>
        </w:tc>
        <w:tc>
          <w:tcPr>
            <w:tcW w:w="540" w:type="dxa"/>
            <w:vAlign w:val="bottom"/>
            <w:shd w:val="clear" w:color="auto" w:fill="1A3FD6"/>
          </w:tcPr>
          <w:p>
            <w:pPr>
              <w:spacing w:after="0"/>
              <w:rPr>
                <w:sz w:val="24"/>
                <w:szCs w:val="24"/>
                <w:color w:val="auto"/>
              </w:rPr>
            </w:pPr>
          </w:p>
        </w:tc>
        <w:tc>
          <w:tcPr>
            <w:tcW w:w="4040" w:type="dxa"/>
            <w:vAlign w:val="bottom"/>
            <w:shd w:val="clear" w:color="auto" w:fill="1A3FD6"/>
          </w:tcPr>
          <w:p>
            <w:pPr>
              <w:ind w:left="20"/>
              <w:spacing w:after="0"/>
              <w:rPr>
                <w:sz w:val="20"/>
                <w:szCs w:val="20"/>
                <w:color w:val="auto"/>
              </w:rPr>
            </w:pPr>
            <w:r>
              <w:rPr>
                <w:rFonts w:ascii="Arial" w:cs="Arial" w:eastAsia="Arial" w:hAnsi="Arial"/>
                <w:sz w:val="22"/>
                <w:szCs w:val="22"/>
                <w:b w:val="1"/>
                <w:bCs w:val="1"/>
                <w:color w:val="FFFFFF"/>
              </w:rPr>
              <w:t>Compensation (Say-on-Pay)</w:t>
            </w:r>
          </w:p>
        </w:tc>
        <w:tc>
          <w:tcPr>
            <w:tcW w:w="2900" w:type="dxa"/>
            <w:vAlign w:val="bottom"/>
            <w:shd w:val="clear" w:color="auto" w:fill="DDEBF9"/>
          </w:tcPr>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56 ¢</w:t>
            </w:r>
          </w:p>
        </w:tc>
        <w:tc>
          <w:tcPr>
            <w:tcW w:w="0" w:type="dxa"/>
            <w:vAlign w:val="bottom"/>
          </w:tcPr>
          <w:p>
            <w:pPr>
              <w:spacing w:after="0"/>
              <w:rPr>
                <w:sz w:val="1"/>
                <w:szCs w:val="1"/>
                <w:color w:val="auto"/>
              </w:rPr>
            </w:pPr>
          </w:p>
        </w:tc>
      </w:tr>
      <w:tr>
        <w:trPr>
          <w:trHeight w:val="958"/>
        </w:trPr>
        <w:tc>
          <w:tcPr>
            <w:tcW w:w="240" w:type="dxa"/>
            <w:vAlign w:val="bottom"/>
            <w:shd w:val="clear" w:color="auto" w:fill="1A3FD6"/>
          </w:tcPr>
          <w:p>
            <w:pPr>
              <w:spacing w:after="0"/>
              <w:rPr>
                <w:sz w:val="24"/>
                <w:szCs w:val="24"/>
                <w:color w:val="auto"/>
              </w:rPr>
            </w:pPr>
          </w:p>
        </w:tc>
        <w:tc>
          <w:tcPr>
            <w:tcW w:w="540" w:type="dxa"/>
            <w:vAlign w:val="bottom"/>
            <w:shd w:val="clear" w:color="auto" w:fill="1A3FD6"/>
          </w:tcPr>
          <w:p>
            <w:pPr>
              <w:jc w:val="right"/>
              <w:ind w:right="140"/>
              <w:spacing w:after="0"/>
              <w:rPr>
                <w:sz w:val="20"/>
                <w:szCs w:val="20"/>
                <w:color w:val="auto"/>
              </w:rPr>
            </w:pPr>
            <w:r>
              <w:rPr>
                <w:rFonts w:ascii="Arial" w:cs="Arial" w:eastAsia="Arial" w:hAnsi="Arial"/>
                <w:sz w:val="36"/>
                <w:szCs w:val="36"/>
                <w:b w:val="1"/>
                <w:bCs w:val="1"/>
                <w:color w:val="00C4B3"/>
                <w:w w:val="99"/>
              </w:rPr>
              <w:t>3</w:t>
            </w:r>
          </w:p>
        </w:tc>
        <w:tc>
          <w:tcPr>
            <w:tcW w:w="4040" w:type="dxa"/>
            <w:vAlign w:val="bottom"/>
            <w:shd w:val="clear" w:color="auto" w:fill="1A3FD6"/>
          </w:tcPr>
          <w:p>
            <w:pPr>
              <w:ind w:left="20"/>
              <w:spacing w:after="0"/>
              <w:rPr>
                <w:sz w:val="20"/>
                <w:szCs w:val="20"/>
                <w:color w:val="auto"/>
              </w:rPr>
            </w:pPr>
            <w:r>
              <w:rPr>
                <w:rFonts w:ascii="Arial" w:cs="Arial" w:eastAsia="Arial" w:hAnsi="Arial"/>
                <w:sz w:val="22"/>
                <w:szCs w:val="22"/>
                <w:b w:val="1"/>
                <w:bCs w:val="1"/>
                <w:color w:val="FFFFFF"/>
              </w:rPr>
              <w:t>Ratification of the Appointment of</w:t>
            </w:r>
          </w:p>
        </w:tc>
        <w:tc>
          <w:tcPr>
            <w:tcW w:w="2900" w:type="dxa"/>
            <w:vAlign w:val="bottom"/>
            <w:shd w:val="clear" w:color="auto" w:fill="DDEBF9"/>
          </w:tcPr>
          <w:p>
            <w:pPr>
              <w:ind w:left="260"/>
              <w:spacing w:after="0"/>
              <w:rPr>
                <w:sz w:val="20"/>
                <w:szCs w:val="20"/>
                <w:color w:val="auto"/>
              </w:rPr>
            </w:pPr>
            <w:r>
              <w:rPr>
                <w:rFonts w:ascii="Arial" w:cs="Arial" w:eastAsia="Arial" w:hAnsi="Arial"/>
                <w:sz w:val="20"/>
                <w:szCs w:val="20"/>
                <w:b w:val="1"/>
                <w:bCs w:val="1"/>
                <w:color w:val="auto"/>
              </w:rPr>
              <w:t>FOR</w:t>
            </w:r>
          </w:p>
        </w:tc>
        <w:tc>
          <w:tcPr>
            <w:tcW w:w="0" w:type="dxa"/>
            <w:vAlign w:val="bottom"/>
          </w:tcPr>
          <w:p>
            <w:pPr>
              <w:spacing w:after="0"/>
              <w:rPr>
                <w:sz w:val="1"/>
                <w:szCs w:val="1"/>
                <w:color w:val="auto"/>
              </w:rPr>
            </w:pPr>
          </w:p>
        </w:tc>
      </w:tr>
      <w:tr>
        <w:trPr>
          <w:trHeight w:val="297"/>
        </w:trPr>
        <w:tc>
          <w:tcPr>
            <w:tcW w:w="240" w:type="dxa"/>
            <w:vAlign w:val="bottom"/>
            <w:shd w:val="clear" w:color="auto" w:fill="1A3FD6"/>
          </w:tcPr>
          <w:p>
            <w:pPr>
              <w:spacing w:after="0"/>
              <w:rPr>
                <w:sz w:val="24"/>
                <w:szCs w:val="24"/>
                <w:color w:val="auto"/>
              </w:rPr>
            </w:pPr>
          </w:p>
        </w:tc>
        <w:tc>
          <w:tcPr>
            <w:tcW w:w="540" w:type="dxa"/>
            <w:vAlign w:val="bottom"/>
            <w:shd w:val="clear" w:color="auto" w:fill="1A3FD6"/>
          </w:tcPr>
          <w:p>
            <w:pPr>
              <w:spacing w:after="0"/>
              <w:rPr>
                <w:sz w:val="24"/>
                <w:szCs w:val="24"/>
                <w:color w:val="auto"/>
              </w:rPr>
            </w:pPr>
          </w:p>
        </w:tc>
        <w:tc>
          <w:tcPr>
            <w:tcW w:w="4040" w:type="dxa"/>
            <w:vAlign w:val="bottom"/>
            <w:shd w:val="clear" w:color="auto" w:fill="1A3FD6"/>
          </w:tcPr>
          <w:p>
            <w:pPr>
              <w:ind w:left="20"/>
              <w:spacing w:after="0"/>
              <w:rPr>
                <w:sz w:val="20"/>
                <w:szCs w:val="20"/>
                <w:color w:val="auto"/>
              </w:rPr>
            </w:pPr>
            <w:r>
              <w:rPr>
                <w:rFonts w:ascii="Arial" w:cs="Arial" w:eastAsia="Arial" w:hAnsi="Arial"/>
                <w:sz w:val="22"/>
                <w:szCs w:val="22"/>
                <w:b w:val="1"/>
                <w:bCs w:val="1"/>
                <w:color w:val="FFFFFF"/>
              </w:rPr>
              <w:t>MSCI’s Independent Auditor</w:t>
            </w:r>
          </w:p>
        </w:tc>
        <w:tc>
          <w:tcPr>
            <w:tcW w:w="2900" w:type="dxa"/>
            <w:vAlign w:val="bottom"/>
            <w:shd w:val="clear" w:color="auto" w:fill="DDEBF9"/>
          </w:tcPr>
          <w:p>
            <w:pPr>
              <w:ind w:left="2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105 ¢</w:t>
            </w:r>
          </w:p>
        </w:tc>
        <w:tc>
          <w:tcPr>
            <w:tcW w:w="0" w:type="dxa"/>
            <w:vAlign w:val="bottom"/>
          </w:tcPr>
          <w:p>
            <w:pPr>
              <w:spacing w:after="0"/>
              <w:rPr>
                <w:sz w:val="1"/>
                <w:szCs w:val="1"/>
                <w:color w:val="auto"/>
              </w:rPr>
            </w:pPr>
          </w:p>
        </w:tc>
      </w:tr>
      <w:tr>
        <w:trPr>
          <w:trHeight w:val="492"/>
        </w:trPr>
        <w:tc>
          <w:tcPr>
            <w:tcW w:w="240" w:type="dxa"/>
            <w:vAlign w:val="bottom"/>
            <w:shd w:val="clear" w:color="auto" w:fill="1A3FD6"/>
          </w:tcPr>
          <w:p>
            <w:pPr>
              <w:spacing w:after="0"/>
              <w:rPr>
                <w:sz w:val="24"/>
                <w:szCs w:val="24"/>
                <w:color w:val="auto"/>
              </w:rPr>
            </w:pPr>
          </w:p>
        </w:tc>
        <w:tc>
          <w:tcPr>
            <w:tcW w:w="540" w:type="dxa"/>
            <w:vAlign w:val="bottom"/>
            <w:shd w:val="clear" w:color="auto" w:fill="1A3FD6"/>
          </w:tcPr>
          <w:p>
            <w:pPr>
              <w:spacing w:after="0"/>
              <w:rPr>
                <w:sz w:val="24"/>
                <w:szCs w:val="24"/>
                <w:color w:val="auto"/>
              </w:rPr>
            </w:pPr>
          </w:p>
        </w:tc>
        <w:tc>
          <w:tcPr>
            <w:tcW w:w="4040" w:type="dxa"/>
            <w:vAlign w:val="bottom"/>
            <w:shd w:val="clear" w:color="auto" w:fill="1A3FD6"/>
          </w:tcPr>
          <w:p>
            <w:pPr>
              <w:spacing w:after="0"/>
              <w:rPr>
                <w:sz w:val="24"/>
                <w:szCs w:val="24"/>
                <w:color w:val="auto"/>
              </w:rPr>
            </w:pPr>
          </w:p>
        </w:tc>
        <w:tc>
          <w:tcPr>
            <w:tcW w:w="2900" w:type="dxa"/>
            <w:vAlign w:val="bottom"/>
            <w:shd w:val="clear" w:color="auto" w:fill="DDEBF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-796925</wp:posOffset>
            </wp:positionV>
            <wp:extent cx="45859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164465</wp:posOffset>
            </wp:positionH>
            <wp:positionV relativeFrom="paragraph">
              <wp:posOffset>-1593850</wp:posOffset>
            </wp:positionV>
            <wp:extent cx="45859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85970" cy="8255"/>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-2262505</wp:posOffset>
            </wp:positionV>
            <wp:extent cx="28321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210" cy="21463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-1499870</wp:posOffset>
            </wp:positionV>
            <wp:extent cx="28321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214630"/>
                    </a:xfrm>
                    <a:prstGeom prst="rect">
                      <a:avLst/>
                    </a:prstGeom>
                    <a:noFill/>
                  </pic:spPr>
                </pic:pic>
              </a:graphicData>
            </a:graphic>
          </wp:anchor>
        </w:drawing>
        <w:drawing>
          <wp:anchor simplePos="0" relativeHeight="251657728" behindDoc="1" locked="0" layoutInCell="0" allowOverlap="1">
            <wp:simplePos x="0" y="0"/>
            <wp:positionH relativeFrom="column">
              <wp:posOffset>4382135</wp:posOffset>
            </wp:positionH>
            <wp:positionV relativeFrom="paragraph">
              <wp:posOffset>-702310</wp:posOffset>
            </wp:positionV>
            <wp:extent cx="28321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210" cy="214630"/>
                    </a:xfrm>
                    <a:prstGeom prst="rect">
                      <a:avLst/>
                    </a:prstGeom>
                    <a:noFill/>
                  </pic:spPr>
                </pic:pic>
              </a:graphicData>
            </a:graphic>
          </wp:anchor>
        </w:drawing>
      </w:r>
    </w:p>
    <w:p>
      <w:pPr>
        <w:spacing w:after="0" w:line="15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2026 annual meeting of shareholders (the “2026 Annual Meeting”) will commence at 2:30 P.M. Eastern Time, with online check-in available beginning at 1:30 P.M. Eastern Time.</w:t>
      </w:r>
    </w:p>
    <w:p>
      <w:pPr>
        <w:spacing w:after="0" w:line="2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To participate, you will need the 16-digit control number included on your Notice of Internet Availability of Proxy Materials, proxy card or additional voting instructions that accompanied your proxy materials.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webcast replay will also be made available on our Investor Relations website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100"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If you are a beneficial shareholder, your broker will not be able to vote your shares with respect to any of the matters presented at the meeting, other than the ratification of the selection of our independent registered public accounting firm, unless you give your broker specific voting instructions.</w:t>
      </w:r>
    </w:p>
    <w:p>
      <w:pPr>
        <w:spacing w:after="0" w:line="57"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We will mail the Notice of Internet Availability of Proxy Materials on or about March 11, 2026. This notice is not a proxy card and cannot be used to vote your shares.</w:t>
      </w:r>
    </w:p>
    <w:p>
      <w:pPr>
        <w:spacing w:after="0" w:line="2007" w:lineRule="exact"/>
        <w:rPr>
          <w:sz w:val="20"/>
          <w:szCs w:val="20"/>
          <w:color w:val="auto"/>
        </w:rPr>
      </w:pPr>
    </w:p>
    <w:p>
      <w:pPr>
        <w:sectPr>
          <w:pgSz w:w="11900" w:h="16838" w:orient="portrait"/>
          <w:cols w:equalWidth="0" w:num="2">
            <w:col w:w="2660" w:space="720"/>
            <w:col w:w="7840"/>
          </w:cols>
          <w:pgMar w:left="320" w:top="1059" w:right="35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How to Vote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Whether or not you plan to attend our 2026 Annual Meeting, it is important that you vote as soon as possible to ensure that your shares are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92075</wp:posOffset>
            </wp:positionV>
            <wp:extent cx="25717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92075</wp:posOffset>
            </wp:positionV>
            <wp:extent cx="25717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43" w:lineRule="exact"/>
        <w:rPr>
          <w:sz w:val="20"/>
          <w:szCs w:val="20"/>
          <w:color w:val="auto"/>
        </w:rPr>
      </w:pPr>
    </w:p>
    <w:p>
      <w:pPr>
        <w:ind w:left="700"/>
        <w:spacing w:after="0"/>
        <w:tabs>
          <w:tab w:leader="none" w:pos="6720" w:val="left"/>
        </w:tabs>
        <w:rPr>
          <w:sz w:val="20"/>
          <w:szCs w:val="20"/>
          <w:color w:val="auto"/>
        </w:rPr>
      </w:pPr>
      <w:r>
        <w:rPr>
          <w:rFonts w:ascii="Arial" w:cs="Arial" w:eastAsia="Arial" w:hAnsi="Arial"/>
          <w:sz w:val="14"/>
          <w:szCs w:val="14"/>
          <w:b w:val="1"/>
          <w:bCs w:val="1"/>
          <w:color w:val="auto"/>
        </w:rPr>
        <w:t>Telephone</w:t>
      </w:r>
      <w:r>
        <w:rPr>
          <w:sz w:val="20"/>
          <w:szCs w:val="20"/>
          <w:color w:val="auto"/>
        </w:rPr>
        <w:tab/>
      </w:r>
      <w:r>
        <w:rPr>
          <w:rFonts w:ascii="Arial" w:cs="Arial" w:eastAsia="Arial" w:hAnsi="Arial"/>
          <w:sz w:val="14"/>
          <w:szCs w:val="14"/>
          <w:b w:val="1"/>
          <w:bCs w:val="1"/>
          <w:color w:val="auto"/>
        </w:rPr>
        <w:t>Mail</w:t>
      </w:r>
    </w:p>
    <w:p>
      <w:pPr>
        <w:spacing w:after="0" w:line="34" w:lineRule="exact"/>
        <w:rPr>
          <w:sz w:val="20"/>
          <w:szCs w:val="20"/>
          <w:color w:val="auto"/>
        </w:rPr>
      </w:pPr>
    </w:p>
    <w:p>
      <w:pPr>
        <w:ind w:left="700"/>
        <w:spacing w:after="0"/>
        <w:tabs>
          <w:tab w:leader="none" w:pos="6720" w:val="left"/>
        </w:tabs>
        <w:rPr>
          <w:sz w:val="20"/>
          <w:szCs w:val="20"/>
          <w:color w:val="auto"/>
        </w:rPr>
      </w:pPr>
      <w:r>
        <w:rPr>
          <w:rFonts w:ascii="Arial" w:cs="Arial" w:eastAsia="Arial" w:hAnsi="Arial"/>
          <w:sz w:val="13"/>
          <w:szCs w:val="13"/>
          <w:color w:val="auto"/>
        </w:rPr>
        <w:t>1-800-690-6903</w:t>
      </w:r>
      <w:r>
        <w:rPr>
          <w:sz w:val="20"/>
          <w:szCs w:val="20"/>
          <w:color w:val="auto"/>
        </w:rPr>
        <w:tab/>
      </w:r>
      <w:r>
        <w:rPr>
          <w:rFonts w:ascii="Arial" w:cs="Arial" w:eastAsia="Arial" w:hAnsi="Arial"/>
          <w:sz w:val="12"/>
          <w:szCs w:val="12"/>
          <w:color w:val="auto"/>
        </w:rPr>
        <w:t>Mark, sign and date your proxy card and return it in the postage-paid</w:t>
      </w:r>
    </w:p>
    <w:p>
      <w:pPr>
        <w:ind w:left="700"/>
        <w:spacing w:after="0"/>
        <w:tabs>
          <w:tab w:leader="none" w:pos="6720" w:val="left"/>
        </w:tabs>
        <w:rPr>
          <w:sz w:val="20"/>
          <w:szCs w:val="20"/>
          <w:color w:val="auto"/>
        </w:rPr>
      </w:pPr>
      <w:r>
        <w:rPr>
          <w:rFonts w:ascii="Arial" w:cs="Arial" w:eastAsia="Arial" w:hAnsi="Arial"/>
          <w:sz w:val="13"/>
          <w:szCs w:val="13"/>
          <w:color w:val="auto"/>
        </w:rPr>
        <w:t>Use any touch-tone telephone to transmit your voting instructions up until 11:59 P.M.</w:t>
      </w:r>
      <w:r>
        <w:rPr>
          <w:sz w:val="20"/>
          <w:szCs w:val="20"/>
          <w:color w:val="auto"/>
        </w:rPr>
        <w:tab/>
      </w:r>
      <w:r>
        <w:rPr>
          <w:rFonts w:ascii="Arial" w:cs="Arial" w:eastAsia="Arial" w:hAnsi="Arial"/>
          <w:sz w:val="12"/>
          <w:szCs w:val="12"/>
          <w:color w:val="auto"/>
        </w:rPr>
        <w:t>envelope we have provided or return it to Vote Processing, c/o</w:t>
      </w:r>
    </w:p>
    <w:p>
      <w:pPr>
        <w:spacing w:after="0" w:line="13" w:lineRule="exact"/>
        <w:rPr>
          <w:sz w:val="20"/>
          <w:szCs w:val="20"/>
          <w:color w:val="auto"/>
        </w:rPr>
      </w:pPr>
    </w:p>
    <w:p>
      <w:pPr>
        <w:ind w:left="700"/>
        <w:spacing w:after="0"/>
        <w:tabs>
          <w:tab w:leader="none" w:pos="6720" w:val="left"/>
        </w:tabs>
        <w:rPr>
          <w:sz w:val="20"/>
          <w:szCs w:val="20"/>
          <w:color w:val="auto"/>
        </w:rPr>
      </w:pPr>
      <w:r>
        <w:rPr>
          <w:rFonts w:ascii="Arial" w:cs="Arial" w:eastAsia="Arial" w:hAnsi="Arial"/>
          <w:sz w:val="13"/>
          <w:szCs w:val="13"/>
          <w:color w:val="auto"/>
        </w:rPr>
        <w:t>Eastern Time on April 20, 2026. Have your proxy card in hand and then follow</w:t>
      </w:r>
      <w:r>
        <w:rPr>
          <w:sz w:val="20"/>
          <w:szCs w:val="20"/>
          <w:color w:val="auto"/>
        </w:rPr>
        <w:tab/>
      </w:r>
      <w:r>
        <w:rPr>
          <w:rFonts w:ascii="Arial" w:cs="Arial" w:eastAsia="Arial" w:hAnsi="Arial"/>
          <w:sz w:val="12"/>
          <w:szCs w:val="12"/>
          <w:color w:val="auto"/>
        </w:rPr>
        <w:t>Broadridge, 51 Mercedes Way, Edgewood, NY 11717.</w:t>
      </w:r>
    </w:p>
    <w:p>
      <w:pPr>
        <w:ind w:left="700"/>
        <w:spacing w:after="0"/>
        <w:rPr>
          <w:sz w:val="20"/>
          <w:szCs w:val="20"/>
          <w:color w:val="auto"/>
        </w:rPr>
      </w:pPr>
      <w:r>
        <w:rPr>
          <w:rFonts w:ascii="Arial" w:cs="Arial" w:eastAsia="Arial" w:hAnsi="Arial"/>
          <w:sz w:val="13"/>
          <w:szCs w:val="13"/>
          <w:color w:val="auto"/>
        </w:rPr>
        <w:t>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59690</wp:posOffset>
            </wp:positionV>
            <wp:extent cx="25717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Internet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3"/>
          <w:szCs w:val="13"/>
          <w:color w:val="1A3FD6"/>
        </w:rPr>
        <w:t>www.proxyvote.com</w:t>
      </w:r>
    </w:p>
    <w:p>
      <w:pPr>
        <w:ind w:left="700" w:right="180"/>
        <w:spacing w:after="0" w:line="283" w:lineRule="auto"/>
        <w:rPr>
          <w:sz w:val="20"/>
          <w:szCs w:val="20"/>
          <w:color w:val="auto"/>
        </w:rPr>
      </w:pPr>
      <w:r>
        <w:rPr>
          <w:rFonts w:ascii="Arial" w:cs="Arial" w:eastAsia="Arial" w:hAnsi="Arial"/>
          <w:sz w:val="13"/>
          <w:szCs w:val="13"/>
          <w:color w:val="auto"/>
        </w:rPr>
        <w:t>Use the internet to transmit your voting instructions and for electronic delivery of information up until 11:59 P.M. Eastern Time on April 20, 2026. Have your proxy card in hand and follow the instructions to obtain your records and to create an electronic voting instruction form.</w:t>
      </w:r>
    </w:p>
    <w:p>
      <w:pPr>
        <w:sectPr>
          <w:pgSz w:w="11900" w:h="16838" w:orient="portrait"/>
          <w:cols w:equalWidth="0" w:num="1">
            <w:col w:w="11220"/>
          </w:cols>
          <w:pgMar w:left="320" w:top="1059" w:right="35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9000"/>
        <w:spacing w:after="0"/>
        <w:tabs>
          <w:tab w:leader="none" w:pos="1112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9"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7"/>
          <w:szCs w:val="47"/>
          <w:b w:val="1"/>
          <w:bCs w:val="1"/>
          <w:color w:val="1A3FD6"/>
        </w:rPr>
        <w:t>Table of</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Contents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ind w:left="20"/>
              <w:spacing w:after="0"/>
              <w:rPr>
                <w:sz w:val="20"/>
                <w:szCs w:val="20"/>
                <w:color w:val="auto"/>
              </w:rPr>
            </w:pPr>
            <w:r>
              <w:rPr>
                <w:rFonts w:ascii="Arial" w:cs="Arial" w:eastAsia="Arial" w:hAnsi="Arial"/>
                <w:sz w:val="14"/>
                <w:szCs w:val="14"/>
                <w:color w:val="auto"/>
              </w:rPr>
              <w:t>Letter From Our Chairman and CEO</w:t>
            </w: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Letter From Our Independent Lead Director</w:t>
            </w: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Notice of Annual Meeting of Shareholders</w:t>
            </w: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420"/>
        </w:trPr>
        <w:tc>
          <w:tcPr>
            <w:tcW w:w="4480" w:type="dxa"/>
            <w:vAlign w:val="bottom"/>
          </w:tcPr>
          <w:p>
            <w:pPr>
              <w:ind w:left="20"/>
              <w:spacing w:after="0"/>
              <w:rPr>
                <w:sz w:val="20"/>
                <w:szCs w:val="20"/>
                <w:color w:val="auto"/>
              </w:rPr>
            </w:pPr>
            <w:r>
              <w:rPr>
                <w:rFonts w:ascii="Arial" w:cs="Arial" w:eastAsia="Arial" w:hAnsi="Arial"/>
                <w:sz w:val="20"/>
                <w:szCs w:val="20"/>
                <w:b w:val="1"/>
                <w:bCs w:val="1"/>
                <w:color w:val="1A3FD6"/>
              </w:rPr>
              <w:t>Proxy Summary</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8</w:t>
            </w:r>
          </w:p>
        </w:tc>
      </w:tr>
      <w:tr>
        <w:trPr>
          <w:trHeight w:val="74"/>
        </w:trPr>
        <w:tc>
          <w:tcPr>
            <w:tcW w:w="448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330"/>
        </w:trPr>
        <w:tc>
          <w:tcPr>
            <w:tcW w:w="4480" w:type="dxa"/>
            <w:vAlign w:val="bottom"/>
            <w:shd w:val="clear" w:color="auto" w:fill="1A3FD6"/>
          </w:tcPr>
          <w:p>
            <w:pPr>
              <w:ind w:left="180"/>
              <w:spacing w:after="0"/>
              <w:rPr>
                <w:sz w:val="20"/>
                <w:szCs w:val="20"/>
                <w:color w:val="auto"/>
              </w:rPr>
            </w:pPr>
            <w:r>
              <w:rPr>
                <w:rFonts w:ascii="Arial" w:cs="Arial" w:eastAsia="Arial" w:hAnsi="Arial"/>
                <w:sz w:val="16"/>
                <w:szCs w:val="16"/>
                <w:b w:val="1"/>
                <w:bCs w:val="1"/>
                <w:color w:val="00C4B3"/>
              </w:rPr>
              <w:t>Proposal 1</w:t>
            </w:r>
          </w:p>
        </w:tc>
        <w:tc>
          <w:tcPr>
            <w:tcW w:w="840" w:type="dxa"/>
            <w:vAlign w:val="bottom"/>
            <w:shd w:val="clear" w:color="auto" w:fill="1A3FD6"/>
          </w:tcPr>
          <w:p>
            <w:pPr>
              <w:spacing w:after="0"/>
              <w:rPr>
                <w:sz w:val="24"/>
                <w:szCs w:val="24"/>
                <w:color w:val="auto"/>
              </w:rPr>
            </w:pPr>
          </w:p>
        </w:tc>
      </w:tr>
      <w:tr>
        <w:trPr>
          <w:trHeight w:val="270"/>
        </w:trPr>
        <w:tc>
          <w:tcPr>
            <w:tcW w:w="4480" w:type="dxa"/>
            <w:vAlign w:val="bottom"/>
            <w:shd w:val="clear" w:color="auto" w:fill="1A3FD6"/>
          </w:tcPr>
          <w:p>
            <w:pPr>
              <w:ind w:left="180"/>
              <w:spacing w:after="0"/>
              <w:rPr>
                <w:sz w:val="20"/>
                <w:szCs w:val="20"/>
                <w:color w:val="auto"/>
              </w:rPr>
            </w:pPr>
            <w:r>
              <w:rPr>
                <w:rFonts w:ascii="Arial" w:cs="Arial" w:eastAsia="Arial" w:hAnsi="Arial"/>
                <w:sz w:val="16"/>
                <w:szCs w:val="16"/>
                <w:b w:val="1"/>
                <w:bCs w:val="1"/>
                <w:color w:val="FFFFFF"/>
              </w:rPr>
              <w:t>Election of Directors</w:t>
            </w:r>
          </w:p>
        </w:tc>
        <w:tc>
          <w:tcPr>
            <w:tcW w:w="840" w:type="dxa"/>
            <w:vAlign w:val="bottom"/>
            <w:shd w:val="clear" w:color="auto" w:fill="1A3FD6"/>
          </w:tcPr>
          <w:p>
            <w:pPr>
              <w:jc w:val="right"/>
              <w:ind w:right="63"/>
              <w:spacing w:after="0"/>
              <w:rPr>
                <w:sz w:val="20"/>
                <w:szCs w:val="20"/>
                <w:color w:val="auto"/>
              </w:rPr>
            </w:pPr>
            <w:r>
              <w:rPr>
                <w:rFonts w:ascii="Arial" w:cs="Arial" w:eastAsia="Arial" w:hAnsi="Arial"/>
                <w:sz w:val="16"/>
                <w:szCs w:val="16"/>
                <w:b w:val="1"/>
                <w:bCs w:val="1"/>
                <w:color w:val="FFFFFF"/>
              </w:rPr>
              <w:t>18</w:t>
            </w:r>
          </w:p>
        </w:tc>
      </w:tr>
      <w:tr>
        <w:trPr>
          <w:trHeight w:val="129"/>
        </w:trPr>
        <w:tc>
          <w:tcPr>
            <w:tcW w:w="4480" w:type="dxa"/>
            <w:vAlign w:val="bottom"/>
            <w:shd w:val="clear" w:color="auto" w:fill="1A3FD6"/>
          </w:tcPr>
          <w:p>
            <w:pPr>
              <w:spacing w:after="0"/>
              <w:rPr>
                <w:sz w:val="11"/>
                <w:szCs w:val="11"/>
                <w:color w:val="auto"/>
              </w:rPr>
            </w:pPr>
          </w:p>
        </w:tc>
        <w:tc>
          <w:tcPr>
            <w:tcW w:w="840" w:type="dxa"/>
            <w:vAlign w:val="bottom"/>
            <w:shd w:val="clear" w:color="auto" w:fill="1A3FD6"/>
          </w:tcPr>
          <w:p>
            <w:pPr>
              <w:spacing w:after="0"/>
              <w:rPr>
                <w:sz w:val="11"/>
                <w:szCs w:val="11"/>
                <w:color w:val="auto"/>
              </w:rPr>
            </w:pPr>
          </w:p>
        </w:tc>
      </w:tr>
      <w:tr>
        <w:trPr>
          <w:trHeight w:val="268"/>
        </w:trPr>
        <w:tc>
          <w:tcPr>
            <w:tcW w:w="4480" w:type="dxa"/>
            <w:vAlign w:val="bottom"/>
          </w:tcPr>
          <w:p>
            <w:pPr>
              <w:ind w:left="40"/>
              <w:spacing w:after="0"/>
              <w:rPr>
                <w:sz w:val="20"/>
                <w:szCs w:val="20"/>
                <w:color w:val="auto"/>
              </w:rPr>
            </w:pPr>
            <w:r>
              <w:rPr>
                <w:rFonts w:ascii="Arial" w:cs="Arial" w:eastAsia="Arial" w:hAnsi="Arial"/>
                <w:sz w:val="14"/>
                <w:szCs w:val="14"/>
                <w:color w:val="auto"/>
              </w:rPr>
              <w:t>Director Core Competencies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2026 Director Nominees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414"/>
        </w:trPr>
        <w:tc>
          <w:tcPr>
            <w:tcW w:w="4480" w:type="dxa"/>
            <w:vAlign w:val="bottom"/>
          </w:tcPr>
          <w:p>
            <w:pPr>
              <w:ind w:left="20"/>
              <w:spacing w:after="0"/>
              <w:rPr>
                <w:sz w:val="20"/>
                <w:szCs w:val="20"/>
                <w:color w:val="auto"/>
              </w:rPr>
            </w:pPr>
            <w:r>
              <w:rPr>
                <w:rFonts w:ascii="Arial" w:cs="Arial" w:eastAsia="Arial" w:hAnsi="Arial"/>
                <w:sz w:val="20"/>
                <w:szCs w:val="20"/>
                <w:b w:val="1"/>
                <w:bCs w:val="1"/>
                <w:color w:val="1A3FD6"/>
              </w:rPr>
              <w:t>Corporate Governance</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27</w:t>
            </w:r>
          </w:p>
        </w:tc>
      </w:tr>
      <w:tr>
        <w:trPr>
          <w:trHeight w:val="329"/>
        </w:trPr>
        <w:tc>
          <w:tcPr>
            <w:tcW w:w="4480" w:type="dxa"/>
            <w:vAlign w:val="bottom"/>
          </w:tcPr>
          <w:p>
            <w:pPr>
              <w:ind w:left="40"/>
              <w:spacing w:after="0"/>
              <w:rPr>
                <w:sz w:val="20"/>
                <w:szCs w:val="20"/>
                <w:color w:val="auto"/>
              </w:rPr>
            </w:pPr>
            <w:r>
              <w:rPr>
                <w:rFonts w:ascii="Arial" w:cs="Arial" w:eastAsia="Arial" w:hAnsi="Arial"/>
                <w:sz w:val="14"/>
                <w:szCs w:val="14"/>
                <w:color w:val="auto"/>
              </w:rPr>
              <w:t>Corporate Governance Practices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Composition and Board Refreshment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Structure of Our Board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Engagement and Evaluation of Our Board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Oversight by Our Board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Corporate Responsibility</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43"/>
        </w:trPr>
        <w:tc>
          <w:tcPr>
            <w:tcW w:w="4480" w:type="dxa"/>
            <w:vAlign w:val="bottom"/>
          </w:tcPr>
          <w:p>
            <w:pPr>
              <w:ind w:left="40"/>
              <w:spacing w:after="0"/>
              <w:rPr>
                <w:sz w:val="20"/>
                <w:szCs w:val="20"/>
                <w:color w:val="auto"/>
              </w:rPr>
            </w:pPr>
            <w:r>
              <w:rPr>
                <w:rFonts w:ascii="Arial" w:cs="Arial" w:eastAsia="Arial" w:hAnsi="Arial"/>
                <w:sz w:val="14"/>
                <w:szCs w:val="14"/>
                <w:color w:val="auto"/>
              </w:rPr>
              <w:t>Workforce and Talent Management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97"/>
        </w:trPr>
        <w:tc>
          <w:tcPr>
            <w:tcW w:w="4480" w:type="dxa"/>
            <w:vAlign w:val="bottom"/>
          </w:tcPr>
          <w:p>
            <w:pPr>
              <w:ind w:left="20"/>
              <w:spacing w:after="0"/>
              <w:rPr>
                <w:sz w:val="20"/>
                <w:szCs w:val="20"/>
                <w:color w:val="auto"/>
              </w:rPr>
            </w:pPr>
            <w:r>
              <w:rPr>
                <w:rFonts w:ascii="Arial" w:cs="Arial" w:eastAsia="Arial" w:hAnsi="Arial"/>
                <w:sz w:val="20"/>
                <w:szCs w:val="20"/>
                <w:b w:val="1"/>
                <w:bCs w:val="1"/>
                <w:color w:val="1A3FD6"/>
              </w:rPr>
              <w:t>Director Compensation and Stock</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52</w:t>
            </w:r>
          </w:p>
        </w:tc>
      </w:tr>
      <w:tr>
        <w:trPr>
          <w:trHeight w:val="273"/>
        </w:trPr>
        <w:tc>
          <w:tcPr>
            <w:tcW w:w="4480" w:type="dxa"/>
            <w:vAlign w:val="bottom"/>
          </w:tcPr>
          <w:p>
            <w:pPr>
              <w:ind w:left="20"/>
              <w:spacing w:after="0"/>
              <w:rPr>
                <w:sz w:val="20"/>
                <w:szCs w:val="20"/>
                <w:color w:val="auto"/>
              </w:rPr>
            </w:pPr>
            <w:r>
              <w:rPr>
                <w:rFonts w:ascii="Arial" w:cs="Arial" w:eastAsia="Arial" w:hAnsi="Arial"/>
                <w:sz w:val="20"/>
                <w:szCs w:val="20"/>
                <w:b w:val="1"/>
                <w:bCs w:val="1"/>
                <w:color w:val="1A3FD6"/>
              </w:rPr>
              <w:t>Ownership Guidelines</w:t>
            </w:r>
          </w:p>
        </w:tc>
        <w:tc>
          <w:tcPr>
            <w:tcW w:w="840" w:type="dxa"/>
            <w:vAlign w:val="bottom"/>
          </w:tcPr>
          <w:p>
            <w:pPr>
              <w:spacing w:after="0"/>
              <w:rPr>
                <w:sz w:val="23"/>
                <w:szCs w:val="23"/>
                <w:color w:val="auto"/>
              </w:rPr>
            </w:pPr>
          </w:p>
        </w:tc>
      </w:tr>
      <w:tr>
        <w:trPr>
          <w:trHeight w:val="288"/>
        </w:trPr>
        <w:tc>
          <w:tcPr>
            <w:tcW w:w="4480" w:type="dxa"/>
            <w:vAlign w:val="bottom"/>
          </w:tcPr>
          <w:p>
            <w:pPr>
              <w:ind w:left="40"/>
              <w:spacing w:after="0"/>
              <w:rPr>
                <w:sz w:val="20"/>
                <w:szCs w:val="20"/>
                <w:color w:val="auto"/>
              </w:rPr>
            </w:pPr>
            <w:r>
              <w:rPr>
                <w:rFonts w:ascii="Arial" w:cs="Arial" w:eastAsia="Arial" w:hAnsi="Arial"/>
                <w:sz w:val="14"/>
                <w:szCs w:val="14"/>
                <w:color w:val="auto"/>
              </w:rPr>
              <w:t>Director Compensation</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124"/>
        </w:trPr>
        <w:tc>
          <w:tcPr>
            <w:tcW w:w="44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330"/>
        </w:trPr>
        <w:tc>
          <w:tcPr>
            <w:tcW w:w="4480" w:type="dxa"/>
            <w:vAlign w:val="bottom"/>
            <w:shd w:val="clear" w:color="auto" w:fill="1A3FD6"/>
          </w:tcPr>
          <w:p>
            <w:pPr>
              <w:ind w:left="180"/>
              <w:spacing w:after="0"/>
              <w:rPr>
                <w:sz w:val="20"/>
                <w:szCs w:val="20"/>
                <w:color w:val="auto"/>
              </w:rPr>
            </w:pPr>
            <w:r>
              <w:rPr>
                <w:rFonts w:ascii="Arial" w:cs="Arial" w:eastAsia="Arial" w:hAnsi="Arial"/>
                <w:sz w:val="16"/>
                <w:szCs w:val="16"/>
                <w:b w:val="1"/>
                <w:bCs w:val="1"/>
                <w:color w:val="00C4B3"/>
              </w:rPr>
              <w:t>Proposal 2</w:t>
            </w:r>
          </w:p>
        </w:tc>
        <w:tc>
          <w:tcPr>
            <w:tcW w:w="840" w:type="dxa"/>
            <w:vAlign w:val="bottom"/>
            <w:shd w:val="clear" w:color="auto" w:fill="1A3FD6"/>
          </w:tcPr>
          <w:p>
            <w:pPr>
              <w:spacing w:after="0"/>
              <w:rPr>
                <w:sz w:val="24"/>
                <w:szCs w:val="24"/>
                <w:color w:val="auto"/>
              </w:rPr>
            </w:pPr>
          </w:p>
        </w:tc>
      </w:tr>
      <w:tr>
        <w:trPr>
          <w:trHeight w:val="263"/>
        </w:trPr>
        <w:tc>
          <w:tcPr>
            <w:tcW w:w="4480" w:type="dxa"/>
            <w:vAlign w:val="bottom"/>
            <w:shd w:val="clear" w:color="auto" w:fill="1A3FD6"/>
          </w:tcPr>
          <w:p>
            <w:pPr>
              <w:ind w:left="180"/>
              <w:spacing w:after="0"/>
              <w:rPr>
                <w:sz w:val="20"/>
                <w:szCs w:val="20"/>
                <w:color w:val="auto"/>
              </w:rPr>
            </w:pPr>
            <w:r>
              <w:rPr>
                <w:rFonts w:ascii="Arial" w:cs="Arial" w:eastAsia="Arial" w:hAnsi="Arial"/>
                <w:sz w:val="16"/>
                <w:szCs w:val="16"/>
                <w:b w:val="1"/>
                <w:bCs w:val="1"/>
                <w:color w:val="FFFFFF"/>
              </w:rPr>
              <w:t>Advisory Vote to Approve Executive Compensation</w:t>
            </w:r>
          </w:p>
        </w:tc>
        <w:tc>
          <w:tcPr>
            <w:tcW w:w="840" w:type="dxa"/>
            <w:vAlign w:val="bottom"/>
            <w:shd w:val="clear" w:color="auto" w:fill="1A3FD6"/>
          </w:tcPr>
          <w:p>
            <w:pPr>
              <w:jc w:val="right"/>
              <w:ind w:right="63"/>
              <w:spacing w:after="0"/>
              <w:rPr>
                <w:sz w:val="20"/>
                <w:szCs w:val="20"/>
                <w:color w:val="auto"/>
              </w:rPr>
            </w:pPr>
            <w:r>
              <w:rPr>
                <w:rFonts w:ascii="Arial" w:cs="Arial" w:eastAsia="Arial" w:hAnsi="Arial"/>
                <w:sz w:val="16"/>
                <w:szCs w:val="16"/>
                <w:b w:val="1"/>
                <w:bCs w:val="1"/>
                <w:color w:val="FFFFFF"/>
              </w:rPr>
              <w:t>56</w:t>
            </w:r>
          </w:p>
        </w:tc>
      </w:tr>
      <w:tr>
        <w:trPr>
          <w:trHeight w:val="223"/>
        </w:trPr>
        <w:tc>
          <w:tcPr>
            <w:tcW w:w="4480" w:type="dxa"/>
            <w:vAlign w:val="bottom"/>
            <w:shd w:val="clear" w:color="auto" w:fill="1A3FD6"/>
          </w:tcPr>
          <w:p>
            <w:pPr>
              <w:ind w:left="180"/>
              <w:spacing w:after="0"/>
              <w:rPr>
                <w:sz w:val="20"/>
                <w:szCs w:val="20"/>
                <w:color w:val="auto"/>
              </w:rPr>
            </w:pPr>
            <w:r>
              <w:rPr>
                <w:rFonts w:ascii="Arial" w:cs="Arial" w:eastAsia="Arial" w:hAnsi="Arial"/>
                <w:sz w:val="16"/>
                <w:szCs w:val="16"/>
                <w:b w:val="1"/>
                <w:bCs w:val="1"/>
                <w:color w:val="FFFFFF"/>
              </w:rPr>
              <w:t>(Say-on-Pay)</w:t>
            </w:r>
          </w:p>
        </w:tc>
        <w:tc>
          <w:tcPr>
            <w:tcW w:w="840" w:type="dxa"/>
            <w:vAlign w:val="bottom"/>
            <w:shd w:val="clear" w:color="auto" w:fill="1A3FD6"/>
          </w:tcPr>
          <w:p>
            <w:pPr>
              <w:spacing w:after="0"/>
              <w:rPr>
                <w:sz w:val="19"/>
                <w:szCs w:val="19"/>
                <w:color w:val="auto"/>
              </w:rPr>
            </w:pPr>
          </w:p>
        </w:tc>
      </w:tr>
      <w:tr>
        <w:trPr>
          <w:trHeight w:val="115"/>
        </w:trPr>
        <w:tc>
          <w:tcPr>
            <w:tcW w:w="4480" w:type="dxa"/>
            <w:vAlign w:val="bottom"/>
            <w:shd w:val="clear" w:color="auto" w:fill="1A3FD6"/>
          </w:tcPr>
          <w:p>
            <w:pPr>
              <w:spacing w:after="0"/>
              <w:rPr>
                <w:sz w:val="10"/>
                <w:szCs w:val="10"/>
                <w:color w:val="auto"/>
              </w:rPr>
            </w:pPr>
          </w:p>
        </w:tc>
        <w:tc>
          <w:tcPr>
            <w:tcW w:w="840" w:type="dxa"/>
            <w:vAlign w:val="bottom"/>
            <w:shd w:val="clear" w:color="auto" w:fill="1A3FD6"/>
          </w:tcPr>
          <w:p>
            <w:pPr>
              <w:spacing w:after="0"/>
              <w:rPr>
                <w:sz w:val="10"/>
                <w:szCs w:val="10"/>
                <w:color w:val="auto"/>
              </w:rPr>
            </w:pPr>
          </w:p>
        </w:tc>
      </w:tr>
      <w:tr>
        <w:trPr>
          <w:trHeight w:val="385"/>
        </w:trPr>
        <w:tc>
          <w:tcPr>
            <w:tcW w:w="4480" w:type="dxa"/>
            <w:vAlign w:val="bottom"/>
          </w:tcPr>
          <w:p>
            <w:pPr>
              <w:ind w:left="20"/>
              <w:spacing w:after="0"/>
              <w:rPr>
                <w:sz w:val="20"/>
                <w:szCs w:val="20"/>
                <w:color w:val="auto"/>
              </w:rPr>
            </w:pPr>
            <w:r>
              <w:rPr>
                <w:rFonts w:ascii="Arial" w:cs="Arial" w:eastAsia="Arial" w:hAnsi="Arial"/>
                <w:sz w:val="20"/>
                <w:szCs w:val="20"/>
                <w:b w:val="1"/>
                <w:bCs w:val="1"/>
                <w:color w:val="1A3FD6"/>
              </w:rPr>
              <w:t>Compensation Matters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57</w:t>
            </w:r>
          </w:p>
        </w:tc>
      </w:tr>
      <w:tr>
        <w:trPr>
          <w:trHeight w:val="329"/>
        </w:trPr>
        <w:tc>
          <w:tcPr>
            <w:tcW w:w="4480" w:type="dxa"/>
            <w:vAlign w:val="bottom"/>
          </w:tcPr>
          <w:p>
            <w:pPr>
              <w:ind w:left="20"/>
              <w:spacing w:after="0"/>
              <w:rPr>
                <w:sz w:val="20"/>
                <w:szCs w:val="20"/>
                <w:color w:val="auto"/>
              </w:rPr>
            </w:pPr>
            <w:r>
              <w:rPr>
                <w:rFonts w:ascii="Arial" w:cs="Arial" w:eastAsia="Arial" w:hAnsi="Arial"/>
                <w:sz w:val="14"/>
                <w:szCs w:val="14"/>
                <w:color w:val="auto"/>
              </w:rPr>
              <w:t>Compensation Discussion and Analysis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Highlights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58</w:t>
            </w: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Governance and Administration</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Review of Our Programs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43"/>
        </w:trPr>
        <w:tc>
          <w:tcPr>
            <w:tcW w:w="4480" w:type="dxa"/>
            <w:vAlign w:val="bottom"/>
          </w:tcPr>
          <w:p>
            <w:pPr>
              <w:ind w:left="20"/>
              <w:spacing w:after="0"/>
              <w:rPr>
                <w:sz w:val="20"/>
                <w:szCs w:val="20"/>
                <w:color w:val="auto"/>
              </w:rPr>
            </w:pPr>
            <w:r>
              <w:rPr>
                <w:rFonts w:ascii="Arial" w:cs="Arial" w:eastAsia="Arial" w:hAnsi="Arial"/>
                <w:sz w:val="14"/>
                <w:szCs w:val="14"/>
                <w:color w:val="auto"/>
              </w:rPr>
              <w:t>Other Policies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-4472940</wp:posOffset>
            </wp:positionV>
            <wp:extent cx="120015"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-1601470</wp:posOffset>
            </wp:positionV>
            <wp:extent cx="120015"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572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729615</wp:posOffset>
            </wp:positionV>
            <wp:extent cx="55689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20"/>
                <w:szCs w:val="20"/>
                <w:color w:val="auto"/>
              </w:rPr>
            </w:pPr>
            <w:r>
              <w:rPr>
                <w:rFonts w:ascii="Arial" w:cs="Arial" w:eastAsia="Arial" w:hAnsi="Arial"/>
                <w:sz w:val="14"/>
                <w:szCs w:val="14"/>
                <w:color w:val="auto"/>
              </w:rPr>
              <w:t>Tax Considerations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r>
        <w:trPr>
          <w:trHeight w:val="243"/>
        </w:trPr>
        <w:tc>
          <w:tcPr>
            <w:tcW w:w="4220" w:type="dxa"/>
            <w:vAlign w:val="bottom"/>
          </w:tcPr>
          <w:p>
            <w:pPr>
              <w:spacing w:after="0"/>
              <w:rPr>
                <w:sz w:val="20"/>
                <w:szCs w:val="20"/>
                <w:color w:val="auto"/>
              </w:rPr>
            </w:pPr>
            <w:r>
              <w:rPr>
                <w:rFonts w:ascii="Arial" w:cs="Arial" w:eastAsia="Arial" w:hAnsi="Arial"/>
                <w:sz w:val="14"/>
                <w:szCs w:val="14"/>
                <w:color w:val="auto"/>
              </w:rPr>
              <w:t>Compensation Risk Assessment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88</w:t>
            </w:r>
          </w:p>
        </w:tc>
      </w:tr>
      <w:tr>
        <w:trPr>
          <w:trHeight w:val="243"/>
        </w:trPr>
        <w:tc>
          <w:tcPr>
            <w:tcW w:w="4220" w:type="dxa"/>
            <w:vAlign w:val="bottom"/>
          </w:tcPr>
          <w:p>
            <w:pPr>
              <w:ind w:left="20"/>
              <w:spacing w:after="0"/>
              <w:rPr>
                <w:sz w:val="20"/>
                <w:szCs w:val="20"/>
                <w:color w:val="auto"/>
              </w:rPr>
            </w:pPr>
            <w:r>
              <w:rPr>
                <w:rFonts w:ascii="Arial" w:cs="Arial" w:eastAsia="Arial" w:hAnsi="Arial"/>
                <w:sz w:val="14"/>
                <w:szCs w:val="14"/>
                <w:color w:val="auto"/>
              </w:rPr>
              <w:t>Compensation, Talent and Culture Committee Report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243"/>
        </w:trPr>
        <w:tc>
          <w:tcPr>
            <w:tcW w:w="4220" w:type="dxa"/>
            <w:vAlign w:val="bottom"/>
          </w:tcPr>
          <w:p>
            <w:pPr>
              <w:ind w:left="20"/>
              <w:spacing w:after="0"/>
              <w:rPr>
                <w:sz w:val="20"/>
                <w:szCs w:val="20"/>
                <w:color w:val="auto"/>
              </w:rPr>
            </w:pPr>
            <w:r>
              <w:rPr>
                <w:rFonts w:ascii="Arial" w:cs="Arial" w:eastAsia="Arial" w:hAnsi="Arial"/>
                <w:sz w:val="14"/>
                <w:szCs w:val="14"/>
                <w:color w:val="auto"/>
              </w:rPr>
              <w:t>Executive Compensation Tables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243"/>
        </w:trPr>
        <w:tc>
          <w:tcPr>
            <w:tcW w:w="4220" w:type="dxa"/>
            <w:vAlign w:val="bottom"/>
          </w:tcPr>
          <w:p>
            <w:pPr>
              <w:ind w:left="20"/>
              <w:spacing w:after="0"/>
              <w:rPr>
                <w:sz w:val="20"/>
                <w:szCs w:val="20"/>
                <w:color w:val="auto"/>
              </w:rPr>
            </w:pPr>
            <w:r>
              <w:rPr>
                <w:rFonts w:ascii="Arial" w:cs="Arial" w:eastAsia="Arial" w:hAnsi="Arial"/>
                <w:sz w:val="14"/>
                <w:szCs w:val="14"/>
                <w:color w:val="auto"/>
              </w:rPr>
              <w:t>CEO Pay Ratio</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99</w:t>
            </w:r>
          </w:p>
        </w:tc>
      </w:tr>
      <w:tr>
        <w:trPr>
          <w:trHeight w:val="243"/>
        </w:trPr>
        <w:tc>
          <w:tcPr>
            <w:tcW w:w="4220" w:type="dxa"/>
            <w:vAlign w:val="bottom"/>
          </w:tcPr>
          <w:p>
            <w:pPr>
              <w:ind w:left="20"/>
              <w:spacing w:after="0"/>
              <w:rPr>
                <w:sz w:val="20"/>
                <w:szCs w:val="20"/>
                <w:color w:val="auto"/>
              </w:rPr>
            </w:pPr>
            <w:r>
              <w:rPr>
                <w:rFonts w:ascii="Arial" w:cs="Arial" w:eastAsia="Arial" w:hAnsi="Arial"/>
                <w:sz w:val="14"/>
                <w:szCs w:val="14"/>
                <w:color w:val="auto"/>
              </w:rPr>
              <w:t>Pay Versus Performance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78105</wp:posOffset>
            </wp:positionV>
            <wp:extent cx="3377565" cy="591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77565" cy="591820"/>
                    </a:xfrm>
                    <a:prstGeom prst="rect">
                      <a:avLst/>
                    </a:prstGeom>
                    <a:noFill/>
                  </pic:spPr>
                </pic:pic>
              </a:graphicData>
            </a:graphic>
          </wp:anchor>
        </w:drawing>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C4B3"/>
        </w:rPr>
        <w:t>Proposal 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60" w:type="dxa"/>
            <w:vAlign w:val="bottom"/>
          </w:tcPr>
          <w:p>
            <w:pPr>
              <w:ind w:left="160"/>
              <w:spacing w:after="0"/>
              <w:rPr>
                <w:sz w:val="20"/>
                <w:szCs w:val="20"/>
                <w:color w:val="auto"/>
              </w:rPr>
            </w:pPr>
            <w:r>
              <w:rPr>
                <w:rFonts w:ascii="Arial" w:cs="Arial" w:eastAsia="Arial" w:hAnsi="Arial"/>
                <w:sz w:val="16"/>
                <w:szCs w:val="16"/>
                <w:b w:val="1"/>
                <w:bCs w:val="1"/>
                <w:color w:val="FFFFFF"/>
              </w:rPr>
              <w:t>Ratification of the Appointment of MSCI’s Independent</w:t>
            </w:r>
          </w:p>
        </w:tc>
        <w:tc>
          <w:tcPr>
            <w:tcW w:w="840" w:type="dxa"/>
            <w:vAlign w:val="bottom"/>
            <w:shd w:val="clear" w:color="auto" w:fill="1A3FD6"/>
          </w:tcPr>
          <w:p>
            <w:pPr>
              <w:jc w:val="right"/>
              <w:ind w:right="58"/>
              <w:spacing w:after="0"/>
              <w:rPr>
                <w:sz w:val="20"/>
                <w:szCs w:val="20"/>
                <w:color w:val="auto"/>
              </w:rPr>
            </w:pPr>
            <w:r>
              <w:rPr>
                <w:rFonts w:ascii="Arial" w:cs="Arial" w:eastAsia="Arial" w:hAnsi="Arial"/>
                <w:sz w:val="16"/>
                <w:szCs w:val="16"/>
                <w:b w:val="1"/>
                <w:bCs w:val="1"/>
                <w:color w:val="FFFFFF"/>
              </w:rPr>
              <w:t>105</w:t>
            </w:r>
          </w:p>
        </w:tc>
        <w:tc>
          <w:tcPr>
            <w:tcW w:w="0" w:type="dxa"/>
            <w:vAlign w:val="bottom"/>
          </w:tcPr>
          <w:p>
            <w:pPr>
              <w:spacing w:after="0"/>
              <w:rPr>
                <w:sz w:val="1"/>
                <w:szCs w:val="1"/>
                <w:color w:val="auto"/>
              </w:rPr>
            </w:pPr>
          </w:p>
        </w:tc>
      </w:tr>
      <w:tr>
        <w:trPr>
          <w:trHeight w:val="223"/>
        </w:trPr>
        <w:tc>
          <w:tcPr>
            <w:tcW w:w="4460" w:type="dxa"/>
            <w:vAlign w:val="bottom"/>
          </w:tcPr>
          <w:p>
            <w:pPr>
              <w:ind w:left="160"/>
              <w:spacing w:after="0"/>
              <w:rPr>
                <w:sz w:val="20"/>
                <w:szCs w:val="20"/>
                <w:color w:val="auto"/>
              </w:rPr>
            </w:pPr>
            <w:r>
              <w:rPr>
                <w:rFonts w:ascii="Arial" w:cs="Arial" w:eastAsia="Arial" w:hAnsi="Arial"/>
                <w:sz w:val="16"/>
                <w:szCs w:val="16"/>
                <w:b w:val="1"/>
                <w:bCs w:val="1"/>
                <w:color w:val="FFFFFF"/>
              </w:rPr>
              <w:t>Auditor</w:t>
            </w:r>
          </w:p>
        </w:tc>
        <w:tc>
          <w:tcPr>
            <w:tcW w:w="840" w:type="dxa"/>
            <w:vAlign w:val="bottom"/>
            <w:shd w:val="clear" w:color="auto" w:fill="1A3FD6"/>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460" w:type="dxa"/>
            <w:vAlign w:val="bottom"/>
            <w:vMerge w:val="restart"/>
          </w:tcPr>
          <w:p>
            <w:pPr>
              <w:spacing w:after="0"/>
              <w:rPr>
                <w:sz w:val="20"/>
                <w:szCs w:val="20"/>
                <w:color w:val="auto"/>
              </w:rPr>
            </w:pPr>
            <w:r>
              <w:rPr>
                <w:rFonts w:ascii="Arial" w:cs="Arial" w:eastAsia="Arial" w:hAnsi="Arial"/>
                <w:sz w:val="20"/>
                <w:szCs w:val="20"/>
                <w:b w:val="1"/>
                <w:bCs w:val="1"/>
                <w:color w:val="1A3FD6"/>
              </w:rPr>
              <w:t>Audit Matters</w:t>
            </w:r>
          </w:p>
        </w:tc>
        <w:tc>
          <w:tcPr>
            <w:tcW w:w="840" w:type="dxa"/>
            <w:vAlign w:val="bottom"/>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4460" w:type="dxa"/>
            <w:vAlign w:val="bottom"/>
            <w:vMerge w:val="continue"/>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106</w:t>
            </w:r>
          </w:p>
        </w:tc>
        <w:tc>
          <w:tcPr>
            <w:tcW w:w="0" w:type="dxa"/>
            <w:vAlign w:val="bottom"/>
          </w:tcPr>
          <w:p>
            <w:pPr>
              <w:spacing w:after="0"/>
              <w:rPr>
                <w:sz w:val="1"/>
                <w:szCs w:val="1"/>
                <w:color w:val="auto"/>
              </w:rPr>
            </w:pPr>
          </w:p>
        </w:tc>
      </w:tr>
      <w:tr>
        <w:trPr>
          <w:trHeight w:val="329"/>
        </w:trPr>
        <w:tc>
          <w:tcPr>
            <w:tcW w:w="4460" w:type="dxa"/>
            <w:vAlign w:val="bottom"/>
          </w:tcPr>
          <w:p>
            <w:pPr>
              <w:ind w:left="20"/>
              <w:spacing w:after="0"/>
              <w:rPr>
                <w:sz w:val="20"/>
                <w:szCs w:val="20"/>
                <w:color w:val="auto"/>
              </w:rPr>
            </w:pPr>
            <w:r>
              <w:rPr>
                <w:rFonts w:ascii="Arial" w:cs="Arial" w:eastAsia="Arial" w:hAnsi="Arial"/>
                <w:sz w:val="14"/>
                <w:szCs w:val="14"/>
                <w:color w:val="auto"/>
              </w:rPr>
              <w:t>Independent Auditor’s Fees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36"/>
        </w:trPr>
        <w:tc>
          <w:tcPr>
            <w:tcW w:w="4460" w:type="dxa"/>
            <w:vAlign w:val="bottom"/>
          </w:tcPr>
          <w:p>
            <w:pPr>
              <w:ind w:left="20"/>
              <w:spacing w:after="0"/>
              <w:rPr>
                <w:sz w:val="20"/>
                <w:szCs w:val="20"/>
                <w:color w:val="auto"/>
              </w:rPr>
            </w:pPr>
            <w:r>
              <w:rPr>
                <w:rFonts w:ascii="Arial" w:cs="Arial" w:eastAsia="Arial" w:hAnsi="Arial"/>
                <w:sz w:val="14"/>
                <w:szCs w:val="14"/>
                <w:color w:val="auto"/>
              </w:rPr>
              <w:t>Pre-Approval Policy of the Audit and Risk Committee of Services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190"/>
        </w:trPr>
        <w:tc>
          <w:tcPr>
            <w:tcW w:w="4460" w:type="dxa"/>
            <w:vAlign w:val="bottom"/>
          </w:tcPr>
          <w:p>
            <w:pPr>
              <w:ind w:left="20"/>
              <w:spacing w:after="0"/>
              <w:rPr>
                <w:sz w:val="20"/>
                <w:szCs w:val="20"/>
                <w:color w:val="auto"/>
              </w:rPr>
            </w:pPr>
            <w:r>
              <w:rPr>
                <w:rFonts w:ascii="Arial" w:cs="Arial" w:eastAsia="Arial" w:hAnsi="Arial"/>
                <w:sz w:val="14"/>
                <w:szCs w:val="14"/>
                <w:color w:val="auto"/>
              </w:rPr>
              <w:t>Performed by Independent Auditors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Pr>
          <w:p>
            <w:pPr>
              <w:ind w:left="20"/>
              <w:spacing w:after="0"/>
              <w:rPr>
                <w:sz w:val="20"/>
                <w:szCs w:val="20"/>
                <w:color w:val="auto"/>
              </w:rPr>
            </w:pPr>
            <w:r>
              <w:rPr>
                <w:rFonts w:ascii="Arial" w:cs="Arial" w:eastAsia="Arial" w:hAnsi="Arial"/>
                <w:sz w:val="14"/>
                <w:szCs w:val="14"/>
                <w:color w:val="auto"/>
              </w:rPr>
              <w:t>Audit and Risk Committee Report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414"/>
        </w:trPr>
        <w:tc>
          <w:tcPr>
            <w:tcW w:w="4460" w:type="dxa"/>
            <w:vAlign w:val="bottom"/>
          </w:tcPr>
          <w:p>
            <w:pPr>
              <w:spacing w:after="0"/>
              <w:rPr>
                <w:sz w:val="20"/>
                <w:szCs w:val="20"/>
                <w:color w:val="auto"/>
              </w:rPr>
            </w:pPr>
            <w:r>
              <w:rPr>
                <w:rFonts w:ascii="Arial" w:cs="Arial" w:eastAsia="Arial" w:hAnsi="Arial"/>
                <w:sz w:val="20"/>
                <w:szCs w:val="20"/>
                <w:b w:val="1"/>
                <w:bCs w:val="1"/>
                <w:color w:val="1A3FD6"/>
              </w:rPr>
              <w:t>Beneficial Ownership of Common Stock</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109</w:t>
            </w:r>
          </w:p>
        </w:tc>
        <w:tc>
          <w:tcPr>
            <w:tcW w:w="0" w:type="dxa"/>
            <w:vAlign w:val="bottom"/>
          </w:tcPr>
          <w:p>
            <w:pPr>
              <w:spacing w:after="0"/>
              <w:rPr>
                <w:sz w:val="1"/>
                <w:szCs w:val="1"/>
                <w:color w:val="auto"/>
              </w:rPr>
            </w:pPr>
          </w:p>
        </w:tc>
      </w:tr>
      <w:tr>
        <w:trPr>
          <w:trHeight w:val="329"/>
        </w:trPr>
        <w:tc>
          <w:tcPr>
            <w:tcW w:w="4460" w:type="dxa"/>
            <w:vAlign w:val="bottom"/>
          </w:tcPr>
          <w:p>
            <w:pPr>
              <w:ind w:left="20"/>
              <w:spacing w:after="0"/>
              <w:rPr>
                <w:sz w:val="20"/>
                <w:szCs w:val="20"/>
                <w:color w:val="auto"/>
              </w:rPr>
            </w:pPr>
            <w:r>
              <w:rPr>
                <w:rFonts w:ascii="Arial" w:cs="Arial" w:eastAsia="Arial" w:hAnsi="Arial"/>
                <w:sz w:val="14"/>
                <w:szCs w:val="14"/>
                <w:color w:val="auto"/>
              </w:rPr>
              <w:t>Stock Ownership of Executive Officers and Directors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4"/>
                <w:szCs w:val="14"/>
                <w:color w:val="auto"/>
              </w:rPr>
              <w:t>Stock Ownership of Principal Shareholders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0" w:type="dxa"/>
            <w:vAlign w:val="bottom"/>
          </w:tcPr>
          <w:p>
            <w:pPr>
              <w:spacing w:after="0"/>
              <w:rPr>
                <w:sz w:val="1"/>
                <w:szCs w:val="1"/>
                <w:color w:val="auto"/>
              </w:rPr>
            </w:pPr>
          </w:p>
        </w:tc>
      </w:tr>
      <w:tr>
        <w:trPr>
          <w:trHeight w:val="414"/>
        </w:trPr>
        <w:tc>
          <w:tcPr>
            <w:tcW w:w="4460" w:type="dxa"/>
            <w:vAlign w:val="bottom"/>
          </w:tcPr>
          <w:p>
            <w:pPr>
              <w:spacing w:after="0"/>
              <w:rPr>
                <w:sz w:val="20"/>
                <w:szCs w:val="20"/>
                <w:color w:val="auto"/>
              </w:rPr>
            </w:pPr>
            <w:r>
              <w:rPr>
                <w:rFonts w:ascii="Arial" w:cs="Arial" w:eastAsia="Arial" w:hAnsi="Arial"/>
                <w:sz w:val="20"/>
                <w:szCs w:val="20"/>
                <w:b w:val="1"/>
                <w:bCs w:val="1"/>
                <w:color w:val="1A3FD6"/>
              </w:rPr>
              <w:t>Other Matters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112</w:t>
            </w:r>
          </w:p>
        </w:tc>
        <w:tc>
          <w:tcPr>
            <w:tcW w:w="0" w:type="dxa"/>
            <w:vAlign w:val="bottom"/>
          </w:tcPr>
          <w:p>
            <w:pPr>
              <w:spacing w:after="0"/>
              <w:rPr>
                <w:sz w:val="1"/>
                <w:szCs w:val="1"/>
                <w:color w:val="auto"/>
              </w:rPr>
            </w:pPr>
          </w:p>
        </w:tc>
      </w:tr>
      <w:tr>
        <w:trPr>
          <w:trHeight w:val="329"/>
        </w:trPr>
        <w:tc>
          <w:tcPr>
            <w:tcW w:w="4460" w:type="dxa"/>
            <w:vAlign w:val="bottom"/>
          </w:tcPr>
          <w:p>
            <w:pPr>
              <w:ind w:left="20"/>
              <w:spacing w:after="0"/>
              <w:rPr>
                <w:sz w:val="20"/>
                <w:szCs w:val="20"/>
                <w:color w:val="auto"/>
              </w:rPr>
            </w:pPr>
            <w:r>
              <w:rPr>
                <w:rFonts w:ascii="Arial" w:cs="Arial" w:eastAsia="Arial" w:hAnsi="Arial"/>
                <w:sz w:val="14"/>
                <w:szCs w:val="14"/>
                <w:color w:val="auto"/>
              </w:rPr>
              <w:t>Additional Policies and Procedures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4"/>
                <w:szCs w:val="14"/>
                <w:color w:val="auto"/>
              </w:rPr>
              <w:t>Certain Transactions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4"/>
                <w:szCs w:val="14"/>
                <w:color w:val="auto"/>
              </w:rPr>
              <w:t>Related Person Transactions Policy</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4"/>
                <w:szCs w:val="14"/>
                <w:color w:val="auto"/>
              </w:rPr>
              <w:t>Other Business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413"/>
        </w:trPr>
        <w:tc>
          <w:tcPr>
            <w:tcW w:w="4460" w:type="dxa"/>
            <w:vAlign w:val="bottom"/>
          </w:tcPr>
          <w:p>
            <w:pPr>
              <w:spacing w:after="0"/>
              <w:rPr>
                <w:sz w:val="20"/>
                <w:szCs w:val="20"/>
                <w:color w:val="auto"/>
              </w:rPr>
            </w:pPr>
            <w:r>
              <w:rPr>
                <w:rFonts w:ascii="Arial" w:cs="Arial" w:eastAsia="Arial" w:hAnsi="Arial"/>
                <w:sz w:val="20"/>
                <w:szCs w:val="20"/>
                <w:b w:val="1"/>
                <w:bCs w:val="1"/>
                <w:color w:val="1A3FD6"/>
              </w:rPr>
              <w:t>Annex A: Frequently Asked Questions</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114</w:t>
            </w:r>
          </w:p>
        </w:tc>
        <w:tc>
          <w:tcPr>
            <w:tcW w:w="0" w:type="dxa"/>
            <w:vAlign w:val="bottom"/>
          </w:tcPr>
          <w:p>
            <w:pPr>
              <w:spacing w:after="0"/>
              <w:rPr>
                <w:sz w:val="1"/>
                <w:szCs w:val="1"/>
                <w:color w:val="auto"/>
              </w:rPr>
            </w:pPr>
          </w:p>
        </w:tc>
      </w:tr>
      <w:tr>
        <w:trPr>
          <w:trHeight w:val="365"/>
        </w:trPr>
        <w:tc>
          <w:tcPr>
            <w:tcW w:w="4460" w:type="dxa"/>
            <w:vAlign w:val="bottom"/>
          </w:tcPr>
          <w:p>
            <w:pPr>
              <w:spacing w:after="0"/>
              <w:rPr>
                <w:sz w:val="20"/>
                <w:szCs w:val="20"/>
                <w:color w:val="auto"/>
              </w:rPr>
            </w:pPr>
            <w:r>
              <w:rPr>
                <w:rFonts w:ascii="Arial" w:cs="Arial" w:eastAsia="Arial" w:hAnsi="Arial"/>
                <w:sz w:val="20"/>
                <w:szCs w:val="20"/>
                <w:b w:val="1"/>
                <w:bCs w:val="1"/>
                <w:color w:val="1A3FD6"/>
              </w:rPr>
              <w:t>Annex B: Supplemental Financial Information</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1A3FD6"/>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1997710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20" w:space="500"/>
            <w:col w:w="5300"/>
          </w:cols>
          <w:pgMar w:left="320" w:top="1207"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on Forward-Looking Statements</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This Proxy Statement and statements and reports that are referenced in this Proxy Statement contain forward-looking statements within the meaning of the Private Securities Litigation Reform Act of 1995. These forward-looking statements relate to future events and involve underlying assumptions, as well as known and unknown risks, uncertainties and other factors that may cause our actual results, levels of activity, performance or achievements to differ materially from any future results, levels of activity, performance or achievements expressed or implied by these statements. In some cases, you can identify forward-looking statements by the use of words such as “may,” “could,” “expect,” “intend,” “plan,” “seek,” “anticipate,” “believe,” “estimate,” “predict,” “potential” or “continue,” or the negative of these terms or other comparable terminology. You should not place undue reliance on forward-looking statements because they involve known and unknown risks, uncertainties and other factors that are, in some cases, beyond MSCI’s control and that could materially affect our actual results, levels of activity, performance or achievements.</w:t>
      </w:r>
    </w:p>
    <w:p>
      <w:pPr>
        <w:spacing w:after="0" w:line="12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Other factors that could materially affect actual results, levels of activity, performance or achievements can be found in the MSCI 2025 Annual Report on Form 10-K filed with the SEC on February 6, 2026 and in quarterly reports on Form 10-Q and current reports on Form 8-K filed or furnished with the SEC. If any of these risks, uncertainties or other matters materialize, or if MSCI’s underlying assumptions prove to be incorrect, actual results may vary significantly from what MSCI projected. Statements and reports on our website or other websites that we refer to in this Proxy Statement will not be deemed a part of, or otherwise incorporated by reference in, this Proxy Statement or any other report we file with the SEC. Forward-looking statements in this Proxy Statement and incorporated documents may include metrics, estimates, and aspirational goals that are based on assumptions, evolving standards, and methodologies that continue to develop. Such statements are not guarantees of future performance or outcomes. Forward-looking and other statements in this Proxy Statement do not indicate materiality under U.S. federal securities laws, even if we use terms such as “material” or “materiality.” Certain disclosures reflect third-party frameworks and standards that may be revised or updated, and our adherence to such frameworks may change due to business developments, regulatory changes or other factors.</w:t>
      </w:r>
    </w:p>
    <w:p>
      <w:pPr>
        <w:spacing w:after="0" w:line="11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Any forward-looking statement in this Proxy Statement and statements and reports that are referenced in this Proxy Statement reflect MSCI’s current views with respect to future events and is subject to these and other risks, uncertainties and assumptions relating to MSCI’s operations, results of operations, growth strategy and liquidity. MSCI assumes no obligation to publicly update or revise these forward-looking statements for any reason,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73"/>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47"/>
          <w:szCs w:val="47"/>
          <w:b w:val="1"/>
          <w:bCs w:val="1"/>
          <w:color w:val="1A3FD6"/>
        </w:rPr>
        <w:t>Proxy</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Summary</w:t>
      </w:r>
    </w:p>
    <w:p>
      <w:pPr>
        <w:spacing w:after="0" w:line="296" w:lineRule="exact"/>
        <w:rPr>
          <w:sz w:val="20"/>
          <w:szCs w:val="20"/>
          <w:color w:val="auto"/>
        </w:rPr>
      </w:pPr>
    </w:p>
    <w:p>
      <w:pPr>
        <w:spacing w:after="0" w:line="312" w:lineRule="auto"/>
        <w:rPr>
          <w:sz w:val="20"/>
          <w:szCs w:val="20"/>
          <w:color w:val="auto"/>
        </w:rPr>
      </w:pPr>
      <w:r>
        <w:rPr>
          <w:rFonts w:ascii="Arial" w:cs="Arial" w:eastAsia="Arial" w:hAnsi="Arial"/>
          <w:sz w:val="18"/>
          <w:szCs w:val="18"/>
          <w:b w:val="1"/>
          <w:bCs w:val="1"/>
          <w:color w:val="auto"/>
        </w:rPr>
        <w:t>This summary highlights information contained elsewhere in this Proxy Statement. It does not contain all of the information that you should consider, and you should read the entire Proxy Statement carefully before voting.</w:t>
      </w:r>
    </w:p>
    <w:p>
      <w:pPr>
        <w:sectPr>
          <w:pgSz w:w="11900" w:h="16838" w:orient="portrait"/>
          <w:cols w:equalWidth="0" w:num="1">
            <w:col w:w="10960"/>
          </w:cols>
          <w:pgMar w:left="320" w:top="1207" w:right="61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MSCI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-172085</wp:posOffset>
            </wp:positionV>
            <wp:extent cx="8255" cy="268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2682875"/>
                    </a:xfrm>
                    <a:prstGeom prst="rect">
                      <a:avLst/>
                    </a:prstGeom>
                    <a:noFill/>
                  </pic:spPr>
                </pic:pic>
              </a:graphicData>
            </a:graphic>
          </wp:anchor>
        </w:drawing>
      </w:r>
    </w:p>
    <w:p>
      <w:pPr>
        <w:spacing w:after="0" w:line="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Our research-based data, analytics and indexes, supported by advanced technology, set standards for global investors and help our clients understand risks and opportunities, make better investment decisions and unlock innovation.</w:t>
      </w:r>
    </w:p>
    <w:p>
      <w:pPr>
        <w:spacing w:after="0" w:line="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MSCI Inc. trades under the symbol “MSCI” on the New York Stock Exchange (“NYSE”) and as of February 27, 2026 had a market capitalization of $41.8 billion.</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Enabling Participants in the Investment Process</w:t>
      </w:r>
    </w:p>
    <w:p>
      <w:pPr>
        <w:spacing w:after="0" w:line="200" w:lineRule="exact"/>
        <w:rPr>
          <w:sz w:val="20"/>
          <w:szCs w:val="20"/>
          <w:color w:val="auto"/>
        </w:rPr>
      </w:pPr>
    </w:p>
    <w:p>
      <w:pPr>
        <w:spacing w:after="0" w:line="24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PROVIDERS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368300"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pacing w:after="0" w:line="53" w:lineRule="exact"/>
        <w:rPr>
          <w:sz w:val="20"/>
          <w:szCs w:val="20"/>
          <w:color w:val="auto"/>
        </w:rPr>
      </w:pPr>
    </w:p>
    <w:p>
      <w:pPr>
        <w:ind w:left="960" w:right="880"/>
        <w:spacing w:after="0" w:line="334" w:lineRule="auto"/>
        <w:rPr>
          <w:sz w:val="20"/>
          <w:szCs w:val="20"/>
          <w:color w:val="auto"/>
        </w:rPr>
      </w:pPr>
      <w:r>
        <w:rPr>
          <w:rFonts w:ascii="Arial" w:cs="Arial" w:eastAsia="Arial" w:hAnsi="Arial"/>
          <w:sz w:val="14"/>
          <w:szCs w:val="14"/>
          <w:color w:val="auto"/>
        </w:rPr>
        <w:t xml:space="preserve">Enabling asset owners and managers to </w:t>
      </w:r>
      <w:r>
        <w:rPr>
          <w:rFonts w:ascii="Arial" w:cs="Arial" w:eastAsia="Arial" w:hAnsi="Arial"/>
          <w:sz w:val="14"/>
          <w:szCs w:val="14"/>
          <w:b w:val="1"/>
          <w:bCs w:val="1"/>
          <w:color w:val="auto"/>
        </w:rPr>
        <w:t>make better investment decisions and</w:t>
      </w:r>
      <w:r>
        <w:rPr>
          <w:rFonts w:ascii="Arial" w:cs="Arial" w:eastAsia="Arial" w:hAnsi="Arial"/>
          <w:sz w:val="14"/>
          <w:szCs w:val="14"/>
          <w:color w:val="auto"/>
        </w:rPr>
        <w:t xml:space="preserve"> </w:t>
      </w:r>
      <w:r>
        <w:rPr>
          <w:rFonts w:ascii="Arial" w:cs="Arial" w:eastAsia="Arial" w:hAnsi="Arial"/>
          <w:sz w:val="14"/>
          <w:szCs w:val="14"/>
          <w:b w:val="1"/>
          <w:bCs w:val="1"/>
          <w:color w:val="auto"/>
        </w:rPr>
        <w:t>build better portfolios</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USERS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-7620</wp:posOffset>
            </wp:positionV>
            <wp:extent cx="36830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300" cy="205740"/>
                    </a:xfrm>
                    <a:prstGeom prst="rect">
                      <a:avLst/>
                    </a:prstGeom>
                    <a:noFill/>
                  </pic:spPr>
                </pic:pic>
              </a:graphicData>
            </a:graphic>
          </wp:anchor>
        </w:drawing>
      </w:r>
    </w:p>
    <w:p>
      <w:pPr>
        <w:spacing w:after="0" w:line="53" w:lineRule="exact"/>
        <w:rPr>
          <w:sz w:val="20"/>
          <w:szCs w:val="20"/>
          <w:color w:val="auto"/>
        </w:rPr>
      </w:pPr>
    </w:p>
    <w:p>
      <w:pPr>
        <w:ind w:left="960" w:right="380"/>
        <w:spacing w:after="0" w:line="334" w:lineRule="auto"/>
        <w:rPr>
          <w:sz w:val="20"/>
          <w:szCs w:val="20"/>
          <w:color w:val="auto"/>
        </w:rPr>
      </w:pPr>
      <w:r>
        <w:rPr>
          <w:rFonts w:ascii="Arial" w:cs="Arial" w:eastAsia="Arial" w:hAnsi="Arial"/>
          <w:sz w:val="14"/>
          <w:szCs w:val="14"/>
          <w:color w:val="auto"/>
        </w:rPr>
        <w:t xml:space="preserve">Enabling corporates and others to </w:t>
      </w:r>
      <w:r>
        <w:rPr>
          <w:rFonts w:ascii="Arial" w:cs="Arial" w:eastAsia="Arial" w:hAnsi="Arial"/>
          <w:sz w:val="14"/>
          <w:szCs w:val="14"/>
          <w:b w:val="1"/>
          <w:bCs w:val="1"/>
          <w:color w:val="auto"/>
        </w:rPr>
        <w:t>understand sustainability risks, benchmark against</w:t>
      </w:r>
      <w:r>
        <w:rPr>
          <w:rFonts w:ascii="Arial" w:cs="Arial" w:eastAsia="Arial" w:hAnsi="Arial"/>
          <w:sz w:val="14"/>
          <w:szCs w:val="14"/>
          <w:color w:val="auto"/>
        </w:rPr>
        <w:t xml:space="preserve"> </w:t>
      </w:r>
      <w:r>
        <w:rPr>
          <w:rFonts w:ascii="Arial" w:cs="Arial" w:eastAsia="Arial" w:hAnsi="Arial"/>
          <w:sz w:val="14"/>
          <w:szCs w:val="14"/>
          <w:b w:val="1"/>
          <w:bCs w:val="1"/>
          <w:color w:val="auto"/>
        </w:rPr>
        <w:t>peers and inform engagement with shareholders</w:t>
      </w: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FINANCIAL INTERMEDIARIES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-67310</wp:posOffset>
            </wp:positionV>
            <wp:extent cx="282575"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575" cy="325755"/>
                    </a:xfrm>
                    <a:prstGeom prst="rect">
                      <a:avLst/>
                    </a:prstGeom>
                    <a:noFill/>
                  </pic:spPr>
                </pic:pic>
              </a:graphicData>
            </a:graphic>
          </wp:anchor>
        </w:drawing>
      </w:r>
    </w:p>
    <w:p>
      <w:pPr>
        <w:spacing w:after="0" w:line="53" w:lineRule="exact"/>
        <w:rPr>
          <w:sz w:val="20"/>
          <w:szCs w:val="20"/>
          <w:color w:val="auto"/>
        </w:rPr>
      </w:pPr>
    </w:p>
    <w:p>
      <w:pPr>
        <w:ind w:left="960" w:right="840"/>
        <w:spacing w:after="0" w:line="334" w:lineRule="auto"/>
        <w:rPr>
          <w:sz w:val="20"/>
          <w:szCs w:val="20"/>
          <w:color w:val="auto"/>
        </w:rPr>
      </w:pPr>
      <w:r>
        <w:rPr>
          <w:rFonts w:ascii="Arial" w:cs="Arial" w:eastAsia="Arial" w:hAnsi="Arial"/>
          <w:sz w:val="14"/>
          <w:szCs w:val="14"/>
          <w:color w:val="auto"/>
        </w:rPr>
        <w:t xml:space="preserve">Enabling banks, broker dealers, exchanges, custodians and others to </w:t>
      </w:r>
      <w:r>
        <w:rPr>
          <w:rFonts w:ascii="Arial" w:cs="Arial" w:eastAsia="Arial" w:hAnsi="Arial"/>
          <w:sz w:val="14"/>
          <w:szCs w:val="14"/>
          <w:b w:val="1"/>
          <w:bCs w:val="1"/>
          <w:color w:val="auto"/>
        </w:rPr>
        <w:t>improve the</w:t>
      </w:r>
      <w:r>
        <w:rPr>
          <w:rFonts w:ascii="Arial" w:cs="Arial" w:eastAsia="Arial" w:hAnsi="Arial"/>
          <w:sz w:val="14"/>
          <w:szCs w:val="14"/>
          <w:color w:val="auto"/>
        </w:rPr>
        <w:t xml:space="preserve"> </w:t>
      </w:r>
      <w:r>
        <w:rPr>
          <w:rFonts w:ascii="Arial" w:cs="Arial" w:eastAsia="Arial" w:hAnsi="Arial"/>
          <w:sz w:val="14"/>
          <w:szCs w:val="14"/>
          <w:b w:val="1"/>
          <w:bCs w:val="1"/>
          <w:color w:val="auto"/>
        </w:rPr>
        <w:t>investment process with more transparency</w:t>
      </w:r>
    </w:p>
    <w:p>
      <w:pPr>
        <w:spacing w:after="0" w:line="200" w:lineRule="exact"/>
        <w:rPr>
          <w:sz w:val="20"/>
          <w:szCs w:val="20"/>
          <w:color w:val="auto"/>
        </w:rPr>
      </w:pPr>
    </w:p>
    <w:p>
      <w:pPr>
        <w:sectPr>
          <w:pgSz w:w="11900" w:h="16838" w:orient="portrait"/>
          <w:cols w:equalWidth="0" w:num="2">
            <w:col w:w="3280" w:space="620"/>
            <w:col w:w="7060"/>
          </w:cols>
          <w:pgMar w:left="320" w:top="1207"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Positioned for Growth in the Rapidly Evolving Market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06285" cy="164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645920"/>
                    </a:xfrm>
                    <a:prstGeom prst="rect">
                      <a:avLst/>
                    </a:prstGeom>
                    <a:noFill/>
                  </pic:spPr>
                </pic:pic>
              </a:graphicData>
            </a:graphic>
          </wp:anchor>
        </w:drawing>
      </w:r>
    </w:p>
    <w:p>
      <w:pPr>
        <w:sectPr>
          <w:pgSz w:w="11900" w:h="16838" w:orient="portrait"/>
          <w:cols w:equalWidth="0" w:num="1">
            <w:col w:w="10960"/>
          </w:cols>
          <w:pgMar w:left="320" w:top="1207" w:right="61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The Data and Technology</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FFFFFF"/>
        </w:rPr>
        <w:t>Paradigm Shift</w:t>
      </w:r>
    </w:p>
    <w:p>
      <w:pPr>
        <w:spacing w:after="0" w:line="124" w:lineRule="exact"/>
        <w:rPr>
          <w:sz w:val="20"/>
          <w:szCs w:val="20"/>
          <w:color w:val="auto"/>
        </w:rPr>
      </w:pPr>
    </w:p>
    <w:p>
      <w:pPr>
        <w:ind w:left="220" w:right="440"/>
        <w:spacing w:after="0" w:line="282" w:lineRule="auto"/>
        <w:rPr>
          <w:sz w:val="20"/>
          <w:szCs w:val="20"/>
          <w:color w:val="auto"/>
        </w:rPr>
      </w:pPr>
      <w:r>
        <w:rPr>
          <w:rFonts w:ascii="Arial" w:cs="Arial" w:eastAsia="Arial" w:hAnsi="Arial"/>
          <w:sz w:val="16"/>
          <w:szCs w:val="16"/>
          <w:color w:val="FFFFFF"/>
        </w:rPr>
        <w:t>We are expanding our proprietary data-building capabilities powered by Generative AI to help clients access more granular information quicker with more sophisticated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882650</wp:posOffset>
            </wp:positionV>
            <wp:extent cx="55689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of Alternative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Providers</w:t>
      </w:r>
    </w:p>
    <w:p>
      <w:pPr>
        <w:spacing w:after="0" w:line="124" w:lineRule="exact"/>
        <w:rPr>
          <w:sz w:val="20"/>
          <w:szCs w:val="20"/>
          <w:color w:val="auto"/>
        </w:rPr>
      </w:pPr>
    </w:p>
    <w:p>
      <w:pPr>
        <w:ind w:right="460"/>
        <w:spacing w:after="0" w:line="282" w:lineRule="auto"/>
        <w:rPr>
          <w:sz w:val="20"/>
          <w:szCs w:val="20"/>
          <w:color w:val="auto"/>
        </w:rPr>
      </w:pPr>
      <w:r>
        <w:rPr>
          <w:rFonts w:ascii="Arial" w:cs="Arial" w:eastAsia="Arial" w:hAnsi="Arial"/>
          <w:sz w:val="16"/>
          <w:szCs w:val="16"/>
          <w:color w:val="auto"/>
        </w:rPr>
        <w:t>We are focused on building tools and solutions for private-asset funds and wealth managers to develop personalized solutions that support scalable and outcome-oriented portfolios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right="660"/>
        <w:spacing w:after="0" w:line="314" w:lineRule="auto"/>
        <w:rPr>
          <w:sz w:val="20"/>
          <w:szCs w:val="20"/>
          <w:color w:val="auto"/>
        </w:rPr>
      </w:pPr>
      <w:r>
        <w:rPr>
          <w:rFonts w:ascii="Arial" w:cs="Arial" w:eastAsia="Arial" w:hAnsi="Arial"/>
          <w:sz w:val="16"/>
          <w:szCs w:val="16"/>
          <w:b w:val="1"/>
          <w:bCs w:val="1"/>
          <w:color w:val="auto"/>
        </w:rPr>
        <w:t>The Reimagining of Investment Risk and Opportunity</w:t>
      </w:r>
    </w:p>
    <w:p>
      <w:pPr>
        <w:spacing w:after="0" w:line="45"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color w:val="auto"/>
        </w:rPr>
        <w:t>We are responding to our clients’ need for tools and insights to help evaluate investment risks and opportunities, including amid complex regulatory environments and shifting priorities around sustainability and climate change</w:t>
      </w:r>
    </w:p>
    <w:p>
      <w:pPr>
        <w:spacing w:after="0" w:line="200" w:lineRule="exact"/>
        <w:rPr>
          <w:sz w:val="20"/>
          <w:szCs w:val="20"/>
          <w:color w:val="auto"/>
        </w:rPr>
      </w:pPr>
    </w:p>
    <w:p>
      <w:pPr>
        <w:sectPr>
          <w:pgSz w:w="11900" w:h="16838" w:orient="portrait"/>
          <w:cols w:equalWidth="0" w:num="3">
            <w:col w:w="3320" w:space="720"/>
            <w:col w:w="3120" w:space="720"/>
            <w:col w:w="3080"/>
          </w:cols>
          <w:pgMar w:left="320" w:top="1207"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07" w:right="61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Strong Financial Performance</w:t>
      </w:r>
    </w:p>
    <w:p>
      <w:pPr>
        <w:spacing w:after="0" w:line="167" w:lineRule="exact"/>
        <w:rPr>
          <w:sz w:val="20"/>
          <w:szCs w:val="20"/>
          <w:color w:val="auto"/>
        </w:rPr>
      </w:pPr>
    </w:p>
    <w:p>
      <w:pPr>
        <w:jc w:val="both"/>
        <w:ind w:right="380"/>
        <w:spacing w:after="0" w:line="292" w:lineRule="auto"/>
        <w:rPr>
          <w:sz w:val="20"/>
          <w:szCs w:val="20"/>
          <w:color w:val="auto"/>
        </w:rPr>
      </w:pPr>
      <w:r>
        <w:rPr>
          <w:rFonts w:ascii="Arial" w:cs="Arial" w:eastAsia="Arial" w:hAnsi="Arial"/>
          <w:sz w:val="16"/>
          <w:szCs w:val="16"/>
          <w:color w:val="auto"/>
        </w:rPr>
        <w:t>In 2025, we continued to execute a focused strategy to accelerate growth, improve efficiency and attract the best talent. MSCI delivered another year of growth across key financial and operating measures, reflecting the strength of our subscription-based business model and demand for our products that bring clarity to investment decisions. Our strong results reflect our commitment to building long-term shareholder value.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highlights for the year ended December 31, 2025 include the following:</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101600</wp:posOffset>
            </wp:positionV>
            <wp:extent cx="8890" cy="4663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4663440"/>
                    </a:xfrm>
                    <a:prstGeom prst="rect">
                      <a:avLst/>
                    </a:prstGeom>
                    <a:noFill/>
                  </pic:spPr>
                </pic:pic>
              </a:graphicData>
            </a:graphic>
          </wp:anchor>
        </w:drawing>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080" w:type="dxa"/>
            <w:vAlign w:val="bottom"/>
          </w:tcPr>
          <w:p>
            <w:pPr>
              <w:spacing w:after="0"/>
              <w:rPr>
                <w:sz w:val="20"/>
                <w:szCs w:val="20"/>
                <w:color w:val="auto"/>
              </w:rPr>
            </w:pPr>
            <w:r>
              <w:rPr>
                <w:rFonts w:ascii="Arial" w:cs="Arial" w:eastAsia="Arial" w:hAnsi="Arial"/>
                <w:sz w:val="16"/>
                <w:szCs w:val="16"/>
                <w:b w:val="1"/>
                <w:bCs w:val="1"/>
                <w:color w:val="1A3FD6"/>
              </w:rPr>
              <w:t>Operating Revenues</w:t>
            </w:r>
          </w:p>
        </w:tc>
        <w:tc>
          <w:tcPr>
            <w:tcW w:w="5700" w:type="dxa"/>
            <w:vAlign w:val="bottom"/>
          </w:tcPr>
          <w:p>
            <w:pPr>
              <w:ind w:left="1780"/>
              <w:spacing w:after="0"/>
              <w:rPr>
                <w:sz w:val="20"/>
                <w:szCs w:val="20"/>
                <w:color w:val="auto"/>
              </w:rPr>
            </w:pPr>
            <w:r>
              <w:rPr>
                <w:rFonts w:ascii="Arial" w:cs="Arial" w:eastAsia="Arial" w:hAnsi="Arial"/>
                <w:sz w:val="16"/>
                <w:szCs w:val="16"/>
                <w:b w:val="1"/>
                <w:bCs w:val="1"/>
                <w:color w:val="1A3FD6"/>
              </w:rPr>
              <w:t>Net Income / Operating Income / Adjusted EBITDA*</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(in millions except percentages)</w:t>
            </w:r>
          </w:p>
        </w:tc>
        <w:tc>
          <w:tcPr>
            <w:tcW w:w="5700" w:type="dxa"/>
            <w:vAlign w:val="bottom"/>
          </w:tcPr>
          <w:p>
            <w:pPr>
              <w:ind w:left="1780"/>
              <w:spacing w:after="0"/>
              <w:rPr>
                <w:sz w:val="20"/>
                <w:szCs w:val="20"/>
                <w:color w:val="auto"/>
              </w:rPr>
            </w:pPr>
            <w:r>
              <w:rPr>
                <w:rFonts w:ascii="Arial" w:cs="Arial" w:eastAsia="Arial" w:hAnsi="Arial"/>
                <w:sz w:val="16"/>
                <w:szCs w:val="16"/>
                <w:color w:val="auto"/>
              </w:rPr>
              <w:t>(in millions except percentages)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2084705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6266180" cy="1731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66180" cy="17316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6266180" cy="17316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6618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020" w:type="dxa"/>
            <w:vAlign w:val="bottom"/>
          </w:tcPr>
          <w:p>
            <w:pPr>
              <w:spacing w:after="0"/>
              <w:rPr>
                <w:sz w:val="20"/>
                <w:szCs w:val="20"/>
                <w:color w:val="auto"/>
              </w:rPr>
            </w:pPr>
            <w:r>
              <w:rPr>
                <w:rFonts w:ascii="Arial" w:cs="Arial" w:eastAsia="Arial" w:hAnsi="Arial"/>
                <w:sz w:val="16"/>
                <w:szCs w:val="16"/>
                <w:b w:val="1"/>
                <w:bCs w:val="1"/>
                <w:color w:val="1A3FD6"/>
              </w:rPr>
              <w:t>Diluted EPS / Adjusted EPS*</w:t>
            </w:r>
          </w:p>
        </w:tc>
        <w:tc>
          <w:tcPr>
            <w:tcW w:w="4120" w:type="dxa"/>
            <w:vAlign w:val="bottom"/>
          </w:tcPr>
          <w:p>
            <w:pPr>
              <w:ind w:left="1840"/>
              <w:spacing w:after="0"/>
              <w:rPr>
                <w:sz w:val="20"/>
                <w:szCs w:val="20"/>
                <w:color w:val="auto"/>
              </w:rPr>
            </w:pPr>
            <w:r>
              <w:rPr>
                <w:rFonts w:ascii="Arial" w:cs="Arial" w:eastAsia="Arial" w:hAnsi="Arial"/>
                <w:sz w:val="16"/>
                <w:szCs w:val="16"/>
                <w:b w:val="1"/>
                <w:bCs w:val="1"/>
                <w:color w:val="1A3FD6"/>
              </w:rPr>
              <w:t>Run Rate**</w:t>
            </w:r>
          </w:p>
        </w:tc>
      </w:tr>
      <w:tr>
        <w:trPr>
          <w:trHeight w:val="215"/>
        </w:trPr>
        <w:tc>
          <w:tcPr>
            <w:tcW w:w="4020" w:type="dxa"/>
            <w:vAlign w:val="bottom"/>
          </w:tcPr>
          <w:p>
            <w:pPr>
              <w:spacing w:after="0"/>
              <w:rPr>
                <w:sz w:val="20"/>
                <w:szCs w:val="20"/>
                <w:color w:val="auto"/>
              </w:rPr>
            </w:pPr>
            <w:r>
              <w:rPr>
                <w:rFonts w:ascii="Arial" w:cs="Arial" w:eastAsia="Arial" w:hAnsi="Arial"/>
                <w:sz w:val="16"/>
                <w:szCs w:val="16"/>
                <w:color w:val="auto"/>
              </w:rPr>
              <w:t>(unaudited)</w:t>
            </w:r>
          </w:p>
        </w:tc>
        <w:tc>
          <w:tcPr>
            <w:tcW w:w="4120" w:type="dxa"/>
            <w:vAlign w:val="bottom"/>
          </w:tcPr>
          <w:p>
            <w:pPr>
              <w:ind w:left="1840"/>
              <w:spacing w:after="0"/>
              <w:rPr>
                <w:sz w:val="20"/>
                <w:szCs w:val="20"/>
                <w:color w:val="auto"/>
              </w:rPr>
            </w:pPr>
            <w:r>
              <w:rPr>
                <w:rFonts w:ascii="Arial" w:cs="Arial" w:eastAsia="Arial" w:hAnsi="Arial"/>
                <w:sz w:val="16"/>
                <w:szCs w:val="16"/>
                <w:color w:val="auto"/>
              </w:rPr>
              <w:t>(in millions except percentages)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86995</wp:posOffset>
            </wp:positionV>
            <wp:extent cx="6266180" cy="17316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66180" cy="17316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6266180" cy="1731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6618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240" w:hanging="252"/>
        <w:spacing w:after="0" w:line="282" w:lineRule="auto"/>
        <w:tabs>
          <w:tab w:leader="none" w:pos="217" w:val="left"/>
        </w:tabs>
        <w:numPr>
          <w:ilvl w:val="0"/>
          <w:numId w:val="7"/>
        </w:numPr>
        <w:rPr>
          <w:rFonts w:ascii="Arial" w:cs="Arial" w:eastAsia="Arial" w:hAnsi="Arial"/>
          <w:sz w:val="14"/>
          <w:szCs w:val="14"/>
          <w:color w:val="auto"/>
        </w:rPr>
      </w:pPr>
      <w:r>
        <w:rPr>
          <w:rFonts w:ascii="Arial" w:cs="Arial" w:eastAsia="Arial" w:hAnsi="Arial"/>
          <w:sz w:val="14"/>
          <w:szCs w:val="14"/>
          <w:color w:val="auto"/>
        </w:rPr>
        <w:t>MSCI has presented supplemental non-GAAP financial measures as part of this Proxy Statement. Definitions of and a reconciliation of each non-GAAP financial measure with the most comparable GAAP measure are set forth in Annex B. These non-GAAP financial measures should not be considered as alternative measures for the most</w:t>
      </w:r>
    </w:p>
    <w:p>
      <w:pPr>
        <w:spacing w:after="0" w:line="1" w:lineRule="exact"/>
        <w:rPr>
          <w:sz w:val="20"/>
          <w:szCs w:val="20"/>
          <w:color w:val="auto"/>
        </w:rPr>
      </w:pPr>
    </w:p>
    <w:p>
      <w:pPr>
        <w:ind w:left="260" w:right="400"/>
        <w:spacing w:after="0" w:line="281" w:lineRule="auto"/>
        <w:rPr>
          <w:sz w:val="20"/>
          <w:szCs w:val="20"/>
          <w:color w:val="auto"/>
        </w:rPr>
      </w:pPr>
      <w:r>
        <w:rPr>
          <w:rFonts w:ascii="Arial" w:cs="Arial" w:eastAsia="Arial" w:hAnsi="Arial"/>
          <w:sz w:val="14"/>
          <w:szCs w:val="14"/>
          <w:color w:val="auto"/>
        </w:rPr>
        <w:t>directly comparable GAAP financial measures. The non-GAAP financial measures presented in this Proxy Statement are used by management to monitor the financial performance of the business, inform business decision-making and forecast future results.</w:t>
      </w:r>
    </w:p>
    <w:p>
      <w:pPr>
        <w:spacing w:after="0" w:line="1" w:lineRule="exact"/>
        <w:rPr>
          <w:sz w:val="20"/>
          <w:szCs w:val="20"/>
          <w:color w:val="auto"/>
        </w:rPr>
      </w:pPr>
    </w:p>
    <w:p>
      <w:pPr>
        <w:ind w:left="260" w:right="160" w:hanging="252"/>
        <w:spacing w:after="0" w:line="288" w:lineRule="auto"/>
        <w:tabs>
          <w:tab w:leader="none" w:pos="273" w:val="left"/>
        </w:tabs>
        <w:numPr>
          <w:ilvl w:val="0"/>
          <w:numId w:val="8"/>
        </w:numPr>
        <w:rPr>
          <w:rFonts w:ascii="Arial" w:cs="Arial" w:eastAsia="Arial" w:hAnsi="Arial"/>
          <w:sz w:val="14"/>
          <w:szCs w:val="14"/>
          <w:color w:val="auto"/>
        </w:rPr>
      </w:pPr>
      <w:r>
        <w:rPr>
          <w:rFonts w:ascii="Arial" w:cs="Arial" w:eastAsia="Arial" w:hAnsi="Arial"/>
          <w:sz w:val="14"/>
          <w:szCs w:val="14"/>
          <w:color w:val="auto"/>
        </w:rPr>
        <w:t>Run Rate is a key operating metric and is important because any increase or decrease ultimately impacts our future operating revenues over time. A substantial portion of MSCI’s operating revenues is derived from recurring subscriptions or licenses for products and services that are ongoing in nature and provided over contractually agreed periods, which are subject to renewal or cancellation upon the expiration of the then current term. We measure the fees related to these agreements and refer to this as “Run Rate.” See page 124 of this Proxy Statement for additional information on Run Rate.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4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387"/>
        </w:trPr>
        <w:tc>
          <w:tcPr>
            <w:tcW w:w="10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Capital Allocation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977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6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LONG-TERM VALUE CREATION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FFFFFF"/>
        </w:rPr>
        <w:t xml:space="preserve">~55.3 million </w:t>
      </w:r>
      <w:r>
        <w:rPr>
          <w:rFonts w:ascii="Arial" w:cs="Arial" w:eastAsia="Arial" w:hAnsi="Arial"/>
          <w:sz w:val="25"/>
          <w:szCs w:val="25"/>
          <w:b w:val="1"/>
          <w:bCs w:val="1"/>
          <w:color w:val="FFFFFF"/>
        </w:rPr>
        <w:t>shares with a total value of</w:t>
      </w:r>
      <w:r>
        <w:rPr>
          <w:rFonts w:ascii="Arial" w:cs="Arial" w:eastAsia="Arial" w:hAnsi="Arial"/>
          <w:sz w:val="29"/>
          <w:szCs w:val="29"/>
          <w:b w:val="1"/>
          <w:bCs w:val="1"/>
          <w:color w:val="FFFFFF"/>
        </w:rPr>
        <w:t xml:space="preserve"> ~$9.0 billion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repurchased since 2012 (as of December 31, 2025)</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Demonstrating disciplined, long-term capital allocation that has created significant value for shareholders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498"/>
        </w:trPr>
        <w:tc>
          <w:tcPr>
            <w:tcW w:w="3860" w:type="dxa"/>
            <w:vAlign w:val="bottom"/>
            <w:tcBorders>
              <w:right w:val="single" w:sz="8" w:color="00C4B3"/>
            </w:tcBorders>
          </w:tcPr>
          <w:p>
            <w:pPr>
              <w:spacing w:after="0"/>
              <w:rPr>
                <w:sz w:val="20"/>
                <w:szCs w:val="20"/>
                <w:color w:val="auto"/>
              </w:rPr>
            </w:pPr>
            <w:r>
              <w:rPr>
                <w:rFonts w:ascii="Arial" w:cs="Arial" w:eastAsia="Arial" w:hAnsi="Arial"/>
                <w:sz w:val="32"/>
                <w:szCs w:val="32"/>
                <w:b w:val="1"/>
                <w:bCs w:val="1"/>
                <w:color w:val="1A3FD6"/>
              </w:rPr>
              <w:t xml:space="preserve">~$7.3 </w:t>
            </w:r>
            <w:r>
              <w:rPr>
                <w:rFonts w:ascii="Arial" w:cs="Arial" w:eastAsia="Arial" w:hAnsi="Arial"/>
                <w:sz w:val="17"/>
                <w:szCs w:val="17"/>
                <w:b w:val="1"/>
                <w:bCs w:val="1"/>
                <w:color w:val="7188EF"/>
              </w:rPr>
              <w:t>billion</w:t>
            </w:r>
          </w:p>
        </w:tc>
        <w:tc>
          <w:tcPr>
            <w:tcW w:w="3840" w:type="dxa"/>
            <w:vAlign w:val="bottom"/>
            <w:tcBorders>
              <w:right w:val="single" w:sz="8" w:color="00C4B3"/>
            </w:tcBorders>
          </w:tcPr>
          <w:p>
            <w:pPr>
              <w:ind w:left="420"/>
              <w:spacing w:after="0"/>
              <w:rPr>
                <w:sz w:val="20"/>
                <w:szCs w:val="20"/>
                <w:color w:val="auto"/>
              </w:rPr>
            </w:pPr>
            <w:r>
              <w:rPr>
                <w:rFonts w:ascii="Arial" w:cs="Arial" w:eastAsia="Arial" w:hAnsi="Arial"/>
                <w:sz w:val="32"/>
                <w:szCs w:val="32"/>
                <w:b w:val="1"/>
                <w:bCs w:val="1"/>
                <w:color w:val="1A3FD6"/>
              </w:rPr>
              <w:t xml:space="preserve">~9.9 </w:t>
            </w:r>
            <w:r>
              <w:rPr>
                <w:rFonts w:ascii="Arial" w:cs="Arial" w:eastAsia="Arial" w:hAnsi="Arial"/>
                <w:sz w:val="17"/>
                <w:szCs w:val="17"/>
                <w:b w:val="1"/>
                <w:bCs w:val="1"/>
                <w:color w:val="7188EF"/>
              </w:rPr>
              <w:t>million</w:t>
            </w:r>
          </w:p>
        </w:tc>
        <w:tc>
          <w:tcPr>
            <w:tcW w:w="3300" w:type="dxa"/>
            <w:vAlign w:val="bottom"/>
          </w:tcPr>
          <w:p>
            <w:pPr>
              <w:ind w:left="420"/>
              <w:spacing w:after="0"/>
              <w:rPr>
                <w:sz w:val="20"/>
                <w:szCs w:val="20"/>
                <w:color w:val="auto"/>
              </w:rPr>
            </w:pPr>
            <w:r>
              <w:rPr>
                <w:rFonts w:ascii="Arial" w:cs="Arial" w:eastAsia="Arial" w:hAnsi="Arial"/>
                <w:sz w:val="32"/>
                <w:szCs w:val="32"/>
                <w:b w:val="1"/>
                <w:bCs w:val="1"/>
                <w:color w:val="1A3FD6"/>
              </w:rPr>
              <w:t xml:space="preserve">~12.5 </w:t>
            </w:r>
            <w:r>
              <w:rPr>
                <w:rFonts w:ascii="Arial" w:cs="Arial" w:eastAsia="Arial" w:hAnsi="Arial"/>
                <w:sz w:val="17"/>
                <w:szCs w:val="17"/>
                <w:b w:val="1"/>
                <w:bCs w:val="1"/>
                <w:color w:val="7188EF"/>
              </w:rPr>
              <w:t>percent</w:t>
            </w:r>
          </w:p>
        </w:tc>
      </w:tr>
      <w:tr>
        <w:trPr>
          <w:trHeight w:val="181"/>
        </w:trPr>
        <w:tc>
          <w:tcPr>
            <w:tcW w:w="3860" w:type="dxa"/>
            <w:vAlign w:val="bottom"/>
            <w:tcBorders>
              <w:right w:val="single" w:sz="8" w:color="00C4B3"/>
            </w:tcBorders>
          </w:tcPr>
          <w:p>
            <w:pPr>
              <w:spacing w:after="0"/>
              <w:rPr>
                <w:sz w:val="20"/>
                <w:szCs w:val="20"/>
                <w:color w:val="auto"/>
              </w:rPr>
            </w:pPr>
            <w:r>
              <w:rPr>
                <w:rFonts w:ascii="Arial" w:cs="Arial" w:eastAsia="Arial" w:hAnsi="Arial"/>
                <w:sz w:val="14"/>
                <w:szCs w:val="14"/>
                <w:color w:val="auto"/>
              </w:rPr>
              <w:t>Capital returned in the last five years (as of</w:t>
            </w:r>
          </w:p>
        </w:tc>
        <w:tc>
          <w:tcPr>
            <w:tcW w:w="3840" w:type="dxa"/>
            <w:vAlign w:val="bottom"/>
            <w:tcBorders>
              <w:right w:val="single" w:sz="8" w:color="00C4B3"/>
            </w:tcBorders>
          </w:tcPr>
          <w:p>
            <w:pPr>
              <w:ind w:left="420"/>
              <w:spacing w:after="0"/>
              <w:rPr>
                <w:sz w:val="20"/>
                <w:szCs w:val="20"/>
                <w:color w:val="auto"/>
              </w:rPr>
            </w:pPr>
            <w:r>
              <w:rPr>
                <w:rFonts w:ascii="Arial" w:cs="Arial" w:eastAsia="Arial" w:hAnsi="Arial"/>
                <w:sz w:val="14"/>
                <w:szCs w:val="14"/>
                <w:color w:val="auto"/>
              </w:rPr>
              <w:t>Shares repurchased in the last five years (as</w:t>
            </w:r>
          </w:p>
        </w:tc>
        <w:tc>
          <w:tcPr>
            <w:tcW w:w="3300" w:type="dxa"/>
            <w:vAlign w:val="bottom"/>
          </w:tcPr>
          <w:p>
            <w:pPr>
              <w:ind w:left="420"/>
              <w:spacing w:after="0"/>
              <w:rPr>
                <w:sz w:val="20"/>
                <w:szCs w:val="20"/>
                <w:color w:val="auto"/>
              </w:rPr>
            </w:pPr>
            <w:r>
              <w:rPr>
                <w:rFonts w:ascii="Arial" w:cs="Arial" w:eastAsia="Arial" w:hAnsi="Arial"/>
                <w:sz w:val="14"/>
                <w:szCs w:val="14"/>
                <w:color w:val="auto"/>
              </w:rPr>
              <w:t>2025 increase in quarterly per-share dividend</w:t>
            </w:r>
          </w:p>
        </w:tc>
      </w:tr>
      <w:tr>
        <w:trPr>
          <w:trHeight w:val="190"/>
        </w:trPr>
        <w:tc>
          <w:tcPr>
            <w:tcW w:w="3860" w:type="dxa"/>
            <w:vAlign w:val="bottom"/>
            <w:tcBorders>
              <w:right w:val="single" w:sz="8" w:color="00C4B3"/>
            </w:tcBorders>
          </w:tcPr>
          <w:p>
            <w:pPr>
              <w:spacing w:after="0"/>
              <w:rPr>
                <w:sz w:val="20"/>
                <w:szCs w:val="20"/>
                <w:color w:val="auto"/>
              </w:rPr>
            </w:pPr>
            <w:r>
              <w:rPr>
                <w:rFonts w:ascii="Arial" w:cs="Arial" w:eastAsia="Arial" w:hAnsi="Arial"/>
                <w:sz w:val="14"/>
                <w:szCs w:val="14"/>
                <w:color w:val="auto"/>
              </w:rPr>
              <w:t>December 31, 2025) (includes dividends)</w:t>
            </w:r>
          </w:p>
        </w:tc>
        <w:tc>
          <w:tcPr>
            <w:tcW w:w="3840" w:type="dxa"/>
            <w:vAlign w:val="bottom"/>
            <w:tcBorders>
              <w:right w:val="single" w:sz="8" w:color="00C4B3"/>
            </w:tcBorders>
          </w:tcPr>
          <w:p>
            <w:pPr>
              <w:ind w:left="420"/>
              <w:spacing w:after="0"/>
              <w:rPr>
                <w:sz w:val="20"/>
                <w:szCs w:val="20"/>
                <w:color w:val="auto"/>
              </w:rPr>
            </w:pPr>
            <w:r>
              <w:rPr>
                <w:rFonts w:ascii="Arial" w:cs="Arial" w:eastAsia="Arial" w:hAnsi="Arial"/>
                <w:sz w:val="14"/>
                <w:szCs w:val="14"/>
                <w:color w:val="auto"/>
              </w:rPr>
              <w:t>of December 31, 2025)</w:t>
            </w:r>
          </w:p>
        </w:tc>
        <w:tc>
          <w:tcPr>
            <w:tcW w:w="3300" w:type="dxa"/>
            <w:vAlign w:val="bottom"/>
          </w:tcPr>
          <w:p>
            <w:pPr>
              <w:ind w:left="420"/>
              <w:spacing w:after="0"/>
              <w:rPr>
                <w:sz w:val="20"/>
                <w:szCs w:val="20"/>
                <w:color w:val="auto"/>
              </w:rPr>
            </w:pPr>
            <w:r>
              <w:rPr>
                <w:rFonts w:ascii="Arial" w:cs="Arial" w:eastAsia="Arial" w:hAnsi="Arial"/>
                <w:sz w:val="14"/>
                <w:szCs w:val="14"/>
                <w:color w:val="auto"/>
              </w:rPr>
              <w:t>from $1.60 quarterly to $1.80 quarterly</w:t>
            </w:r>
          </w:p>
        </w:tc>
      </w:tr>
      <w:tr>
        <w:trPr>
          <w:trHeight w:val="157"/>
        </w:trPr>
        <w:tc>
          <w:tcPr>
            <w:tcW w:w="3860" w:type="dxa"/>
            <w:vAlign w:val="bottom"/>
            <w:tcBorders>
              <w:right w:val="single" w:sz="8" w:color="00C4B3"/>
            </w:tcBorders>
          </w:tcPr>
          <w:p>
            <w:pPr>
              <w:spacing w:after="0"/>
              <w:rPr>
                <w:sz w:val="13"/>
                <w:szCs w:val="13"/>
                <w:color w:val="auto"/>
              </w:rPr>
            </w:pPr>
          </w:p>
        </w:tc>
        <w:tc>
          <w:tcPr>
            <w:tcW w:w="3840" w:type="dxa"/>
            <w:vAlign w:val="bottom"/>
            <w:tcBorders>
              <w:right w:val="single" w:sz="8" w:color="00C4B3"/>
            </w:tcBorders>
          </w:tcPr>
          <w:p>
            <w:pPr>
              <w:spacing w:after="0"/>
              <w:rPr>
                <w:sz w:val="13"/>
                <w:szCs w:val="13"/>
                <w:color w:val="auto"/>
              </w:rPr>
            </w:pPr>
          </w:p>
        </w:tc>
        <w:tc>
          <w:tcPr>
            <w:tcW w:w="3300" w:type="dxa"/>
            <w:vAlign w:val="bottom"/>
          </w:tcPr>
          <w:p>
            <w:pPr>
              <w:spacing w:after="0"/>
              <w:rPr>
                <w:sz w:val="13"/>
                <w:szCs w:val="13"/>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Recent Capital Optimization Activities</w:t>
      </w:r>
    </w:p>
    <w:p>
      <w:pPr>
        <w:spacing w:after="0" w:line="11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6"/>
          <w:szCs w:val="16"/>
          <w:color w:val="00A798"/>
        </w:rPr>
      </w:pPr>
      <w:r>
        <w:rPr>
          <w:rFonts w:ascii="Arial" w:cs="Arial" w:eastAsia="Arial" w:hAnsi="Arial"/>
          <w:sz w:val="16"/>
          <w:szCs w:val="16"/>
          <w:color w:val="auto"/>
        </w:rPr>
        <w:t xml:space="preserve">Repurchased </w:t>
      </w:r>
      <w:r>
        <w:rPr>
          <w:rFonts w:ascii="Arial" w:cs="Arial" w:eastAsia="Arial" w:hAnsi="Arial"/>
          <w:sz w:val="16"/>
          <w:szCs w:val="16"/>
          <w:b w:val="1"/>
          <w:bCs w:val="1"/>
          <w:color w:val="auto"/>
        </w:rPr>
        <w:t>~4.3 million shares</w:t>
      </w:r>
      <w:r>
        <w:rPr>
          <w:rFonts w:ascii="Arial" w:cs="Arial" w:eastAsia="Arial" w:hAnsi="Arial"/>
          <w:sz w:val="16"/>
          <w:szCs w:val="16"/>
          <w:color w:val="auto"/>
        </w:rPr>
        <w:t xml:space="preserve"> of our common stock in 2025 at an average price of $559.54 for a total value of </w:t>
      </w:r>
      <w:r>
        <w:rPr>
          <w:rFonts w:ascii="Arial" w:cs="Arial" w:eastAsia="Arial" w:hAnsi="Arial"/>
          <w:sz w:val="16"/>
          <w:szCs w:val="16"/>
          <w:b w:val="1"/>
          <w:bCs w:val="1"/>
          <w:color w:val="auto"/>
        </w:rPr>
        <w:t>$2.4 billion</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9"/>
        </w:numPr>
        <w:rPr>
          <w:rFonts w:ascii="Arial" w:cs="Arial" w:eastAsia="Arial" w:hAnsi="Arial"/>
          <w:sz w:val="16"/>
          <w:szCs w:val="16"/>
          <w:color w:val="00A798"/>
        </w:rPr>
      </w:pPr>
      <w:r>
        <w:rPr>
          <w:rFonts w:ascii="Arial" w:cs="Arial" w:eastAsia="Arial" w:hAnsi="Arial"/>
          <w:sz w:val="16"/>
          <w:szCs w:val="16"/>
          <w:color w:val="auto"/>
        </w:rPr>
        <w:t xml:space="preserve">Issued </w:t>
      </w:r>
      <w:r>
        <w:rPr>
          <w:rFonts w:ascii="Arial" w:cs="Arial" w:eastAsia="Arial" w:hAnsi="Arial"/>
          <w:sz w:val="16"/>
          <w:szCs w:val="16"/>
          <w:b w:val="1"/>
          <w:bCs w:val="1"/>
          <w:color w:val="auto"/>
        </w:rPr>
        <w:t>$1.25 billion</w:t>
      </w:r>
      <w:r>
        <w:rPr>
          <w:rFonts w:ascii="Arial" w:cs="Arial" w:eastAsia="Arial" w:hAnsi="Arial"/>
          <w:sz w:val="16"/>
          <w:szCs w:val="16"/>
          <w:color w:val="auto"/>
        </w:rPr>
        <w:t xml:space="preserve"> of 5.25% senior unsecured notes due 2035 and </w:t>
      </w:r>
      <w:r>
        <w:rPr>
          <w:rFonts w:ascii="Arial" w:cs="Arial" w:eastAsia="Arial" w:hAnsi="Arial"/>
          <w:sz w:val="16"/>
          <w:szCs w:val="16"/>
          <w:b w:val="1"/>
          <w:bCs w:val="1"/>
          <w:color w:val="auto"/>
        </w:rPr>
        <w:t>$500 million</w:t>
      </w:r>
      <w:r>
        <w:rPr>
          <w:rFonts w:ascii="Arial" w:cs="Arial" w:eastAsia="Arial" w:hAnsi="Arial"/>
          <w:sz w:val="16"/>
          <w:szCs w:val="16"/>
          <w:color w:val="auto"/>
        </w:rPr>
        <w:t xml:space="preserve"> of 5.15% senior unsecured notes due 2036</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9"/>
        </w:numPr>
        <w:rPr>
          <w:rFonts w:ascii="Arial" w:cs="Arial" w:eastAsia="Arial" w:hAnsi="Arial"/>
          <w:sz w:val="16"/>
          <w:szCs w:val="16"/>
          <w:color w:val="00A798"/>
        </w:rPr>
      </w:pPr>
      <w:r>
        <w:rPr>
          <w:rFonts w:ascii="Arial" w:cs="Arial" w:eastAsia="Arial" w:hAnsi="Arial"/>
          <w:sz w:val="16"/>
          <w:szCs w:val="16"/>
          <w:color w:val="auto"/>
        </w:rPr>
        <w:t xml:space="preserve">Refinanced credit facilities with new </w:t>
      </w:r>
      <w:r>
        <w:rPr>
          <w:rFonts w:ascii="Arial" w:cs="Arial" w:eastAsia="Arial" w:hAnsi="Arial"/>
          <w:sz w:val="16"/>
          <w:szCs w:val="16"/>
          <w:b w:val="1"/>
          <w:bCs w:val="1"/>
          <w:color w:val="auto"/>
        </w:rPr>
        <w:t>$1.60 billion</w:t>
      </w:r>
      <w:r>
        <w:rPr>
          <w:rFonts w:ascii="Arial" w:cs="Arial" w:eastAsia="Arial" w:hAnsi="Arial"/>
          <w:sz w:val="16"/>
          <w:szCs w:val="16"/>
          <w:color w:val="auto"/>
        </w:rPr>
        <w:t xml:space="preserve"> revolving credit facility extended to August 2030</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Total Shareholder Return</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following graph compares the cumulative total shareholder return (“TSR”) of our common stock, the S&amp;P 500 Index and the MSCI USA Financials Index, assuming a $100 investment on December 31, 2015 with dividends reinvested. The indexes are included for comparative purposes and do not necessarily reflect our opinion that they are an appropriate measure of relative stock performance. The MSCI USA Financials Index is operated by MSCI.</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Comparison of Cumulative Ten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46355</wp:posOffset>
            </wp:positionV>
            <wp:extent cx="5554980" cy="1414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5498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80"/>
        <w:spacing w:after="0"/>
        <w:tabs>
          <w:tab w:leader="none" w:pos="4660" w:val="left"/>
          <w:tab w:leader="none" w:pos="6160" w:val="left"/>
        </w:tabs>
        <w:rPr>
          <w:sz w:val="20"/>
          <w:szCs w:val="20"/>
          <w:color w:val="auto"/>
        </w:rPr>
      </w:pPr>
      <w:r>
        <w:rPr>
          <w:rFonts w:ascii="Arial" w:cs="Arial" w:eastAsia="Arial" w:hAnsi="Arial"/>
          <w:sz w:val="14"/>
          <w:szCs w:val="14"/>
          <w:color w:val="auto"/>
        </w:rPr>
        <w:t>MSCI Inc.</w:t>
      </w:r>
      <w:r>
        <w:rPr>
          <w:sz w:val="20"/>
          <w:szCs w:val="20"/>
          <w:color w:val="auto"/>
        </w:rPr>
        <w:tab/>
      </w:r>
      <w:r>
        <w:rPr>
          <w:rFonts w:ascii="Arial" w:cs="Arial" w:eastAsia="Arial" w:hAnsi="Arial"/>
          <w:sz w:val="14"/>
          <w:szCs w:val="14"/>
          <w:color w:val="auto"/>
        </w:rPr>
        <w:t>S&amp;P 500 Index</w:t>
      </w:r>
      <w:r>
        <w:rPr>
          <w:sz w:val="20"/>
          <w:szCs w:val="20"/>
          <w:color w:val="auto"/>
        </w:rPr>
        <w:tab/>
      </w:r>
      <w:r>
        <w:rPr>
          <w:rFonts w:ascii="Arial" w:cs="Arial" w:eastAsia="Arial" w:hAnsi="Arial"/>
          <w:sz w:val="14"/>
          <w:szCs w:val="14"/>
          <w:color w:val="auto"/>
        </w:rPr>
        <w:t>MSCI USA Financials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-69850</wp:posOffset>
            </wp:positionV>
            <wp:extent cx="137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714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-69850</wp:posOffset>
            </wp:positionV>
            <wp:extent cx="137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71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-69850</wp:posOffset>
            </wp:positionV>
            <wp:extent cx="137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7145"/>
                    </a:xfrm>
                    <a:prstGeom prst="rect">
                      <a:avLst/>
                    </a:prstGeom>
                    <a:noFill/>
                  </pic:spPr>
                </pic:pic>
              </a:graphicData>
            </a:graphic>
          </wp:anchor>
        </w:drawing>
      </w:r>
    </w:p>
    <w:p>
      <w:pPr>
        <w:spacing w:after="0" w:line="179"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above graph is not “soliciting material,” is not deemed filed with the SEC, and is not incorporated by reference in any filing under the Securities Act of 1933 or Securities Exchange Act of 1934, as amended (the “Exchange Act”), whether made before or after the date hereof, irrespective of any general incorporation language.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Company</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Name/Index</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8"/>
              </w:rPr>
              <w:t>12/31/15</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12/31/16</w:t>
            </w:r>
          </w:p>
        </w:tc>
        <w:tc>
          <w:tcPr>
            <w:tcW w:w="240" w:type="dxa"/>
            <w:vAlign w:val="bottom"/>
          </w:tcPr>
          <w:p>
            <w:pPr>
              <w:spacing w:after="0"/>
              <w:rPr>
                <w:sz w:val="14"/>
                <w:szCs w:val="14"/>
                <w:color w:val="auto"/>
              </w:rPr>
            </w:pPr>
          </w:p>
        </w:tc>
        <w:tc>
          <w:tcPr>
            <w:tcW w:w="640" w:type="dxa"/>
            <w:vAlign w:val="bottom"/>
          </w:tcPr>
          <w:p>
            <w:pPr>
              <w:jc w:val="center"/>
              <w:ind w:left="57"/>
              <w:spacing w:after="0"/>
              <w:rPr>
                <w:sz w:val="20"/>
                <w:szCs w:val="20"/>
                <w:color w:val="auto"/>
              </w:rPr>
            </w:pPr>
            <w:r>
              <w:rPr>
                <w:rFonts w:ascii="Arial" w:cs="Arial" w:eastAsia="Arial" w:hAnsi="Arial"/>
                <w:sz w:val="13"/>
                <w:szCs w:val="13"/>
                <w:b w:val="1"/>
                <w:bCs w:val="1"/>
                <w:color w:val="auto"/>
                <w:w w:val="94"/>
              </w:rPr>
              <w:t>12/31/17</w:t>
            </w:r>
          </w:p>
        </w:tc>
        <w:tc>
          <w:tcPr>
            <w:tcW w:w="22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12/31/18</w:t>
            </w:r>
          </w:p>
        </w:tc>
        <w:tc>
          <w:tcPr>
            <w:tcW w:w="22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12/31/19</w:t>
            </w:r>
          </w:p>
        </w:tc>
        <w:tc>
          <w:tcPr>
            <w:tcW w:w="220" w:type="dxa"/>
            <w:vAlign w:val="bottom"/>
          </w:tcPr>
          <w:p>
            <w:pPr>
              <w:spacing w:after="0"/>
              <w:rPr>
                <w:sz w:val="14"/>
                <w:szCs w:val="14"/>
                <w:color w:val="auto"/>
              </w:rPr>
            </w:pPr>
          </w:p>
        </w:tc>
        <w:tc>
          <w:tcPr>
            <w:tcW w:w="66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12/31/20</w:t>
            </w:r>
          </w:p>
        </w:tc>
        <w:tc>
          <w:tcPr>
            <w:tcW w:w="24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12/31/21</w:t>
            </w:r>
          </w:p>
        </w:tc>
        <w:tc>
          <w:tcPr>
            <w:tcW w:w="240" w:type="dxa"/>
            <w:vAlign w:val="bottom"/>
          </w:tcPr>
          <w:p>
            <w:pPr>
              <w:spacing w:after="0"/>
              <w:rPr>
                <w:sz w:val="14"/>
                <w:szCs w:val="14"/>
                <w:color w:val="auto"/>
              </w:rPr>
            </w:pPr>
          </w:p>
        </w:tc>
        <w:tc>
          <w:tcPr>
            <w:tcW w:w="640" w:type="dxa"/>
            <w:vAlign w:val="bottom"/>
          </w:tcPr>
          <w:p>
            <w:pPr>
              <w:jc w:val="center"/>
              <w:ind w:left="57"/>
              <w:spacing w:after="0"/>
              <w:rPr>
                <w:sz w:val="20"/>
                <w:szCs w:val="20"/>
                <w:color w:val="auto"/>
              </w:rPr>
            </w:pPr>
            <w:r>
              <w:rPr>
                <w:rFonts w:ascii="Arial" w:cs="Arial" w:eastAsia="Arial" w:hAnsi="Arial"/>
                <w:sz w:val="13"/>
                <w:szCs w:val="13"/>
                <w:b w:val="1"/>
                <w:bCs w:val="1"/>
                <w:color w:val="auto"/>
                <w:w w:val="94"/>
              </w:rPr>
              <w:t>12/31/22</w:t>
            </w:r>
          </w:p>
        </w:tc>
        <w:tc>
          <w:tcPr>
            <w:tcW w:w="240" w:type="dxa"/>
            <w:vAlign w:val="bottom"/>
          </w:tcPr>
          <w:p>
            <w:pPr>
              <w:spacing w:after="0"/>
              <w:rPr>
                <w:sz w:val="14"/>
                <w:szCs w:val="14"/>
                <w:color w:val="auto"/>
              </w:rPr>
            </w:pPr>
          </w:p>
        </w:tc>
        <w:tc>
          <w:tcPr>
            <w:tcW w:w="66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12/31/23</w:t>
            </w:r>
          </w:p>
        </w:tc>
        <w:tc>
          <w:tcPr>
            <w:tcW w:w="240" w:type="dxa"/>
            <w:vAlign w:val="bottom"/>
          </w:tcPr>
          <w:p>
            <w:pPr>
              <w:spacing w:after="0"/>
              <w:rPr>
                <w:sz w:val="14"/>
                <w:szCs w:val="14"/>
                <w:color w:val="auto"/>
              </w:rPr>
            </w:pPr>
          </w:p>
        </w:tc>
        <w:tc>
          <w:tcPr>
            <w:tcW w:w="640" w:type="dxa"/>
            <w:vAlign w:val="bottom"/>
          </w:tcPr>
          <w:p>
            <w:pPr>
              <w:jc w:val="center"/>
              <w:ind w:left="77"/>
              <w:spacing w:after="0"/>
              <w:rPr>
                <w:sz w:val="20"/>
                <w:szCs w:val="20"/>
                <w:color w:val="auto"/>
              </w:rPr>
            </w:pPr>
            <w:r>
              <w:rPr>
                <w:rFonts w:ascii="Arial" w:cs="Arial" w:eastAsia="Arial" w:hAnsi="Arial"/>
                <w:sz w:val="13"/>
                <w:szCs w:val="13"/>
                <w:b w:val="1"/>
                <w:bCs w:val="1"/>
                <w:color w:val="auto"/>
                <w:w w:val="98"/>
              </w:rPr>
              <w:t>12/31/24</w:t>
            </w:r>
          </w:p>
        </w:tc>
        <w:tc>
          <w:tcPr>
            <w:tcW w:w="240" w:type="dxa"/>
            <w:vAlign w:val="bottom"/>
          </w:tcPr>
          <w:p>
            <w:pPr>
              <w:spacing w:after="0"/>
              <w:rPr>
                <w:sz w:val="14"/>
                <w:szCs w:val="14"/>
                <w:color w:val="auto"/>
              </w:rPr>
            </w:pPr>
          </w:p>
        </w:tc>
        <w:tc>
          <w:tcPr>
            <w:tcW w:w="66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12/31/25</w:t>
            </w:r>
          </w:p>
        </w:tc>
      </w:tr>
      <w:tr>
        <w:trPr>
          <w:trHeight w:val="22"/>
        </w:trPr>
        <w:tc>
          <w:tcPr>
            <w:tcW w:w="1360" w:type="dxa"/>
            <w:vAlign w:val="bottom"/>
            <w:tcBorders>
              <w:bottom w:val="single" w:sz="8" w:color="1A3FD6"/>
            </w:tcBorders>
          </w:tcPr>
          <w:p>
            <w:pPr>
              <w:spacing w:after="0" w:line="20" w:lineRule="exact"/>
              <w:rPr>
                <w:sz w:val="1"/>
                <w:szCs w:val="1"/>
                <w:color w:val="auto"/>
              </w:rPr>
            </w:pPr>
          </w:p>
        </w:tc>
        <w:tc>
          <w:tcPr>
            <w:tcW w:w="3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80" w:type="dxa"/>
            <w:vAlign w:val="bottom"/>
            <w:tcBorders>
              <w:bottom w:val="single" w:sz="8" w:color="1A3FD6"/>
            </w:tcBorders>
          </w:tcPr>
          <w:p>
            <w:pPr>
              <w:spacing w:after="0" w:line="20" w:lineRule="exact"/>
              <w:rPr>
                <w:sz w:val="1"/>
                <w:szCs w:val="1"/>
                <w:color w:val="auto"/>
              </w:rPr>
            </w:pPr>
          </w:p>
        </w:tc>
        <w:tc>
          <w:tcPr>
            <w:tcW w:w="64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4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4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4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color w:val="auto"/>
              </w:rPr>
              <w:t>MSCI Inc.</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100.00</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110.62</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179.90</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212.19</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376.00</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655.68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905.75</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694.38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853.42</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915.78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886.78</w:t>
            </w:r>
          </w:p>
        </w:tc>
      </w:tr>
      <w:tr>
        <w:trPr>
          <w:trHeight w:val="28"/>
        </w:trPr>
        <w:tc>
          <w:tcPr>
            <w:tcW w:w="1360" w:type="dxa"/>
            <w:vAlign w:val="bottom"/>
            <w:tcBorders>
              <w:bottom w:val="single" w:sz="8" w:color="E6E7E8"/>
            </w:tcBorders>
          </w:tcPr>
          <w:p>
            <w:pPr>
              <w:spacing w:after="0"/>
              <w:rPr>
                <w:sz w:val="2"/>
                <w:szCs w:val="2"/>
                <w:color w:val="auto"/>
              </w:rPr>
            </w:pPr>
          </w:p>
        </w:tc>
        <w:tc>
          <w:tcPr>
            <w:tcW w:w="3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8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r>
      <w:tr>
        <w:trPr>
          <w:trHeight w:val="182"/>
        </w:trPr>
        <w:tc>
          <w:tcPr>
            <w:tcW w:w="1360" w:type="dxa"/>
            <w:vAlign w:val="bottom"/>
          </w:tcPr>
          <w:p>
            <w:pPr>
              <w:ind w:left="20"/>
              <w:spacing w:after="0"/>
              <w:rPr>
                <w:sz w:val="20"/>
                <w:szCs w:val="20"/>
                <w:color w:val="auto"/>
              </w:rPr>
            </w:pPr>
            <w:r>
              <w:rPr>
                <w:rFonts w:ascii="Arial" w:cs="Arial" w:eastAsia="Arial" w:hAnsi="Arial"/>
                <w:sz w:val="13"/>
                <w:szCs w:val="13"/>
                <w:color w:val="auto"/>
              </w:rPr>
              <w:t>S&amp;P 500 Index</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100.00</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111.96</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136.40</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130.42</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171.49</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203.04</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261.32</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213.99</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270.25</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337.86</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398.27</w:t>
            </w:r>
          </w:p>
        </w:tc>
      </w:tr>
      <w:tr>
        <w:trPr>
          <w:trHeight w:val="28"/>
        </w:trPr>
        <w:tc>
          <w:tcPr>
            <w:tcW w:w="1360" w:type="dxa"/>
            <w:vAlign w:val="bottom"/>
            <w:tcBorders>
              <w:bottom w:val="single" w:sz="8" w:color="E6E7E8"/>
            </w:tcBorders>
          </w:tcPr>
          <w:p>
            <w:pPr>
              <w:spacing w:after="0"/>
              <w:rPr>
                <w:sz w:val="2"/>
                <w:szCs w:val="2"/>
                <w:color w:val="auto"/>
              </w:rPr>
            </w:pPr>
          </w:p>
        </w:tc>
        <w:tc>
          <w:tcPr>
            <w:tcW w:w="3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8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40" w:type="dxa"/>
            <w:vAlign w:val="bottom"/>
            <w:tcBorders>
              <w:bottom w:val="single" w:sz="8" w:color="E6E7E8"/>
            </w:tcBorders>
          </w:tcPr>
          <w:p>
            <w:pPr>
              <w:spacing w:after="0"/>
              <w:rPr>
                <w:sz w:val="2"/>
                <w:szCs w:val="2"/>
                <w:color w:val="auto"/>
              </w:rPr>
            </w:pPr>
          </w:p>
        </w:tc>
        <w:tc>
          <w:tcPr>
            <w:tcW w:w="240" w:type="dxa"/>
            <w:vAlign w:val="bottom"/>
            <w:tcBorders>
              <w:bottom w:val="single" w:sz="8" w:color="E6E7E8"/>
            </w:tcBorders>
          </w:tcPr>
          <w:p>
            <w:pPr>
              <w:spacing w:after="0"/>
              <w:rPr>
                <w:sz w:val="2"/>
                <w:szCs w:val="2"/>
                <w:color w:val="auto"/>
              </w:rPr>
            </w:pPr>
          </w:p>
        </w:tc>
        <w:tc>
          <w:tcPr>
            <w:tcW w:w="660" w:type="dxa"/>
            <w:vAlign w:val="bottom"/>
            <w:tcBorders>
              <w:bottom w:val="single" w:sz="8" w:color="E6E7E8"/>
            </w:tcBorders>
          </w:tcPr>
          <w:p>
            <w:pPr>
              <w:spacing w:after="0"/>
              <w:rPr>
                <w:sz w:val="2"/>
                <w:szCs w:val="2"/>
                <w:color w:val="auto"/>
              </w:rPr>
            </w:pPr>
          </w:p>
        </w:tc>
      </w:tr>
      <w:tr>
        <w:trPr>
          <w:trHeight w:val="178"/>
        </w:trPr>
        <w:tc>
          <w:tcPr>
            <w:tcW w:w="1360" w:type="dxa"/>
            <w:vAlign w:val="bottom"/>
          </w:tcPr>
          <w:p>
            <w:pPr>
              <w:ind w:left="20"/>
              <w:spacing w:after="0"/>
              <w:rPr>
                <w:sz w:val="20"/>
                <w:szCs w:val="20"/>
                <w:color w:val="auto"/>
              </w:rPr>
            </w:pPr>
            <w:r>
              <w:rPr>
                <w:rFonts w:ascii="Arial" w:cs="Arial" w:eastAsia="Arial" w:hAnsi="Arial"/>
                <w:sz w:val="13"/>
                <w:szCs w:val="13"/>
                <w:color w:val="auto"/>
              </w:rPr>
              <w:t>MSCI USA Financials</w:t>
            </w: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6"/>
        </w:trPr>
        <w:tc>
          <w:tcPr>
            <w:tcW w:w="1360" w:type="dxa"/>
            <w:vAlign w:val="bottom"/>
          </w:tcPr>
          <w:p>
            <w:pPr>
              <w:ind w:left="20"/>
              <w:spacing w:after="0"/>
              <w:rPr>
                <w:sz w:val="20"/>
                <w:szCs w:val="20"/>
                <w:color w:val="auto"/>
              </w:rPr>
            </w:pPr>
            <w:r>
              <w:rPr>
                <w:rFonts w:ascii="Arial" w:cs="Arial" w:eastAsia="Arial" w:hAnsi="Arial"/>
                <w:sz w:val="13"/>
                <w:szCs w:val="13"/>
                <w:color w:val="auto"/>
              </w:rPr>
              <w:t>Index</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100.00</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122.69</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149.74</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129.43</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172.04</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168.58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228.86</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201.04</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230.49</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center"/>
              <w:ind w:left="77"/>
              <w:spacing w:after="0"/>
              <w:rPr>
                <w:sz w:val="20"/>
                <w:szCs w:val="20"/>
                <w:color w:val="auto"/>
              </w:rPr>
            </w:pPr>
            <w:r>
              <w:rPr>
                <w:rFonts w:ascii="Arial" w:cs="Arial" w:eastAsia="Arial" w:hAnsi="Arial"/>
                <w:sz w:val="13"/>
                <w:szCs w:val="13"/>
                <w:color w:val="auto"/>
                <w:w w:val="95"/>
              </w:rPr>
              <w:t>303.54</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351.37</w:t>
            </w:r>
          </w:p>
        </w:tc>
      </w:tr>
      <w:tr>
        <w:trPr>
          <w:trHeight w:val="28"/>
        </w:trPr>
        <w:tc>
          <w:tcPr>
            <w:tcW w:w="1360" w:type="dxa"/>
            <w:vAlign w:val="bottom"/>
            <w:tcBorders>
              <w:bottom w:val="single" w:sz="8" w:color="1A3FD6"/>
            </w:tcBorders>
          </w:tcPr>
          <w:p>
            <w:pPr>
              <w:spacing w:after="0"/>
              <w:rPr>
                <w:sz w:val="2"/>
                <w:szCs w:val="2"/>
                <w:color w:val="auto"/>
              </w:rPr>
            </w:pPr>
          </w:p>
        </w:tc>
        <w:tc>
          <w:tcPr>
            <w:tcW w:w="32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c>
          <w:tcPr>
            <w:tcW w:w="280" w:type="dxa"/>
            <w:vAlign w:val="bottom"/>
            <w:tcBorders>
              <w:bottom w:val="single" w:sz="8" w:color="1A3FD6"/>
            </w:tcBorders>
          </w:tcPr>
          <w:p>
            <w:pPr>
              <w:spacing w:after="0"/>
              <w:rPr>
                <w:sz w:val="2"/>
                <w:szCs w:val="2"/>
                <w:color w:val="auto"/>
              </w:rPr>
            </w:pPr>
          </w:p>
        </w:tc>
        <w:tc>
          <w:tcPr>
            <w:tcW w:w="64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64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64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64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660" w:type="dxa"/>
            <w:vAlign w:val="bottom"/>
            <w:tcBorders>
              <w:bottom w:val="single" w:sz="8" w:color="1A3FD6"/>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325755</wp:posOffset>
            </wp:positionV>
            <wp:extent cx="55689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Engaging with our Shareholders</w:t>
      </w:r>
    </w:p>
    <w:p>
      <w:pPr>
        <w:spacing w:after="0" w:line="119"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We believe that engaging with our shareholders is the best way to address the issues that matter most to them and we aim to engage with them year-round through investor meetings and industry conferences.</w:t>
      </w:r>
    </w:p>
    <w:p>
      <w:pPr>
        <w:spacing w:after="0" w:line="75"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During 2025, we held over 270 meetings covering a wide range of matters. In our fall 2025 Corporate Responsibility off-season engagement, we met with shareholders representing approximately 27.1% of our outstanding shares as of September 30, 2025 to discuss topics including executive compensation, board oversight, succession planning and sustainability strategy. Among the recent changes made to our compensation programs in response to shareholder feedback, in 2026, we added a recurring net new sales (“RNN”) performance modifier to time-based RSU awards to further strengthen 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900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1A3FD6"/>
        </w:rPr>
        <w:t>Deep Shareholder Outreach Team: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0" w:type="dxa"/>
            <w:vAlign w:val="bottom"/>
            <w:tcBorders>
              <w:top w:val="single" w:sz="8" w:color="F5F5F5"/>
            </w:tcBorders>
            <w:shd w:val="clear" w:color="auto" w:fill="F5F5F5"/>
          </w:tcPr>
          <w:p>
            <w:pPr>
              <w:jc w:val="center"/>
              <w:spacing w:after="0"/>
              <w:rPr>
                <w:sz w:val="20"/>
                <w:szCs w:val="20"/>
                <w:color w:val="auto"/>
              </w:rPr>
            </w:pPr>
            <w:r>
              <w:rPr>
                <w:rFonts w:ascii="Arial" w:cs="Arial" w:eastAsia="Arial" w:hAnsi="Arial"/>
                <w:sz w:val="14"/>
                <w:szCs w:val="14"/>
                <w:b w:val="1"/>
                <w:bCs w:val="1"/>
                <w:color w:val="auto"/>
              </w:rPr>
              <w:t>Senior Business Leaders</w:t>
            </w:r>
          </w:p>
        </w:tc>
        <w:tc>
          <w:tcPr>
            <w:tcW w:w="160" w:type="dxa"/>
            <w:vAlign w:val="bottom"/>
            <w:tcBorders>
              <w:top w:val="single" w:sz="8" w:color="F5F5F5"/>
              <w:right w:val="single" w:sz="8" w:color="BCBEC0"/>
            </w:tcBorders>
            <w:shd w:val="clear" w:color="auto" w:fill="F5F5F5"/>
          </w:tcPr>
          <w:p>
            <w:pPr>
              <w:spacing w:after="0"/>
              <w:rPr>
                <w:sz w:val="23"/>
                <w:szCs w:val="23"/>
                <w:color w:val="auto"/>
              </w:rPr>
            </w:pPr>
          </w:p>
        </w:tc>
        <w:tc>
          <w:tcPr>
            <w:tcW w:w="140" w:type="dxa"/>
            <w:vAlign w:val="bottom"/>
            <w:tcBorders>
              <w:top w:val="single" w:sz="8" w:color="F5F5F5"/>
            </w:tcBorders>
            <w:shd w:val="clear" w:color="auto" w:fill="F5F5F5"/>
          </w:tcPr>
          <w:p>
            <w:pPr>
              <w:spacing w:after="0"/>
              <w:rPr>
                <w:sz w:val="23"/>
                <w:szCs w:val="23"/>
                <w:color w:val="auto"/>
              </w:rPr>
            </w:pPr>
          </w:p>
        </w:tc>
        <w:tc>
          <w:tcPr>
            <w:tcW w:w="3340" w:type="dxa"/>
            <w:vAlign w:val="bottom"/>
            <w:tcBorders>
              <w:top w:val="single" w:sz="8" w:color="F5F5F5"/>
            </w:tcBorders>
            <w:shd w:val="clear" w:color="auto" w:fill="F5F5F5"/>
          </w:tcPr>
          <w:p>
            <w:pPr>
              <w:ind w:left="680"/>
              <w:spacing w:after="0"/>
              <w:rPr>
                <w:sz w:val="20"/>
                <w:szCs w:val="20"/>
                <w:color w:val="auto"/>
              </w:rPr>
            </w:pPr>
            <w:r>
              <w:rPr>
                <w:rFonts w:ascii="Arial" w:cs="Arial" w:eastAsia="Arial" w:hAnsi="Arial"/>
                <w:sz w:val="14"/>
                <w:szCs w:val="14"/>
                <w:b w:val="1"/>
                <w:bCs w:val="1"/>
                <w:color w:val="auto"/>
              </w:rPr>
              <w:t>Independent Board Members</w:t>
            </w:r>
          </w:p>
        </w:tc>
        <w:tc>
          <w:tcPr>
            <w:tcW w:w="160" w:type="dxa"/>
            <w:vAlign w:val="bottom"/>
            <w:tcBorders>
              <w:top w:val="single" w:sz="8" w:color="F5F5F5"/>
              <w:right w:val="single" w:sz="8" w:color="BCBEC0"/>
            </w:tcBorders>
            <w:shd w:val="clear" w:color="auto" w:fill="F5F5F5"/>
          </w:tcPr>
          <w:p>
            <w:pPr>
              <w:spacing w:after="0"/>
              <w:rPr>
                <w:sz w:val="23"/>
                <w:szCs w:val="23"/>
                <w:color w:val="auto"/>
              </w:rPr>
            </w:pPr>
          </w:p>
        </w:tc>
        <w:tc>
          <w:tcPr>
            <w:tcW w:w="140" w:type="dxa"/>
            <w:vAlign w:val="bottom"/>
            <w:tcBorders>
              <w:top w:val="single" w:sz="8" w:color="F5F5F5"/>
            </w:tcBorders>
            <w:shd w:val="clear" w:color="auto" w:fill="F5F5F5"/>
          </w:tcPr>
          <w:p>
            <w:pPr>
              <w:spacing w:after="0"/>
              <w:rPr>
                <w:sz w:val="23"/>
                <w:szCs w:val="23"/>
                <w:color w:val="auto"/>
              </w:rPr>
            </w:pPr>
          </w:p>
        </w:tc>
        <w:tc>
          <w:tcPr>
            <w:tcW w:w="3600" w:type="dxa"/>
            <w:vAlign w:val="bottom"/>
            <w:tcBorders>
              <w:top w:val="single" w:sz="8" w:color="F5F5F5"/>
            </w:tcBorders>
            <w:gridSpan w:val="2"/>
            <w:shd w:val="clear" w:color="auto" w:fill="F5F5F5"/>
          </w:tcPr>
          <w:p>
            <w:pPr>
              <w:ind w:left="620"/>
              <w:spacing w:after="0"/>
              <w:rPr>
                <w:sz w:val="20"/>
                <w:szCs w:val="20"/>
                <w:color w:val="auto"/>
              </w:rPr>
            </w:pPr>
            <w:r>
              <w:rPr>
                <w:rFonts w:ascii="Arial" w:cs="Arial" w:eastAsia="Arial" w:hAnsi="Arial"/>
                <w:sz w:val="14"/>
                <w:szCs w:val="14"/>
                <w:b w:val="1"/>
                <w:bCs w:val="1"/>
                <w:color w:val="auto"/>
              </w:rPr>
              <w:t>Corporate Responsibility Team</w:t>
            </w: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0" w:type="dxa"/>
            <w:vAlign w:val="bottom"/>
            <w:tcBorders>
              <w:bottom w:val="single" w:sz="8" w:color="BCBEC0"/>
            </w:tcBorders>
            <w:shd w:val="clear" w:color="auto" w:fill="F5F5F5"/>
          </w:tcPr>
          <w:p>
            <w:pPr>
              <w:spacing w:after="0"/>
              <w:rPr>
                <w:sz w:val="15"/>
                <w:szCs w:val="15"/>
                <w:color w:val="auto"/>
              </w:rPr>
            </w:pPr>
          </w:p>
        </w:tc>
        <w:tc>
          <w:tcPr>
            <w:tcW w:w="160" w:type="dxa"/>
            <w:vAlign w:val="bottom"/>
            <w:tcBorders>
              <w:bottom w:val="single" w:sz="8" w:color="F5F5F5"/>
              <w:right w:val="single" w:sz="8" w:color="BCBEC0"/>
            </w:tcBorders>
            <w:shd w:val="clear" w:color="auto" w:fill="F5F5F5"/>
          </w:tcPr>
          <w:p>
            <w:pPr>
              <w:spacing w:after="0"/>
              <w:rPr>
                <w:sz w:val="15"/>
                <w:szCs w:val="15"/>
                <w:color w:val="auto"/>
              </w:rPr>
            </w:pPr>
          </w:p>
        </w:tc>
        <w:tc>
          <w:tcPr>
            <w:tcW w:w="140" w:type="dxa"/>
            <w:vAlign w:val="bottom"/>
            <w:tcBorders>
              <w:bottom w:val="single" w:sz="8" w:color="F5F5F5"/>
            </w:tcBorders>
            <w:shd w:val="clear" w:color="auto" w:fill="F5F5F5"/>
          </w:tcPr>
          <w:p>
            <w:pPr>
              <w:spacing w:after="0"/>
              <w:rPr>
                <w:sz w:val="15"/>
                <w:szCs w:val="15"/>
                <w:color w:val="auto"/>
              </w:rPr>
            </w:pPr>
          </w:p>
        </w:tc>
        <w:tc>
          <w:tcPr>
            <w:tcW w:w="3340" w:type="dxa"/>
            <w:vAlign w:val="bottom"/>
            <w:tcBorders>
              <w:bottom w:val="single" w:sz="8" w:color="BCBEC0"/>
            </w:tcBorders>
            <w:shd w:val="clear" w:color="auto" w:fill="F5F5F5"/>
          </w:tcPr>
          <w:p>
            <w:pPr>
              <w:spacing w:after="0"/>
              <w:rPr>
                <w:sz w:val="15"/>
                <w:szCs w:val="15"/>
                <w:color w:val="auto"/>
              </w:rPr>
            </w:pPr>
          </w:p>
        </w:tc>
        <w:tc>
          <w:tcPr>
            <w:tcW w:w="160" w:type="dxa"/>
            <w:vAlign w:val="bottom"/>
            <w:tcBorders>
              <w:bottom w:val="single" w:sz="8" w:color="F5F5F5"/>
              <w:right w:val="single" w:sz="8" w:color="BCBEC0"/>
            </w:tcBorders>
            <w:shd w:val="clear" w:color="auto" w:fill="F5F5F5"/>
          </w:tcPr>
          <w:p>
            <w:pPr>
              <w:spacing w:after="0"/>
              <w:rPr>
                <w:sz w:val="15"/>
                <w:szCs w:val="15"/>
                <w:color w:val="auto"/>
              </w:rPr>
            </w:pPr>
          </w:p>
        </w:tc>
        <w:tc>
          <w:tcPr>
            <w:tcW w:w="140" w:type="dxa"/>
            <w:vAlign w:val="bottom"/>
            <w:tcBorders>
              <w:bottom w:val="single" w:sz="8" w:color="F5F5F5"/>
            </w:tcBorders>
            <w:shd w:val="clear" w:color="auto" w:fill="F5F5F5"/>
          </w:tcPr>
          <w:p>
            <w:pPr>
              <w:spacing w:after="0"/>
              <w:rPr>
                <w:sz w:val="15"/>
                <w:szCs w:val="15"/>
                <w:color w:val="auto"/>
              </w:rPr>
            </w:pPr>
          </w:p>
        </w:tc>
        <w:tc>
          <w:tcPr>
            <w:tcW w:w="3340" w:type="dxa"/>
            <w:vAlign w:val="bottom"/>
            <w:tcBorders>
              <w:bottom w:val="single" w:sz="8" w:color="BCBEC0"/>
            </w:tcBorders>
            <w:shd w:val="clear" w:color="auto" w:fill="F5F5F5"/>
          </w:tcPr>
          <w:p>
            <w:pPr>
              <w:spacing w:after="0"/>
              <w:rPr>
                <w:sz w:val="15"/>
                <w:szCs w:val="15"/>
                <w:color w:val="auto"/>
              </w:rPr>
            </w:pPr>
          </w:p>
        </w:tc>
        <w:tc>
          <w:tcPr>
            <w:tcW w:w="260" w:type="dxa"/>
            <w:vAlign w:val="bottom"/>
            <w:tcBorders>
              <w:bottom w:val="single" w:sz="8" w:color="F5F5F5"/>
            </w:tcBorders>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Borders>
              <w:bottom w:val="single" w:sz="8" w:color="F5F5F5"/>
            </w:tcBorders>
            <w:shd w:val="clear" w:color="auto" w:fill="F5F5F5"/>
          </w:tcPr>
          <w:p>
            <w:pPr>
              <w:jc w:val="center"/>
              <w:spacing w:after="0"/>
              <w:rPr>
                <w:sz w:val="20"/>
                <w:szCs w:val="20"/>
                <w:color w:val="auto"/>
              </w:rPr>
            </w:pPr>
            <w:r>
              <w:rPr>
                <w:rFonts w:ascii="Arial" w:cs="Arial" w:eastAsia="Arial" w:hAnsi="Arial"/>
                <w:sz w:val="14"/>
                <w:szCs w:val="14"/>
                <w:b w:val="1"/>
                <w:bCs w:val="1"/>
                <w:color w:val="auto"/>
              </w:rPr>
              <w:t>Investor Relations Team</w:t>
            </w:r>
          </w:p>
        </w:tc>
        <w:tc>
          <w:tcPr>
            <w:tcW w:w="160" w:type="dxa"/>
            <w:vAlign w:val="bottom"/>
            <w:tcBorders>
              <w:bottom w:val="single" w:sz="8" w:color="F5F5F5"/>
              <w:right w:val="single" w:sz="8" w:color="BCBEC0"/>
            </w:tcBorders>
            <w:shd w:val="clear" w:color="auto" w:fill="F5F5F5"/>
          </w:tcPr>
          <w:p>
            <w:pPr>
              <w:spacing w:after="0"/>
              <w:rPr>
                <w:sz w:val="24"/>
                <w:szCs w:val="24"/>
                <w:color w:val="auto"/>
              </w:rPr>
            </w:pPr>
          </w:p>
        </w:tc>
        <w:tc>
          <w:tcPr>
            <w:tcW w:w="140" w:type="dxa"/>
            <w:vAlign w:val="bottom"/>
            <w:tcBorders>
              <w:bottom w:val="single" w:sz="8" w:color="F5F5F5"/>
            </w:tcBorders>
            <w:shd w:val="clear" w:color="auto" w:fill="F5F5F5"/>
          </w:tcPr>
          <w:p>
            <w:pPr>
              <w:spacing w:after="0"/>
              <w:rPr>
                <w:sz w:val="24"/>
                <w:szCs w:val="24"/>
                <w:color w:val="auto"/>
              </w:rPr>
            </w:pPr>
          </w:p>
        </w:tc>
        <w:tc>
          <w:tcPr>
            <w:tcW w:w="3340" w:type="dxa"/>
            <w:vAlign w:val="bottom"/>
            <w:tcBorders>
              <w:bottom w:val="single" w:sz="8" w:color="F5F5F5"/>
            </w:tcBorders>
            <w:shd w:val="clear" w:color="auto" w:fill="F5F5F5"/>
          </w:tcPr>
          <w:p>
            <w:pPr>
              <w:ind w:left="480"/>
              <w:spacing w:after="0"/>
              <w:rPr>
                <w:sz w:val="20"/>
                <w:szCs w:val="20"/>
                <w:color w:val="auto"/>
              </w:rPr>
            </w:pPr>
            <w:r>
              <w:rPr>
                <w:rFonts w:ascii="Arial" w:cs="Arial" w:eastAsia="Arial" w:hAnsi="Arial"/>
                <w:sz w:val="14"/>
                <w:szCs w:val="14"/>
                <w:b w:val="1"/>
                <w:bCs w:val="1"/>
                <w:color w:val="auto"/>
              </w:rPr>
              <w:t>Corporate Governance Legal Team</w:t>
            </w:r>
          </w:p>
        </w:tc>
        <w:tc>
          <w:tcPr>
            <w:tcW w:w="160" w:type="dxa"/>
            <w:vAlign w:val="bottom"/>
            <w:tcBorders>
              <w:bottom w:val="single" w:sz="8" w:color="F5F5F5"/>
              <w:right w:val="single" w:sz="8" w:color="BCBEC0"/>
            </w:tcBorders>
            <w:shd w:val="clear" w:color="auto" w:fill="F5F5F5"/>
          </w:tcPr>
          <w:p>
            <w:pPr>
              <w:spacing w:after="0"/>
              <w:rPr>
                <w:sz w:val="24"/>
                <w:szCs w:val="24"/>
                <w:color w:val="auto"/>
              </w:rPr>
            </w:pPr>
          </w:p>
        </w:tc>
        <w:tc>
          <w:tcPr>
            <w:tcW w:w="140" w:type="dxa"/>
            <w:vAlign w:val="bottom"/>
            <w:tcBorders>
              <w:bottom w:val="single" w:sz="8" w:color="F5F5F5"/>
            </w:tcBorders>
            <w:shd w:val="clear" w:color="auto" w:fill="F5F5F5"/>
          </w:tcPr>
          <w:p>
            <w:pPr>
              <w:spacing w:after="0"/>
              <w:rPr>
                <w:sz w:val="24"/>
                <w:szCs w:val="24"/>
                <w:color w:val="auto"/>
              </w:rPr>
            </w:pPr>
          </w:p>
        </w:tc>
        <w:tc>
          <w:tcPr>
            <w:tcW w:w="3600" w:type="dxa"/>
            <w:vAlign w:val="bottom"/>
            <w:tcBorders>
              <w:bottom w:val="single" w:sz="8" w:color="F5F5F5"/>
            </w:tcBorders>
            <w:gridSpan w:val="2"/>
            <w:shd w:val="clear" w:color="auto" w:fill="F5F5F5"/>
          </w:tcPr>
          <w:p>
            <w:pPr>
              <w:ind w:left="560"/>
              <w:spacing w:after="0"/>
              <w:rPr>
                <w:sz w:val="20"/>
                <w:szCs w:val="20"/>
                <w:color w:val="auto"/>
              </w:rPr>
            </w:pPr>
            <w:r>
              <w:rPr>
                <w:rFonts w:ascii="Arial" w:cs="Arial" w:eastAsia="Arial" w:hAnsi="Arial"/>
                <w:sz w:val="14"/>
                <w:szCs w:val="14"/>
                <w:b w:val="1"/>
                <w:bCs w:val="1"/>
                <w:color w:val="auto"/>
              </w:rPr>
              <w:t>Talent and Compensation Teams</w:t>
            </w: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shd w:val="clear" w:color="auto" w:fill="F5F5F5"/>
          </w:tcPr>
          <w:p>
            <w:pPr>
              <w:spacing w:after="0"/>
              <w:rPr>
                <w:sz w:val="12"/>
                <w:szCs w:val="12"/>
                <w:color w:val="auto"/>
              </w:rPr>
            </w:pPr>
          </w:p>
        </w:tc>
        <w:tc>
          <w:tcPr>
            <w:tcW w:w="160" w:type="dxa"/>
            <w:vAlign w:val="bottom"/>
            <w:tcBorders>
              <w:right w:val="single" w:sz="8" w:color="F5F5F5"/>
            </w:tcBorders>
            <w:shd w:val="clear" w:color="auto" w:fill="F5F5F5"/>
          </w:tcPr>
          <w:p>
            <w:pPr>
              <w:spacing w:after="0"/>
              <w:rPr>
                <w:sz w:val="12"/>
                <w:szCs w:val="12"/>
                <w:color w:val="auto"/>
              </w:rPr>
            </w:pPr>
          </w:p>
        </w:tc>
        <w:tc>
          <w:tcPr>
            <w:tcW w:w="140" w:type="dxa"/>
            <w:vAlign w:val="bottom"/>
            <w:shd w:val="clear" w:color="auto" w:fill="F5F5F5"/>
          </w:tcPr>
          <w:p>
            <w:pPr>
              <w:spacing w:after="0"/>
              <w:rPr>
                <w:sz w:val="12"/>
                <w:szCs w:val="12"/>
                <w:color w:val="auto"/>
              </w:rPr>
            </w:pPr>
          </w:p>
        </w:tc>
        <w:tc>
          <w:tcPr>
            <w:tcW w:w="3340" w:type="dxa"/>
            <w:vAlign w:val="bottom"/>
            <w:shd w:val="clear" w:color="auto" w:fill="F5F5F5"/>
          </w:tcPr>
          <w:p>
            <w:pPr>
              <w:spacing w:after="0"/>
              <w:rPr>
                <w:sz w:val="12"/>
                <w:szCs w:val="12"/>
                <w:color w:val="auto"/>
              </w:rPr>
            </w:pPr>
          </w:p>
        </w:tc>
        <w:tc>
          <w:tcPr>
            <w:tcW w:w="160" w:type="dxa"/>
            <w:vAlign w:val="bottom"/>
            <w:tcBorders>
              <w:right w:val="single" w:sz="8" w:color="F5F5F5"/>
            </w:tcBorders>
            <w:shd w:val="clear" w:color="auto" w:fill="F5F5F5"/>
          </w:tcPr>
          <w:p>
            <w:pPr>
              <w:spacing w:after="0"/>
              <w:rPr>
                <w:sz w:val="12"/>
                <w:szCs w:val="12"/>
                <w:color w:val="auto"/>
              </w:rPr>
            </w:pPr>
          </w:p>
        </w:tc>
        <w:tc>
          <w:tcPr>
            <w:tcW w:w="140" w:type="dxa"/>
            <w:vAlign w:val="bottom"/>
            <w:shd w:val="clear" w:color="auto" w:fill="F5F5F5"/>
          </w:tcPr>
          <w:p>
            <w:pPr>
              <w:spacing w:after="0"/>
              <w:rPr>
                <w:sz w:val="12"/>
                <w:szCs w:val="12"/>
                <w:color w:val="auto"/>
              </w:rPr>
            </w:pPr>
          </w:p>
        </w:tc>
        <w:tc>
          <w:tcPr>
            <w:tcW w:w="3340" w:type="dxa"/>
            <w:vAlign w:val="bottom"/>
            <w:shd w:val="clear" w:color="auto" w:fill="F5F5F5"/>
          </w:tcPr>
          <w:p>
            <w:pPr>
              <w:spacing w:after="0"/>
              <w:rPr>
                <w:sz w:val="12"/>
                <w:szCs w:val="12"/>
                <w:color w:val="auto"/>
              </w:rPr>
            </w:pPr>
          </w:p>
        </w:tc>
        <w:tc>
          <w:tcPr>
            <w:tcW w:w="26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384"/>
        </w:trPr>
        <w:tc>
          <w:tcPr>
            <w:tcW w:w="240" w:type="dxa"/>
            <w:vAlign w:val="bottom"/>
            <w:shd w:val="clear" w:color="auto" w:fill="1A3FD6"/>
          </w:tcPr>
          <w:p>
            <w:pPr>
              <w:spacing w:after="0"/>
              <w:rPr>
                <w:sz w:val="24"/>
                <w:szCs w:val="24"/>
                <w:color w:val="auto"/>
              </w:rPr>
            </w:pPr>
          </w:p>
        </w:tc>
        <w:tc>
          <w:tcPr>
            <w:tcW w:w="3460" w:type="dxa"/>
            <w:vAlign w:val="bottom"/>
            <w:gridSpan w:val="2"/>
            <w:shd w:val="clear" w:color="auto" w:fill="1A3FD6"/>
          </w:tcPr>
          <w:p>
            <w:pPr>
              <w:ind w:left="20"/>
              <w:spacing w:after="0"/>
              <w:rPr>
                <w:sz w:val="20"/>
                <w:szCs w:val="20"/>
                <w:color w:val="auto"/>
              </w:rPr>
            </w:pPr>
            <w:r>
              <w:rPr>
                <w:rFonts w:ascii="Arial" w:cs="Arial" w:eastAsia="Arial" w:hAnsi="Arial"/>
                <w:sz w:val="16"/>
                <w:szCs w:val="16"/>
                <w:b w:val="1"/>
                <w:bCs w:val="1"/>
                <w:color w:val="FFFFFF"/>
              </w:rPr>
              <w:t>What We Discussed in 2025:</w:t>
            </w:r>
          </w:p>
        </w:tc>
        <w:tc>
          <w:tcPr>
            <w:tcW w:w="160" w:type="dxa"/>
            <w:vAlign w:val="bottom"/>
            <w:tcBorders>
              <w:right w:val="single" w:sz="8" w:color="1A3FD6"/>
            </w:tcBorders>
            <w:shd w:val="clear" w:color="auto" w:fill="1A3FD6"/>
          </w:tcPr>
          <w:p>
            <w:pPr>
              <w:spacing w:after="0"/>
              <w:rPr>
                <w:sz w:val="24"/>
                <w:szCs w:val="24"/>
                <w:color w:val="auto"/>
              </w:rPr>
            </w:pPr>
          </w:p>
        </w:tc>
        <w:tc>
          <w:tcPr>
            <w:tcW w:w="140" w:type="dxa"/>
            <w:vAlign w:val="bottom"/>
            <w:shd w:val="clear" w:color="auto" w:fill="1A3FD6"/>
          </w:tcPr>
          <w:p>
            <w:pPr>
              <w:spacing w:after="0"/>
              <w:rPr>
                <w:sz w:val="24"/>
                <w:szCs w:val="24"/>
                <w:color w:val="auto"/>
              </w:rPr>
            </w:pPr>
          </w:p>
        </w:tc>
        <w:tc>
          <w:tcPr>
            <w:tcW w:w="3340" w:type="dxa"/>
            <w:vAlign w:val="bottom"/>
            <w:shd w:val="clear" w:color="auto" w:fill="1A3FD6"/>
          </w:tcPr>
          <w:p>
            <w:pPr>
              <w:spacing w:after="0"/>
              <w:rPr>
                <w:sz w:val="24"/>
                <w:szCs w:val="24"/>
                <w:color w:val="auto"/>
              </w:rPr>
            </w:pPr>
          </w:p>
        </w:tc>
        <w:tc>
          <w:tcPr>
            <w:tcW w:w="160" w:type="dxa"/>
            <w:vAlign w:val="bottom"/>
            <w:tcBorders>
              <w:right w:val="single" w:sz="8" w:color="1A3FD6"/>
            </w:tcBorders>
            <w:shd w:val="clear" w:color="auto" w:fill="1A3FD6"/>
          </w:tcPr>
          <w:p>
            <w:pPr>
              <w:spacing w:after="0"/>
              <w:rPr>
                <w:sz w:val="24"/>
                <w:szCs w:val="24"/>
                <w:color w:val="auto"/>
              </w:rPr>
            </w:pPr>
          </w:p>
        </w:tc>
        <w:tc>
          <w:tcPr>
            <w:tcW w:w="140" w:type="dxa"/>
            <w:vAlign w:val="bottom"/>
            <w:shd w:val="clear" w:color="auto" w:fill="1A3FD6"/>
          </w:tcPr>
          <w:p>
            <w:pPr>
              <w:spacing w:after="0"/>
              <w:rPr>
                <w:sz w:val="24"/>
                <w:szCs w:val="24"/>
                <w:color w:val="auto"/>
              </w:rPr>
            </w:pPr>
          </w:p>
        </w:tc>
        <w:tc>
          <w:tcPr>
            <w:tcW w:w="3340" w:type="dxa"/>
            <w:vAlign w:val="bottom"/>
            <w:shd w:val="clear" w:color="auto" w:fill="1A3FD6"/>
          </w:tcPr>
          <w:p>
            <w:pPr>
              <w:spacing w:after="0"/>
              <w:rPr>
                <w:sz w:val="24"/>
                <w:szCs w:val="24"/>
                <w:color w:val="auto"/>
              </w:rPr>
            </w:pPr>
          </w:p>
        </w:tc>
        <w:tc>
          <w:tcPr>
            <w:tcW w:w="260" w:type="dxa"/>
            <w:vAlign w:val="bottom"/>
            <w:shd w:val="clear" w:color="auto" w:fill="1A3FD6"/>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40" w:type="dxa"/>
            <w:vAlign w:val="bottom"/>
            <w:shd w:val="clear" w:color="auto" w:fill="1A3FD6"/>
          </w:tcPr>
          <w:p>
            <w:pPr>
              <w:spacing w:after="0"/>
              <w:rPr>
                <w:sz w:val="24"/>
                <w:szCs w:val="24"/>
                <w:color w:val="auto"/>
              </w:rPr>
            </w:pPr>
          </w:p>
        </w:tc>
        <w:tc>
          <w:tcPr>
            <w:tcW w:w="3460" w:type="dxa"/>
            <w:vAlign w:val="bottom"/>
            <w:gridSpan w:val="2"/>
            <w:shd w:val="clear" w:color="auto" w:fill="1A3FD6"/>
          </w:tcPr>
          <w:p>
            <w:pPr>
              <w:ind w:left="20"/>
              <w:spacing w:after="0"/>
              <w:rPr>
                <w:sz w:val="20"/>
                <w:szCs w:val="20"/>
                <w:color w:val="auto"/>
              </w:rPr>
            </w:pPr>
            <w:r>
              <w:rPr>
                <w:rFonts w:ascii="Arial" w:cs="Arial" w:eastAsia="Arial" w:hAnsi="Arial"/>
                <w:sz w:val="16"/>
                <w:szCs w:val="16"/>
                <w:b w:val="1"/>
                <w:bCs w:val="1"/>
                <w:color w:val="FFFFFF"/>
              </w:rPr>
              <w:t>Our Business</w:t>
            </w:r>
          </w:p>
        </w:tc>
        <w:tc>
          <w:tcPr>
            <w:tcW w:w="160" w:type="dxa"/>
            <w:vAlign w:val="bottom"/>
            <w:tcBorders>
              <w:right w:val="single" w:sz="8" w:color="1A3FD6"/>
            </w:tcBorders>
            <w:shd w:val="clear" w:color="auto" w:fill="1A3FD6"/>
          </w:tcPr>
          <w:p>
            <w:pPr>
              <w:spacing w:after="0"/>
              <w:rPr>
                <w:sz w:val="24"/>
                <w:szCs w:val="24"/>
                <w:color w:val="auto"/>
              </w:rPr>
            </w:pPr>
          </w:p>
        </w:tc>
        <w:tc>
          <w:tcPr>
            <w:tcW w:w="140" w:type="dxa"/>
            <w:vAlign w:val="bottom"/>
            <w:shd w:val="clear" w:color="auto" w:fill="1A3FD6"/>
          </w:tcPr>
          <w:p>
            <w:pPr>
              <w:spacing w:after="0"/>
              <w:rPr>
                <w:sz w:val="24"/>
                <w:szCs w:val="24"/>
                <w:color w:val="auto"/>
              </w:rPr>
            </w:pPr>
          </w:p>
        </w:tc>
        <w:tc>
          <w:tcPr>
            <w:tcW w:w="3340" w:type="dxa"/>
            <w:vAlign w:val="bottom"/>
            <w:shd w:val="clear" w:color="auto" w:fill="1A3FD6"/>
          </w:tcPr>
          <w:p>
            <w:pPr>
              <w:ind w:left="200"/>
              <w:spacing w:after="0"/>
              <w:rPr>
                <w:sz w:val="20"/>
                <w:szCs w:val="20"/>
                <w:color w:val="auto"/>
              </w:rPr>
            </w:pPr>
            <w:r>
              <w:rPr>
                <w:rFonts w:ascii="Arial" w:cs="Arial" w:eastAsia="Arial" w:hAnsi="Arial"/>
                <w:sz w:val="16"/>
                <w:szCs w:val="16"/>
                <w:b w:val="1"/>
                <w:bCs w:val="1"/>
                <w:color w:val="FFFFFF"/>
              </w:rPr>
              <w:t xml:space="preserve">Compensation </w:t>
            </w:r>
            <w:r>
              <w:rPr>
                <w:rFonts w:ascii="Arial" w:cs="Arial" w:eastAsia="Arial" w:hAnsi="Arial"/>
                <w:sz w:val="16"/>
                <w:szCs w:val="16"/>
                <w:color w:val="FFFFFF"/>
              </w:rPr>
              <w:t>and</w:t>
            </w:r>
            <w:r>
              <w:rPr>
                <w:rFonts w:ascii="Arial" w:cs="Arial" w:eastAsia="Arial" w:hAnsi="Arial"/>
                <w:sz w:val="16"/>
                <w:szCs w:val="16"/>
                <w:b w:val="1"/>
                <w:bCs w:val="1"/>
                <w:color w:val="FFFFFF"/>
              </w:rPr>
              <w:t xml:space="preserve"> Governance</w:t>
            </w:r>
          </w:p>
        </w:tc>
        <w:tc>
          <w:tcPr>
            <w:tcW w:w="160" w:type="dxa"/>
            <w:vAlign w:val="bottom"/>
            <w:tcBorders>
              <w:right w:val="single" w:sz="8" w:color="1A3FD6"/>
            </w:tcBorders>
            <w:shd w:val="clear" w:color="auto" w:fill="1A3FD6"/>
          </w:tcPr>
          <w:p>
            <w:pPr>
              <w:spacing w:after="0"/>
              <w:rPr>
                <w:sz w:val="24"/>
                <w:szCs w:val="24"/>
                <w:color w:val="auto"/>
              </w:rPr>
            </w:pPr>
          </w:p>
        </w:tc>
        <w:tc>
          <w:tcPr>
            <w:tcW w:w="140" w:type="dxa"/>
            <w:vAlign w:val="bottom"/>
            <w:shd w:val="clear" w:color="auto" w:fill="1A3FD6"/>
          </w:tcPr>
          <w:p>
            <w:pPr>
              <w:spacing w:after="0"/>
              <w:rPr>
                <w:sz w:val="24"/>
                <w:szCs w:val="24"/>
                <w:color w:val="auto"/>
              </w:rPr>
            </w:pPr>
          </w:p>
        </w:tc>
        <w:tc>
          <w:tcPr>
            <w:tcW w:w="3600" w:type="dxa"/>
            <w:vAlign w:val="bottom"/>
            <w:gridSpan w:val="2"/>
            <w:shd w:val="clear" w:color="auto" w:fill="1A3FD6"/>
          </w:tcPr>
          <w:p>
            <w:pPr>
              <w:ind w:left="200"/>
              <w:spacing w:after="0"/>
              <w:rPr>
                <w:sz w:val="20"/>
                <w:szCs w:val="20"/>
                <w:color w:val="auto"/>
              </w:rPr>
            </w:pPr>
            <w:r>
              <w:rPr>
                <w:rFonts w:ascii="Arial" w:cs="Arial" w:eastAsia="Arial" w:hAnsi="Arial"/>
                <w:sz w:val="16"/>
                <w:szCs w:val="16"/>
                <w:b w:val="1"/>
                <w:bCs w:val="1"/>
                <w:color w:val="FFFFFF"/>
              </w:rPr>
              <w:t xml:space="preserve">Over </w:t>
            </w:r>
            <w:r>
              <w:rPr>
                <w:rFonts w:ascii="Arial" w:cs="Arial" w:eastAsia="Arial" w:hAnsi="Arial"/>
                <w:sz w:val="16"/>
                <w:szCs w:val="16"/>
                <w:color w:val="FFFFFF"/>
              </w:rPr>
              <w:t>270 meetings with our shareholders,</w:t>
            </w:r>
          </w:p>
        </w:tc>
        <w:tc>
          <w:tcPr>
            <w:tcW w:w="0" w:type="dxa"/>
            <w:vAlign w:val="bottom"/>
          </w:tcPr>
          <w:p>
            <w:pPr>
              <w:spacing w:after="0"/>
              <w:rPr>
                <w:sz w:val="1"/>
                <w:szCs w:val="1"/>
                <w:color w:val="auto"/>
              </w:rPr>
            </w:pPr>
          </w:p>
        </w:tc>
      </w:tr>
      <w:tr>
        <w:trPr>
          <w:trHeight w:val="215"/>
        </w:trPr>
        <w:tc>
          <w:tcPr>
            <w:tcW w:w="240" w:type="dxa"/>
            <w:vAlign w:val="bottom"/>
            <w:shd w:val="clear" w:color="auto" w:fill="1A3FD6"/>
          </w:tcPr>
          <w:p>
            <w:pPr>
              <w:spacing w:after="0"/>
              <w:rPr>
                <w:sz w:val="18"/>
                <w:szCs w:val="18"/>
                <w:color w:val="auto"/>
              </w:rPr>
            </w:pPr>
          </w:p>
        </w:tc>
        <w:tc>
          <w:tcPr>
            <w:tcW w:w="3460" w:type="dxa"/>
            <w:vAlign w:val="bottom"/>
            <w:gridSpan w:val="2"/>
            <w:vMerge w:val="restart"/>
            <w:shd w:val="clear" w:color="auto" w:fill="1A3FD6"/>
          </w:tcPr>
          <w:p>
            <w:pPr>
              <w:ind w:left="20"/>
              <w:spacing w:after="0"/>
              <w:rPr>
                <w:sz w:val="20"/>
                <w:szCs w:val="20"/>
                <w:color w:val="auto"/>
              </w:rPr>
            </w:pPr>
            <w:r>
              <w:rPr>
                <w:rFonts w:ascii="Arial" w:cs="Arial" w:eastAsia="Arial" w:hAnsi="Arial"/>
                <w:sz w:val="16"/>
                <w:szCs w:val="16"/>
                <w:color w:val="FFFFFF"/>
              </w:rPr>
              <w:t>Market Trends</w:t>
            </w:r>
          </w:p>
        </w:tc>
        <w:tc>
          <w:tcPr>
            <w:tcW w:w="160" w:type="dxa"/>
            <w:vAlign w:val="bottom"/>
            <w:tcBorders>
              <w:right w:val="single" w:sz="8" w:color="1A3FD6"/>
            </w:tcBorders>
            <w:shd w:val="clear" w:color="auto" w:fill="1A3FD6"/>
          </w:tcPr>
          <w:p>
            <w:pPr>
              <w:spacing w:after="0"/>
              <w:rPr>
                <w:sz w:val="18"/>
                <w:szCs w:val="18"/>
                <w:color w:val="auto"/>
              </w:rPr>
            </w:pPr>
          </w:p>
        </w:tc>
        <w:tc>
          <w:tcPr>
            <w:tcW w:w="140" w:type="dxa"/>
            <w:vAlign w:val="bottom"/>
            <w:shd w:val="clear" w:color="auto" w:fill="1A3FD6"/>
          </w:tcPr>
          <w:p>
            <w:pPr>
              <w:spacing w:after="0"/>
              <w:rPr>
                <w:sz w:val="18"/>
                <w:szCs w:val="18"/>
                <w:color w:val="auto"/>
              </w:rPr>
            </w:pPr>
          </w:p>
        </w:tc>
        <w:tc>
          <w:tcPr>
            <w:tcW w:w="3340" w:type="dxa"/>
            <w:vAlign w:val="bottom"/>
            <w:vMerge w:val="restart"/>
            <w:shd w:val="clear" w:color="auto" w:fill="1A3FD6"/>
          </w:tcPr>
          <w:p>
            <w:pPr>
              <w:ind w:left="200"/>
              <w:spacing w:after="0"/>
              <w:rPr>
                <w:sz w:val="20"/>
                <w:szCs w:val="20"/>
                <w:color w:val="auto"/>
              </w:rPr>
            </w:pPr>
            <w:r>
              <w:rPr>
                <w:rFonts w:ascii="Arial" w:cs="Arial" w:eastAsia="Arial" w:hAnsi="Arial"/>
                <w:sz w:val="16"/>
                <w:szCs w:val="16"/>
                <w:color w:val="FFFFFF"/>
              </w:rPr>
              <w:t>Succession Planning</w:t>
            </w:r>
          </w:p>
        </w:tc>
        <w:tc>
          <w:tcPr>
            <w:tcW w:w="160" w:type="dxa"/>
            <w:vAlign w:val="bottom"/>
            <w:tcBorders>
              <w:right w:val="single" w:sz="8" w:color="1A3FD6"/>
            </w:tcBorders>
            <w:shd w:val="clear" w:color="auto" w:fill="1A3FD6"/>
          </w:tcPr>
          <w:p>
            <w:pPr>
              <w:spacing w:after="0"/>
              <w:rPr>
                <w:sz w:val="18"/>
                <w:szCs w:val="18"/>
                <w:color w:val="auto"/>
              </w:rPr>
            </w:pPr>
          </w:p>
        </w:tc>
        <w:tc>
          <w:tcPr>
            <w:tcW w:w="140" w:type="dxa"/>
            <w:vAlign w:val="bottom"/>
            <w:shd w:val="clear" w:color="auto" w:fill="1A3FD6"/>
          </w:tcPr>
          <w:p>
            <w:pPr>
              <w:spacing w:after="0"/>
              <w:rPr>
                <w:sz w:val="18"/>
                <w:szCs w:val="18"/>
                <w:color w:val="auto"/>
              </w:rPr>
            </w:pPr>
          </w:p>
        </w:tc>
        <w:tc>
          <w:tcPr>
            <w:tcW w:w="3600" w:type="dxa"/>
            <w:vAlign w:val="bottom"/>
            <w:gridSpan w:val="2"/>
            <w:shd w:val="clear" w:color="auto" w:fill="1A3FD6"/>
          </w:tcPr>
          <w:p>
            <w:pPr>
              <w:ind w:left="200"/>
              <w:spacing w:after="0"/>
              <w:rPr>
                <w:sz w:val="20"/>
                <w:szCs w:val="20"/>
                <w:color w:val="auto"/>
              </w:rPr>
            </w:pPr>
            <w:r>
              <w:rPr>
                <w:rFonts w:ascii="Arial" w:cs="Arial" w:eastAsia="Arial" w:hAnsi="Arial"/>
                <w:sz w:val="16"/>
                <w:szCs w:val="16"/>
                <w:color w:val="FFFFFF"/>
              </w:rPr>
              <w:t>prospective shareholders and sell-side</w:t>
            </w:r>
          </w:p>
        </w:tc>
        <w:tc>
          <w:tcPr>
            <w:tcW w:w="0" w:type="dxa"/>
            <w:vAlign w:val="bottom"/>
          </w:tcPr>
          <w:p>
            <w:pPr>
              <w:spacing w:after="0"/>
              <w:rPr>
                <w:sz w:val="1"/>
                <w:szCs w:val="1"/>
                <w:color w:val="auto"/>
              </w:rPr>
            </w:pPr>
          </w:p>
        </w:tc>
      </w:tr>
      <w:tr>
        <w:trPr>
          <w:trHeight w:val="81"/>
        </w:trPr>
        <w:tc>
          <w:tcPr>
            <w:tcW w:w="240" w:type="dxa"/>
            <w:vAlign w:val="bottom"/>
            <w:shd w:val="clear" w:color="auto" w:fill="1A3FD6"/>
          </w:tcPr>
          <w:p>
            <w:pPr>
              <w:spacing w:after="0"/>
              <w:rPr>
                <w:sz w:val="7"/>
                <w:szCs w:val="7"/>
                <w:color w:val="auto"/>
              </w:rPr>
            </w:pPr>
          </w:p>
        </w:tc>
        <w:tc>
          <w:tcPr>
            <w:tcW w:w="3460" w:type="dxa"/>
            <w:vAlign w:val="bottom"/>
            <w:gridSpan w:val="2"/>
            <w:vMerge w:val="continue"/>
            <w:shd w:val="clear" w:color="auto" w:fill="1A3FD6"/>
          </w:tcPr>
          <w:p>
            <w:pPr>
              <w:spacing w:after="0"/>
              <w:rPr>
                <w:sz w:val="7"/>
                <w:szCs w:val="7"/>
                <w:color w:val="auto"/>
              </w:rPr>
            </w:pPr>
          </w:p>
        </w:tc>
        <w:tc>
          <w:tcPr>
            <w:tcW w:w="160" w:type="dxa"/>
            <w:vAlign w:val="bottom"/>
            <w:tcBorders>
              <w:right w:val="single" w:sz="8" w:color="1A3FD6"/>
            </w:tcBorders>
            <w:shd w:val="clear" w:color="auto" w:fill="1A3FD6"/>
          </w:tcPr>
          <w:p>
            <w:pPr>
              <w:spacing w:after="0"/>
              <w:rPr>
                <w:sz w:val="7"/>
                <w:szCs w:val="7"/>
                <w:color w:val="auto"/>
              </w:rPr>
            </w:pPr>
          </w:p>
        </w:tc>
        <w:tc>
          <w:tcPr>
            <w:tcW w:w="140" w:type="dxa"/>
            <w:vAlign w:val="bottom"/>
            <w:shd w:val="clear" w:color="auto" w:fill="1A3FD6"/>
          </w:tcPr>
          <w:p>
            <w:pPr>
              <w:spacing w:after="0"/>
              <w:rPr>
                <w:sz w:val="7"/>
                <w:szCs w:val="7"/>
                <w:color w:val="auto"/>
              </w:rPr>
            </w:pPr>
          </w:p>
        </w:tc>
        <w:tc>
          <w:tcPr>
            <w:tcW w:w="3340" w:type="dxa"/>
            <w:vAlign w:val="bottom"/>
            <w:vMerge w:val="continue"/>
            <w:shd w:val="clear" w:color="auto" w:fill="1A3FD6"/>
          </w:tcPr>
          <w:p>
            <w:pPr>
              <w:spacing w:after="0"/>
              <w:rPr>
                <w:sz w:val="7"/>
                <w:szCs w:val="7"/>
                <w:color w:val="auto"/>
              </w:rPr>
            </w:pPr>
          </w:p>
        </w:tc>
        <w:tc>
          <w:tcPr>
            <w:tcW w:w="160" w:type="dxa"/>
            <w:vAlign w:val="bottom"/>
            <w:tcBorders>
              <w:right w:val="single" w:sz="8" w:color="1A3FD6"/>
            </w:tcBorders>
            <w:shd w:val="clear" w:color="auto" w:fill="1A3FD6"/>
          </w:tcPr>
          <w:p>
            <w:pPr>
              <w:spacing w:after="0"/>
              <w:rPr>
                <w:sz w:val="7"/>
                <w:szCs w:val="7"/>
                <w:color w:val="auto"/>
              </w:rPr>
            </w:pPr>
          </w:p>
        </w:tc>
        <w:tc>
          <w:tcPr>
            <w:tcW w:w="140" w:type="dxa"/>
            <w:vAlign w:val="bottom"/>
            <w:shd w:val="clear" w:color="auto" w:fill="1A3FD6"/>
          </w:tcPr>
          <w:p>
            <w:pPr>
              <w:spacing w:after="0"/>
              <w:rPr>
                <w:sz w:val="7"/>
                <w:szCs w:val="7"/>
                <w:color w:val="auto"/>
              </w:rPr>
            </w:pPr>
          </w:p>
        </w:tc>
        <w:tc>
          <w:tcPr>
            <w:tcW w:w="3600" w:type="dxa"/>
            <w:vAlign w:val="bottom"/>
            <w:gridSpan w:val="2"/>
            <w:vMerge w:val="restart"/>
            <w:shd w:val="clear" w:color="auto" w:fill="1A3FD6"/>
          </w:tcPr>
          <w:p>
            <w:pPr>
              <w:ind w:left="200"/>
              <w:spacing w:after="0"/>
              <w:rPr>
                <w:sz w:val="20"/>
                <w:szCs w:val="20"/>
                <w:color w:val="auto"/>
              </w:rPr>
            </w:pPr>
            <w:r>
              <w:rPr>
                <w:rFonts w:ascii="Arial" w:cs="Arial" w:eastAsia="Arial" w:hAnsi="Arial"/>
                <w:sz w:val="16"/>
                <w:szCs w:val="16"/>
                <w:color w:val="FFFFFF"/>
              </w:rPr>
              <w:t>analysts, including off-season</w:t>
            </w:r>
          </w:p>
        </w:tc>
        <w:tc>
          <w:tcPr>
            <w:tcW w:w="0" w:type="dxa"/>
            <w:vAlign w:val="bottom"/>
          </w:tcPr>
          <w:p>
            <w:pPr>
              <w:spacing w:after="0"/>
              <w:rPr>
                <w:sz w:val="1"/>
                <w:szCs w:val="1"/>
                <w:color w:val="auto"/>
              </w:rPr>
            </w:pPr>
          </w:p>
        </w:tc>
      </w:tr>
      <w:tr>
        <w:trPr>
          <w:trHeight w:val="135"/>
        </w:trPr>
        <w:tc>
          <w:tcPr>
            <w:tcW w:w="240" w:type="dxa"/>
            <w:vAlign w:val="bottom"/>
            <w:shd w:val="clear" w:color="auto" w:fill="1A3FD6"/>
          </w:tcPr>
          <w:p>
            <w:pPr>
              <w:spacing w:after="0"/>
              <w:rPr>
                <w:sz w:val="11"/>
                <w:szCs w:val="11"/>
                <w:color w:val="auto"/>
              </w:rPr>
            </w:pPr>
          </w:p>
        </w:tc>
        <w:tc>
          <w:tcPr>
            <w:tcW w:w="3460" w:type="dxa"/>
            <w:vAlign w:val="bottom"/>
            <w:gridSpan w:val="2"/>
            <w:vMerge w:val="restart"/>
            <w:shd w:val="clear" w:color="auto" w:fill="1A3FD6"/>
          </w:tcPr>
          <w:p>
            <w:pPr>
              <w:ind w:left="20"/>
              <w:spacing w:after="0"/>
              <w:rPr>
                <w:sz w:val="20"/>
                <w:szCs w:val="20"/>
                <w:color w:val="auto"/>
              </w:rPr>
            </w:pPr>
            <w:r>
              <w:rPr>
                <w:rFonts w:ascii="Arial" w:cs="Arial" w:eastAsia="Arial" w:hAnsi="Arial"/>
                <w:sz w:val="16"/>
                <w:szCs w:val="16"/>
                <w:color w:val="FFFFFF"/>
              </w:rPr>
              <w:t>AI Strategy and Innovation</w:t>
            </w:r>
          </w:p>
        </w:tc>
        <w:tc>
          <w:tcPr>
            <w:tcW w:w="160" w:type="dxa"/>
            <w:vAlign w:val="bottom"/>
            <w:tcBorders>
              <w:right w:val="single" w:sz="8" w:color="1A3FD6"/>
            </w:tcBorders>
            <w:shd w:val="clear" w:color="auto" w:fill="1A3FD6"/>
          </w:tcPr>
          <w:p>
            <w:pPr>
              <w:spacing w:after="0"/>
              <w:rPr>
                <w:sz w:val="11"/>
                <w:szCs w:val="11"/>
                <w:color w:val="auto"/>
              </w:rPr>
            </w:pPr>
          </w:p>
        </w:tc>
        <w:tc>
          <w:tcPr>
            <w:tcW w:w="140" w:type="dxa"/>
            <w:vAlign w:val="bottom"/>
            <w:shd w:val="clear" w:color="auto" w:fill="1A3FD6"/>
          </w:tcPr>
          <w:p>
            <w:pPr>
              <w:spacing w:after="0"/>
              <w:rPr>
                <w:sz w:val="11"/>
                <w:szCs w:val="11"/>
                <w:color w:val="auto"/>
              </w:rPr>
            </w:pPr>
          </w:p>
        </w:tc>
        <w:tc>
          <w:tcPr>
            <w:tcW w:w="3340" w:type="dxa"/>
            <w:vAlign w:val="bottom"/>
            <w:vMerge w:val="restart"/>
            <w:shd w:val="clear" w:color="auto" w:fill="1A3FD6"/>
          </w:tcPr>
          <w:p>
            <w:pPr>
              <w:ind w:left="200"/>
              <w:spacing w:after="0"/>
              <w:rPr>
                <w:sz w:val="20"/>
                <w:szCs w:val="20"/>
                <w:color w:val="auto"/>
              </w:rPr>
            </w:pPr>
            <w:r>
              <w:rPr>
                <w:rFonts w:ascii="Arial" w:cs="Arial" w:eastAsia="Arial" w:hAnsi="Arial"/>
                <w:sz w:val="16"/>
                <w:szCs w:val="16"/>
                <w:color w:val="FFFFFF"/>
              </w:rPr>
              <w:t>Board Oversight</w:t>
            </w:r>
          </w:p>
        </w:tc>
        <w:tc>
          <w:tcPr>
            <w:tcW w:w="160" w:type="dxa"/>
            <w:vAlign w:val="bottom"/>
            <w:tcBorders>
              <w:right w:val="single" w:sz="8" w:color="1A3FD6"/>
            </w:tcBorders>
            <w:shd w:val="clear" w:color="auto" w:fill="1A3FD6"/>
          </w:tcPr>
          <w:p>
            <w:pPr>
              <w:spacing w:after="0"/>
              <w:rPr>
                <w:sz w:val="11"/>
                <w:szCs w:val="11"/>
                <w:color w:val="auto"/>
              </w:rPr>
            </w:pPr>
          </w:p>
        </w:tc>
        <w:tc>
          <w:tcPr>
            <w:tcW w:w="140" w:type="dxa"/>
            <w:vAlign w:val="bottom"/>
            <w:shd w:val="clear" w:color="auto" w:fill="1A3FD6"/>
          </w:tcPr>
          <w:p>
            <w:pPr>
              <w:spacing w:after="0"/>
              <w:rPr>
                <w:sz w:val="11"/>
                <w:szCs w:val="11"/>
                <w:color w:val="auto"/>
              </w:rPr>
            </w:pPr>
          </w:p>
        </w:tc>
        <w:tc>
          <w:tcPr>
            <w:tcW w:w="3600" w:type="dxa"/>
            <w:vAlign w:val="bottom"/>
            <w:gridSpan w:val="2"/>
            <w:vMerge w:val="continue"/>
            <w:shd w:val="clear" w:color="auto" w:fill="1A3FD6"/>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 w:type="dxa"/>
            <w:vAlign w:val="bottom"/>
            <w:shd w:val="clear" w:color="auto" w:fill="1A3FD6"/>
          </w:tcPr>
          <w:p>
            <w:pPr>
              <w:spacing w:after="0"/>
              <w:rPr>
                <w:sz w:val="12"/>
                <w:szCs w:val="12"/>
                <w:color w:val="auto"/>
              </w:rPr>
            </w:pPr>
          </w:p>
        </w:tc>
        <w:tc>
          <w:tcPr>
            <w:tcW w:w="3460" w:type="dxa"/>
            <w:vAlign w:val="bottom"/>
            <w:gridSpan w:val="2"/>
            <w:vMerge w:val="continue"/>
            <w:shd w:val="clear" w:color="auto" w:fill="1A3FD6"/>
          </w:tcPr>
          <w:p>
            <w:pPr>
              <w:spacing w:after="0"/>
              <w:rPr>
                <w:sz w:val="12"/>
                <w:szCs w:val="12"/>
                <w:color w:val="auto"/>
              </w:rPr>
            </w:pPr>
          </w:p>
        </w:tc>
        <w:tc>
          <w:tcPr>
            <w:tcW w:w="160" w:type="dxa"/>
            <w:vAlign w:val="bottom"/>
            <w:tcBorders>
              <w:right w:val="single" w:sz="8" w:color="1A3FD6"/>
            </w:tcBorders>
            <w:shd w:val="clear" w:color="auto" w:fill="1A3FD6"/>
          </w:tcPr>
          <w:p>
            <w:pPr>
              <w:spacing w:after="0"/>
              <w:rPr>
                <w:sz w:val="12"/>
                <w:szCs w:val="12"/>
                <w:color w:val="auto"/>
              </w:rPr>
            </w:pPr>
          </w:p>
        </w:tc>
        <w:tc>
          <w:tcPr>
            <w:tcW w:w="140" w:type="dxa"/>
            <w:vAlign w:val="bottom"/>
            <w:shd w:val="clear" w:color="auto" w:fill="1A3FD6"/>
          </w:tcPr>
          <w:p>
            <w:pPr>
              <w:spacing w:after="0"/>
              <w:rPr>
                <w:sz w:val="12"/>
                <w:szCs w:val="12"/>
                <w:color w:val="auto"/>
              </w:rPr>
            </w:pPr>
          </w:p>
        </w:tc>
        <w:tc>
          <w:tcPr>
            <w:tcW w:w="3340" w:type="dxa"/>
            <w:vAlign w:val="bottom"/>
            <w:vMerge w:val="continue"/>
            <w:shd w:val="clear" w:color="auto" w:fill="1A3FD6"/>
          </w:tcPr>
          <w:p>
            <w:pPr>
              <w:spacing w:after="0"/>
              <w:rPr>
                <w:sz w:val="12"/>
                <w:szCs w:val="12"/>
                <w:color w:val="auto"/>
              </w:rPr>
            </w:pPr>
          </w:p>
        </w:tc>
        <w:tc>
          <w:tcPr>
            <w:tcW w:w="160" w:type="dxa"/>
            <w:vAlign w:val="bottom"/>
            <w:tcBorders>
              <w:right w:val="single" w:sz="8" w:color="1A3FD6"/>
            </w:tcBorders>
            <w:shd w:val="clear" w:color="auto" w:fill="1A3FD6"/>
          </w:tcPr>
          <w:p>
            <w:pPr>
              <w:spacing w:after="0"/>
              <w:rPr>
                <w:sz w:val="12"/>
                <w:szCs w:val="12"/>
                <w:color w:val="auto"/>
              </w:rPr>
            </w:pPr>
          </w:p>
        </w:tc>
        <w:tc>
          <w:tcPr>
            <w:tcW w:w="140" w:type="dxa"/>
            <w:vAlign w:val="bottom"/>
            <w:shd w:val="clear" w:color="auto" w:fill="1A3FD6"/>
          </w:tcPr>
          <w:p>
            <w:pPr>
              <w:spacing w:after="0"/>
              <w:rPr>
                <w:sz w:val="12"/>
                <w:szCs w:val="12"/>
                <w:color w:val="auto"/>
              </w:rPr>
            </w:pPr>
          </w:p>
        </w:tc>
        <w:tc>
          <w:tcPr>
            <w:tcW w:w="3600" w:type="dxa"/>
            <w:vAlign w:val="bottom"/>
            <w:gridSpan w:val="2"/>
            <w:vMerge w:val="restart"/>
            <w:shd w:val="clear" w:color="auto" w:fill="1A3FD6"/>
          </w:tcPr>
          <w:p>
            <w:pPr>
              <w:ind w:left="20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16"/>
                <w:szCs w:val="16"/>
                <w:color w:val="FFFFFF"/>
              </w:rPr>
              <w:t>42</w:t>
            </w:r>
            <w:r>
              <w:rPr>
                <w:rFonts w:ascii="Arial" w:cs="Arial" w:eastAsia="Arial" w:hAnsi="Arial"/>
                <w:sz w:val="16"/>
                <w:szCs w:val="16"/>
                <w:b w:val="1"/>
                <w:bCs w:val="1"/>
                <w:color w:val="FFFFFF"/>
              </w:rPr>
              <w:t>% of our shares outstanding</w:t>
            </w:r>
          </w:p>
        </w:tc>
        <w:tc>
          <w:tcPr>
            <w:tcW w:w="0" w:type="dxa"/>
            <w:vAlign w:val="bottom"/>
          </w:tcPr>
          <w:p>
            <w:pPr>
              <w:spacing w:after="0"/>
              <w:rPr>
                <w:sz w:val="1"/>
                <w:szCs w:val="1"/>
                <w:color w:val="auto"/>
              </w:rPr>
            </w:pPr>
          </w:p>
        </w:tc>
      </w:tr>
      <w:tr>
        <w:trPr>
          <w:trHeight w:val="123"/>
        </w:trPr>
        <w:tc>
          <w:tcPr>
            <w:tcW w:w="240" w:type="dxa"/>
            <w:vAlign w:val="bottom"/>
            <w:shd w:val="clear" w:color="auto" w:fill="1A3FD6"/>
          </w:tcPr>
          <w:p>
            <w:pPr>
              <w:spacing w:after="0"/>
              <w:rPr>
                <w:sz w:val="10"/>
                <w:szCs w:val="10"/>
                <w:color w:val="auto"/>
              </w:rPr>
            </w:pPr>
          </w:p>
        </w:tc>
        <w:tc>
          <w:tcPr>
            <w:tcW w:w="3460" w:type="dxa"/>
            <w:vAlign w:val="bottom"/>
            <w:gridSpan w:val="2"/>
            <w:vMerge w:val="restart"/>
            <w:shd w:val="clear" w:color="auto" w:fill="1A3FD6"/>
          </w:tcPr>
          <w:p>
            <w:pPr>
              <w:ind w:left="20"/>
              <w:spacing w:after="0"/>
              <w:rPr>
                <w:sz w:val="20"/>
                <w:szCs w:val="20"/>
                <w:color w:val="auto"/>
              </w:rPr>
            </w:pPr>
            <w:r>
              <w:rPr>
                <w:rFonts w:ascii="Arial" w:cs="Arial" w:eastAsia="Arial" w:hAnsi="Arial"/>
                <w:sz w:val="16"/>
                <w:szCs w:val="16"/>
                <w:color w:val="FFFFFF"/>
              </w:rPr>
              <w:t>Long-Term Growth Framework</w:t>
            </w:r>
          </w:p>
        </w:tc>
        <w:tc>
          <w:tcPr>
            <w:tcW w:w="160" w:type="dxa"/>
            <w:vAlign w:val="bottom"/>
            <w:tcBorders>
              <w:right w:val="single" w:sz="8" w:color="1A3FD6"/>
            </w:tcBorders>
            <w:shd w:val="clear" w:color="auto" w:fill="1A3FD6"/>
          </w:tcPr>
          <w:p>
            <w:pPr>
              <w:spacing w:after="0"/>
              <w:rPr>
                <w:sz w:val="10"/>
                <w:szCs w:val="10"/>
                <w:color w:val="auto"/>
              </w:rPr>
            </w:pPr>
          </w:p>
        </w:tc>
        <w:tc>
          <w:tcPr>
            <w:tcW w:w="140" w:type="dxa"/>
            <w:vAlign w:val="bottom"/>
            <w:shd w:val="clear" w:color="auto" w:fill="1A3FD6"/>
          </w:tcPr>
          <w:p>
            <w:pPr>
              <w:spacing w:after="0"/>
              <w:rPr>
                <w:sz w:val="10"/>
                <w:szCs w:val="10"/>
                <w:color w:val="auto"/>
              </w:rPr>
            </w:pPr>
          </w:p>
        </w:tc>
        <w:tc>
          <w:tcPr>
            <w:tcW w:w="3340" w:type="dxa"/>
            <w:vAlign w:val="bottom"/>
            <w:vMerge w:val="restart"/>
            <w:shd w:val="clear" w:color="auto" w:fill="1A3FD6"/>
          </w:tcPr>
          <w:p>
            <w:pPr>
              <w:ind w:left="200"/>
              <w:spacing w:after="0"/>
              <w:rPr>
                <w:sz w:val="20"/>
                <w:szCs w:val="20"/>
                <w:color w:val="auto"/>
              </w:rPr>
            </w:pPr>
            <w:r>
              <w:rPr>
                <w:rFonts w:ascii="Arial" w:cs="Arial" w:eastAsia="Arial" w:hAnsi="Arial"/>
                <w:sz w:val="16"/>
                <w:szCs w:val="16"/>
                <w:color w:val="FFFFFF"/>
              </w:rPr>
              <w:t>Talent Strategy</w:t>
            </w:r>
          </w:p>
        </w:tc>
        <w:tc>
          <w:tcPr>
            <w:tcW w:w="160" w:type="dxa"/>
            <w:vAlign w:val="bottom"/>
            <w:tcBorders>
              <w:right w:val="single" w:sz="8" w:color="1A3FD6"/>
            </w:tcBorders>
            <w:shd w:val="clear" w:color="auto" w:fill="1A3FD6"/>
          </w:tcPr>
          <w:p>
            <w:pPr>
              <w:spacing w:after="0"/>
              <w:rPr>
                <w:sz w:val="10"/>
                <w:szCs w:val="10"/>
                <w:color w:val="auto"/>
              </w:rPr>
            </w:pPr>
          </w:p>
        </w:tc>
        <w:tc>
          <w:tcPr>
            <w:tcW w:w="140" w:type="dxa"/>
            <w:vAlign w:val="bottom"/>
            <w:shd w:val="clear" w:color="auto" w:fill="1A3FD6"/>
          </w:tcPr>
          <w:p>
            <w:pPr>
              <w:spacing w:after="0"/>
              <w:rPr>
                <w:sz w:val="10"/>
                <w:szCs w:val="10"/>
                <w:color w:val="auto"/>
              </w:rPr>
            </w:pPr>
          </w:p>
        </w:tc>
        <w:tc>
          <w:tcPr>
            <w:tcW w:w="3600" w:type="dxa"/>
            <w:vAlign w:val="bottom"/>
            <w:gridSpan w:val="2"/>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40" w:type="dxa"/>
            <w:vAlign w:val="bottom"/>
            <w:shd w:val="clear" w:color="auto" w:fill="1A3FD6"/>
          </w:tcPr>
          <w:p>
            <w:pPr>
              <w:spacing w:after="0"/>
              <w:rPr>
                <w:sz w:val="12"/>
                <w:szCs w:val="12"/>
                <w:color w:val="auto"/>
              </w:rPr>
            </w:pPr>
          </w:p>
        </w:tc>
        <w:tc>
          <w:tcPr>
            <w:tcW w:w="3460" w:type="dxa"/>
            <w:vAlign w:val="bottom"/>
            <w:gridSpan w:val="2"/>
            <w:vMerge w:val="continue"/>
            <w:shd w:val="clear" w:color="auto" w:fill="1A3FD6"/>
          </w:tcPr>
          <w:p>
            <w:pPr>
              <w:spacing w:after="0"/>
              <w:rPr>
                <w:sz w:val="12"/>
                <w:szCs w:val="12"/>
                <w:color w:val="auto"/>
              </w:rPr>
            </w:pPr>
          </w:p>
        </w:tc>
        <w:tc>
          <w:tcPr>
            <w:tcW w:w="160" w:type="dxa"/>
            <w:vAlign w:val="bottom"/>
            <w:tcBorders>
              <w:right w:val="single" w:sz="8" w:color="1A3FD6"/>
            </w:tcBorders>
            <w:shd w:val="clear" w:color="auto" w:fill="1A3FD6"/>
          </w:tcPr>
          <w:p>
            <w:pPr>
              <w:spacing w:after="0"/>
              <w:rPr>
                <w:sz w:val="12"/>
                <w:szCs w:val="12"/>
                <w:color w:val="auto"/>
              </w:rPr>
            </w:pPr>
          </w:p>
        </w:tc>
        <w:tc>
          <w:tcPr>
            <w:tcW w:w="140" w:type="dxa"/>
            <w:vAlign w:val="bottom"/>
            <w:shd w:val="clear" w:color="auto" w:fill="1A3FD6"/>
          </w:tcPr>
          <w:p>
            <w:pPr>
              <w:spacing w:after="0"/>
              <w:rPr>
                <w:sz w:val="12"/>
                <w:szCs w:val="12"/>
                <w:color w:val="auto"/>
              </w:rPr>
            </w:pPr>
          </w:p>
        </w:tc>
        <w:tc>
          <w:tcPr>
            <w:tcW w:w="3340" w:type="dxa"/>
            <w:vAlign w:val="bottom"/>
            <w:vMerge w:val="continue"/>
            <w:shd w:val="clear" w:color="auto" w:fill="1A3FD6"/>
          </w:tcPr>
          <w:p>
            <w:pPr>
              <w:spacing w:after="0"/>
              <w:rPr>
                <w:sz w:val="12"/>
                <w:szCs w:val="12"/>
                <w:color w:val="auto"/>
              </w:rPr>
            </w:pPr>
          </w:p>
        </w:tc>
        <w:tc>
          <w:tcPr>
            <w:tcW w:w="160" w:type="dxa"/>
            <w:vAlign w:val="bottom"/>
            <w:tcBorders>
              <w:right w:val="single" w:sz="8" w:color="1A3FD6"/>
            </w:tcBorders>
            <w:shd w:val="clear" w:color="auto" w:fill="1A3FD6"/>
          </w:tcPr>
          <w:p>
            <w:pPr>
              <w:spacing w:after="0"/>
              <w:rPr>
                <w:sz w:val="12"/>
                <w:szCs w:val="12"/>
                <w:color w:val="auto"/>
              </w:rPr>
            </w:pPr>
          </w:p>
        </w:tc>
        <w:tc>
          <w:tcPr>
            <w:tcW w:w="140" w:type="dxa"/>
            <w:vAlign w:val="bottom"/>
            <w:shd w:val="clear" w:color="auto" w:fill="1A3FD6"/>
          </w:tcPr>
          <w:p>
            <w:pPr>
              <w:spacing w:after="0"/>
              <w:rPr>
                <w:sz w:val="12"/>
                <w:szCs w:val="12"/>
                <w:color w:val="auto"/>
              </w:rPr>
            </w:pPr>
          </w:p>
        </w:tc>
        <w:tc>
          <w:tcPr>
            <w:tcW w:w="3600" w:type="dxa"/>
            <w:vAlign w:val="bottom"/>
            <w:gridSpan w:val="2"/>
            <w:vMerge w:val="restart"/>
            <w:shd w:val="clear" w:color="auto" w:fill="1A3FD6"/>
          </w:tcPr>
          <w:p>
            <w:pPr>
              <w:ind w:left="200"/>
              <w:spacing w:after="0"/>
              <w:rPr>
                <w:sz w:val="20"/>
                <w:szCs w:val="20"/>
                <w:color w:val="auto"/>
              </w:rPr>
            </w:pPr>
            <w:r>
              <w:rPr>
                <w:rFonts w:ascii="Arial" w:cs="Arial" w:eastAsia="Arial" w:hAnsi="Arial"/>
                <w:sz w:val="16"/>
                <w:szCs w:val="16"/>
                <w:color w:val="FFFFFF"/>
              </w:rPr>
              <w:t>represented across our shareholder</w:t>
            </w:r>
          </w:p>
        </w:tc>
        <w:tc>
          <w:tcPr>
            <w:tcW w:w="0" w:type="dxa"/>
            <w:vAlign w:val="bottom"/>
          </w:tcPr>
          <w:p>
            <w:pPr>
              <w:spacing w:after="0"/>
              <w:rPr>
                <w:sz w:val="1"/>
                <w:szCs w:val="1"/>
                <w:color w:val="auto"/>
              </w:rPr>
            </w:pPr>
          </w:p>
        </w:tc>
      </w:tr>
      <w:tr>
        <w:trPr>
          <w:trHeight w:val="68"/>
        </w:trPr>
        <w:tc>
          <w:tcPr>
            <w:tcW w:w="240" w:type="dxa"/>
            <w:vAlign w:val="bottom"/>
            <w:shd w:val="clear" w:color="auto" w:fill="1A3FD6"/>
          </w:tcPr>
          <w:p>
            <w:pPr>
              <w:spacing w:after="0"/>
              <w:rPr>
                <w:sz w:val="5"/>
                <w:szCs w:val="5"/>
                <w:color w:val="auto"/>
              </w:rPr>
            </w:pPr>
          </w:p>
        </w:tc>
        <w:tc>
          <w:tcPr>
            <w:tcW w:w="260" w:type="dxa"/>
            <w:vAlign w:val="bottom"/>
            <w:shd w:val="clear" w:color="auto" w:fill="1A3FD6"/>
          </w:tcPr>
          <w:p>
            <w:pPr>
              <w:spacing w:after="0"/>
              <w:rPr>
                <w:sz w:val="5"/>
                <w:szCs w:val="5"/>
                <w:color w:val="auto"/>
              </w:rPr>
            </w:pPr>
          </w:p>
        </w:tc>
        <w:tc>
          <w:tcPr>
            <w:tcW w:w="3200" w:type="dxa"/>
            <w:vAlign w:val="bottom"/>
            <w:shd w:val="clear" w:color="auto" w:fill="1A3FD6"/>
          </w:tcPr>
          <w:p>
            <w:pPr>
              <w:spacing w:after="0"/>
              <w:rPr>
                <w:sz w:val="5"/>
                <w:szCs w:val="5"/>
                <w:color w:val="auto"/>
              </w:rPr>
            </w:pPr>
          </w:p>
        </w:tc>
        <w:tc>
          <w:tcPr>
            <w:tcW w:w="160" w:type="dxa"/>
            <w:vAlign w:val="bottom"/>
            <w:tcBorders>
              <w:right w:val="single" w:sz="8" w:color="1A3FD6"/>
            </w:tcBorders>
            <w:shd w:val="clear" w:color="auto" w:fill="1A3FD6"/>
          </w:tcPr>
          <w:p>
            <w:pPr>
              <w:spacing w:after="0"/>
              <w:rPr>
                <w:sz w:val="5"/>
                <w:szCs w:val="5"/>
                <w:color w:val="auto"/>
              </w:rPr>
            </w:pPr>
          </w:p>
        </w:tc>
        <w:tc>
          <w:tcPr>
            <w:tcW w:w="140" w:type="dxa"/>
            <w:vAlign w:val="bottom"/>
            <w:shd w:val="clear" w:color="auto" w:fill="1A3FD6"/>
          </w:tcPr>
          <w:p>
            <w:pPr>
              <w:spacing w:after="0"/>
              <w:rPr>
                <w:sz w:val="5"/>
                <w:szCs w:val="5"/>
                <w:color w:val="auto"/>
              </w:rPr>
            </w:pPr>
          </w:p>
        </w:tc>
        <w:tc>
          <w:tcPr>
            <w:tcW w:w="3340" w:type="dxa"/>
            <w:vAlign w:val="bottom"/>
            <w:shd w:val="clear" w:color="auto" w:fill="1A3FD6"/>
          </w:tcPr>
          <w:p>
            <w:pPr>
              <w:spacing w:after="0"/>
              <w:rPr>
                <w:sz w:val="5"/>
                <w:szCs w:val="5"/>
                <w:color w:val="auto"/>
              </w:rPr>
            </w:pPr>
          </w:p>
        </w:tc>
        <w:tc>
          <w:tcPr>
            <w:tcW w:w="160" w:type="dxa"/>
            <w:vAlign w:val="bottom"/>
            <w:tcBorders>
              <w:right w:val="single" w:sz="8" w:color="1A3FD6"/>
            </w:tcBorders>
            <w:shd w:val="clear" w:color="auto" w:fill="1A3FD6"/>
          </w:tcPr>
          <w:p>
            <w:pPr>
              <w:spacing w:after="0"/>
              <w:rPr>
                <w:sz w:val="5"/>
                <w:szCs w:val="5"/>
                <w:color w:val="auto"/>
              </w:rPr>
            </w:pPr>
          </w:p>
        </w:tc>
        <w:tc>
          <w:tcPr>
            <w:tcW w:w="140" w:type="dxa"/>
            <w:vAlign w:val="bottom"/>
            <w:shd w:val="clear" w:color="auto" w:fill="1A3FD6"/>
          </w:tcPr>
          <w:p>
            <w:pPr>
              <w:spacing w:after="0"/>
              <w:rPr>
                <w:sz w:val="5"/>
                <w:szCs w:val="5"/>
                <w:color w:val="auto"/>
              </w:rPr>
            </w:pPr>
          </w:p>
        </w:tc>
        <w:tc>
          <w:tcPr>
            <w:tcW w:w="3600" w:type="dxa"/>
            <w:vAlign w:val="bottom"/>
            <w:gridSpan w:val="2"/>
            <w:vMerge w:val="continue"/>
            <w:shd w:val="clear" w:color="auto" w:fill="1A3FD6"/>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1A3FD6"/>
          </w:tcPr>
          <w:p>
            <w:pPr>
              <w:spacing w:after="0"/>
              <w:rPr>
                <w:sz w:val="18"/>
                <w:szCs w:val="18"/>
                <w:color w:val="auto"/>
              </w:rPr>
            </w:pPr>
          </w:p>
        </w:tc>
        <w:tc>
          <w:tcPr>
            <w:tcW w:w="3460" w:type="dxa"/>
            <w:vAlign w:val="bottom"/>
            <w:gridSpan w:val="2"/>
            <w:shd w:val="clear" w:color="auto" w:fill="1A3FD6"/>
          </w:tcPr>
          <w:p>
            <w:pPr>
              <w:ind w:left="20"/>
              <w:spacing w:after="0"/>
              <w:rPr>
                <w:sz w:val="20"/>
                <w:szCs w:val="20"/>
                <w:color w:val="auto"/>
              </w:rPr>
            </w:pPr>
            <w:r>
              <w:rPr>
                <w:rFonts w:ascii="Arial" w:cs="Arial" w:eastAsia="Arial" w:hAnsi="Arial"/>
                <w:sz w:val="16"/>
                <w:szCs w:val="16"/>
                <w:color w:val="FFFFFF"/>
              </w:rPr>
              <w:t>Financial Performance</w:t>
            </w:r>
          </w:p>
        </w:tc>
        <w:tc>
          <w:tcPr>
            <w:tcW w:w="160" w:type="dxa"/>
            <w:vAlign w:val="bottom"/>
            <w:tcBorders>
              <w:right w:val="single" w:sz="8" w:color="1A3FD6"/>
            </w:tcBorders>
            <w:shd w:val="clear" w:color="auto" w:fill="1A3FD6"/>
          </w:tcPr>
          <w:p>
            <w:pPr>
              <w:spacing w:after="0"/>
              <w:rPr>
                <w:sz w:val="18"/>
                <w:szCs w:val="18"/>
                <w:color w:val="auto"/>
              </w:rPr>
            </w:pPr>
          </w:p>
        </w:tc>
        <w:tc>
          <w:tcPr>
            <w:tcW w:w="140" w:type="dxa"/>
            <w:vAlign w:val="bottom"/>
            <w:shd w:val="clear" w:color="auto" w:fill="1A3FD6"/>
          </w:tcPr>
          <w:p>
            <w:pPr>
              <w:spacing w:after="0"/>
              <w:rPr>
                <w:sz w:val="18"/>
                <w:szCs w:val="18"/>
                <w:color w:val="auto"/>
              </w:rPr>
            </w:pPr>
          </w:p>
        </w:tc>
        <w:tc>
          <w:tcPr>
            <w:tcW w:w="3340" w:type="dxa"/>
            <w:vAlign w:val="bottom"/>
            <w:shd w:val="clear" w:color="auto" w:fill="1A3FD6"/>
          </w:tcPr>
          <w:p>
            <w:pPr>
              <w:ind w:left="200"/>
              <w:spacing w:after="0"/>
              <w:rPr>
                <w:sz w:val="20"/>
                <w:szCs w:val="20"/>
                <w:color w:val="auto"/>
              </w:rPr>
            </w:pPr>
            <w:r>
              <w:rPr>
                <w:rFonts w:ascii="Arial" w:cs="Arial" w:eastAsia="Arial" w:hAnsi="Arial"/>
                <w:sz w:val="16"/>
                <w:szCs w:val="16"/>
                <w:color w:val="FFFFFF"/>
              </w:rPr>
              <w:t>Executive Compensation</w:t>
            </w:r>
          </w:p>
        </w:tc>
        <w:tc>
          <w:tcPr>
            <w:tcW w:w="160" w:type="dxa"/>
            <w:vAlign w:val="bottom"/>
            <w:tcBorders>
              <w:right w:val="single" w:sz="8" w:color="1A3FD6"/>
            </w:tcBorders>
            <w:shd w:val="clear" w:color="auto" w:fill="1A3FD6"/>
          </w:tcPr>
          <w:p>
            <w:pPr>
              <w:spacing w:after="0"/>
              <w:rPr>
                <w:sz w:val="18"/>
                <w:szCs w:val="18"/>
                <w:color w:val="auto"/>
              </w:rPr>
            </w:pPr>
          </w:p>
        </w:tc>
        <w:tc>
          <w:tcPr>
            <w:tcW w:w="140" w:type="dxa"/>
            <w:vAlign w:val="bottom"/>
            <w:shd w:val="clear" w:color="auto" w:fill="1A3FD6"/>
          </w:tcPr>
          <w:p>
            <w:pPr>
              <w:spacing w:after="0"/>
              <w:rPr>
                <w:sz w:val="18"/>
                <w:szCs w:val="18"/>
                <w:color w:val="auto"/>
              </w:rPr>
            </w:pPr>
          </w:p>
        </w:tc>
        <w:tc>
          <w:tcPr>
            <w:tcW w:w="3600" w:type="dxa"/>
            <w:vAlign w:val="bottom"/>
            <w:gridSpan w:val="2"/>
            <w:shd w:val="clear" w:color="auto" w:fill="1A3FD6"/>
          </w:tcPr>
          <w:p>
            <w:pPr>
              <w:ind w:left="200"/>
              <w:spacing w:after="0"/>
              <w:rPr>
                <w:sz w:val="20"/>
                <w:szCs w:val="20"/>
                <w:color w:val="auto"/>
              </w:rPr>
            </w:pPr>
            <w:r>
              <w:rPr>
                <w:rFonts w:ascii="Arial" w:cs="Arial" w:eastAsia="Arial" w:hAnsi="Arial"/>
                <w:sz w:val="16"/>
                <w:szCs w:val="16"/>
                <w:color w:val="FFFFFF"/>
              </w:rPr>
              <w:t>engagement meetings in 2025</w:t>
            </w:r>
          </w:p>
        </w:tc>
        <w:tc>
          <w:tcPr>
            <w:tcW w:w="0" w:type="dxa"/>
            <w:vAlign w:val="bottom"/>
          </w:tcPr>
          <w:p>
            <w:pPr>
              <w:spacing w:after="0"/>
              <w:rPr>
                <w:sz w:val="1"/>
                <w:szCs w:val="1"/>
                <w:color w:val="auto"/>
              </w:rPr>
            </w:pPr>
          </w:p>
        </w:tc>
      </w:tr>
      <w:tr>
        <w:trPr>
          <w:trHeight w:val="283"/>
        </w:trPr>
        <w:tc>
          <w:tcPr>
            <w:tcW w:w="240" w:type="dxa"/>
            <w:vAlign w:val="bottom"/>
            <w:shd w:val="clear" w:color="auto" w:fill="1A3FD6"/>
          </w:tcPr>
          <w:p>
            <w:pPr>
              <w:spacing w:after="0"/>
              <w:rPr>
                <w:sz w:val="24"/>
                <w:szCs w:val="24"/>
                <w:color w:val="auto"/>
              </w:rPr>
            </w:pPr>
          </w:p>
        </w:tc>
        <w:tc>
          <w:tcPr>
            <w:tcW w:w="3460" w:type="dxa"/>
            <w:vAlign w:val="bottom"/>
            <w:gridSpan w:val="2"/>
            <w:shd w:val="clear" w:color="auto" w:fill="1A3FD6"/>
          </w:tcPr>
          <w:p>
            <w:pPr>
              <w:ind w:left="20"/>
              <w:spacing w:after="0"/>
              <w:rPr>
                <w:sz w:val="20"/>
                <w:szCs w:val="20"/>
                <w:color w:val="auto"/>
              </w:rPr>
            </w:pPr>
            <w:r>
              <w:rPr>
                <w:rFonts w:ascii="Arial" w:cs="Arial" w:eastAsia="Arial" w:hAnsi="Arial"/>
                <w:sz w:val="16"/>
                <w:szCs w:val="16"/>
                <w:color w:val="FFFFFF"/>
              </w:rPr>
              <w:t>Product and Client Expansion</w:t>
            </w:r>
          </w:p>
        </w:tc>
        <w:tc>
          <w:tcPr>
            <w:tcW w:w="160" w:type="dxa"/>
            <w:vAlign w:val="bottom"/>
            <w:tcBorders>
              <w:right w:val="single" w:sz="8" w:color="1A3FD6"/>
            </w:tcBorders>
            <w:shd w:val="clear" w:color="auto" w:fill="1A3FD6"/>
          </w:tcPr>
          <w:p>
            <w:pPr>
              <w:spacing w:after="0"/>
              <w:rPr>
                <w:sz w:val="24"/>
                <w:szCs w:val="24"/>
                <w:color w:val="auto"/>
              </w:rPr>
            </w:pPr>
          </w:p>
        </w:tc>
        <w:tc>
          <w:tcPr>
            <w:tcW w:w="140" w:type="dxa"/>
            <w:vAlign w:val="bottom"/>
            <w:shd w:val="clear" w:color="auto" w:fill="1A3FD6"/>
          </w:tcPr>
          <w:p>
            <w:pPr>
              <w:spacing w:after="0"/>
              <w:rPr>
                <w:sz w:val="24"/>
                <w:szCs w:val="24"/>
                <w:color w:val="auto"/>
              </w:rPr>
            </w:pPr>
          </w:p>
        </w:tc>
        <w:tc>
          <w:tcPr>
            <w:tcW w:w="3340" w:type="dxa"/>
            <w:vAlign w:val="bottom"/>
            <w:shd w:val="clear" w:color="auto" w:fill="1A3FD6"/>
          </w:tcPr>
          <w:p>
            <w:pPr>
              <w:ind w:left="200"/>
              <w:spacing w:after="0"/>
              <w:rPr>
                <w:sz w:val="20"/>
                <w:szCs w:val="20"/>
                <w:color w:val="auto"/>
              </w:rPr>
            </w:pPr>
            <w:r>
              <w:rPr>
                <w:rFonts w:ascii="Arial" w:cs="Arial" w:eastAsia="Arial" w:hAnsi="Arial"/>
                <w:sz w:val="16"/>
                <w:szCs w:val="16"/>
                <w:color w:val="FFFFFF"/>
              </w:rPr>
              <w:t>Sustainability Strategy</w:t>
            </w:r>
          </w:p>
        </w:tc>
        <w:tc>
          <w:tcPr>
            <w:tcW w:w="160" w:type="dxa"/>
            <w:vAlign w:val="bottom"/>
            <w:tcBorders>
              <w:right w:val="single" w:sz="8" w:color="1A3FD6"/>
            </w:tcBorders>
            <w:shd w:val="clear" w:color="auto" w:fill="1A3FD6"/>
          </w:tcPr>
          <w:p>
            <w:pPr>
              <w:spacing w:after="0"/>
              <w:rPr>
                <w:sz w:val="24"/>
                <w:szCs w:val="24"/>
                <w:color w:val="auto"/>
              </w:rPr>
            </w:pPr>
          </w:p>
        </w:tc>
        <w:tc>
          <w:tcPr>
            <w:tcW w:w="140" w:type="dxa"/>
            <w:vAlign w:val="bottom"/>
            <w:shd w:val="clear" w:color="auto" w:fill="1A3FD6"/>
          </w:tcPr>
          <w:p>
            <w:pPr>
              <w:spacing w:after="0"/>
              <w:rPr>
                <w:sz w:val="24"/>
                <w:szCs w:val="24"/>
                <w:color w:val="auto"/>
              </w:rPr>
            </w:pPr>
          </w:p>
        </w:tc>
        <w:tc>
          <w:tcPr>
            <w:tcW w:w="3340" w:type="dxa"/>
            <w:vAlign w:val="bottom"/>
            <w:shd w:val="clear" w:color="auto" w:fill="1A3FD6"/>
          </w:tcPr>
          <w:p>
            <w:pPr>
              <w:spacing w:after="0"/>
              <w:rPr>
                <w:sz w:val="24"/>
                <w:szCs w:val="24"/>
                <w:color w:val="auto"/>
              </w:rPr>
            </w:pPr>
          </w:p>
        </w:tc>
        <w:tc>
          <w:tcPr>
            <w:tcW w:w="260" w:type="dxa"/>
            <w:vAlign w:val="bottom"/>
            <w:shd w:val="clear" w:color="auto" w:fill="1A3FD6"/>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0" w:type="dxa"/>
            <w:vAlign w:val="bottom"/>
            <w:shd w:val="clear" w:color="auto" w:fill="1A3FD6"/>
          </w:tcPr>
          <w:p>
            <w:pPr>
              <w:spacing w:after="0"/>
              <w:rPr>
                <w:sz w:val="23"/>
                <w:szCs w:val="23"/>
                <w:color w:val="auto"/>
              </w:rPr>
            </w:pPr>
          </w:p>
        </w:tc>
        <w:tc>
          <w:tcPr>
            <w:tcW w:w="260" w:type="dxa"/>
            <w:vAlign w:val="bottom"/>
            <w:shd w:val="clear" w:color="auto" w:fill="1A3FD6"/>
          </w:tcPr>
          <w:p>
            <w:pPr>
              <w:spacing w:after="0"/>
              <w:rPr>
                <w:sz w:val="23"/>
                <w:szCs w:val="23"/>
                <w:color w:val="auto"/>
              </w:rPr>
            </w:pPr>
          </w:p>
        </w:tc>
        <w:tc>
          <w:tcPr>
            <w:tcW w:w="3200" w:type="dxa"/>
            <w:vAlign w:val="bottom"/>
            <w:shd w:val="clear" w:color="auto" w:fill="1A3FD6"/>
          </w:tcPr>
          <w:p>
            <w:pPr>
              <w:spacing w:after="0"/>
              <w:rPr>
                <w:sz w:val="23"/>
                <w:szCs w:val="23"/>
                <w:color w:val="auto"/>
              </w:rPr>
            </w:pPr>
          </w:p>
        </w:tc>
        <w:tc>
          <w:tcPr>
            <w:tcW w:w="160" w:type="dxa"/>
            <w:vAlign w:val="bottom"/>
            <w:tcBorders>
              <w:right w:val="single" w:sz="8" w:color="1A3FD6"/>
            </w:tcBorders>
            <w:shd w:val="clear" w:color="auto" w:fill="1A3FD6"/>
          </w:tcPr>
          <w:p>
            <w:pPr>
              <w:spacing w:after="0"/>
              <w:rPr>
                <w:sz w:val="23"/>
                <w:szCs w:val="23"/>
                <w:color w:val="auto"/>
              </w:rPr>
            </w:pPr>
          </w:p>
        </w:tc>
        <w:tc>
          <w:tcPr>
            <w:tcW w:w="140" w:type="dxa"/>
            <w:vAlign w:val="bottom"/>
            <w:shd w:val="clear" w:color="auto" w:fill="1A3FD6"/>
          </w:tcPr>
          <w:p>
            <w:pPr>
              <w:spacing w:after="0"/>
              <w:rPr>
                <w:sz w:val="23"/>
                <w:szCs w:val="23"/>
                <w:color w:val="auto"/>
              </w:rPr>
            </w:pPr>
          </w:p>
        </w:tc>
        <w:tc>
          <w:tcPr>
            <w:tcW w:w="3340" w:type="dxa"/>
            <w:vAlign w:val="bottom"/>
            <w:shd w:val="clear" w:color="auto" w:fill="1A3FD6"/>
          </w:tcPr>
          <w:p>
            <w:pPr>
              <w:spacing w:after="0"/>
              <w:rPr>
                <w:sz w:val="23"/>
                <w:szCs w:val="23"/>
                <w:color w:val="auto"/>
              </w:rPr>
            </w:pPr>
          </w:p>
        </w:tc>
        <w:tc>
          <w:tcPr>
            <w:tcW w:w="160" w:type="dxa"/>
            <w:vAlign w:val="bottom"/>
            <w:tcBorders>
              <w:right w:val="single" w:sz="8" w:color="1A3FD6"/>
            </w:tcBorders>
            <w:shd w:val="clear" w:color="auto" w:fill="1A3FD6"/>
          </w:tcPr>
          <w:p>
            <w:pPr>
              <w:spacing w:after="0"/>
              <w:rPr>
                <w:sz w:val="23"/>
                <w:szCs w:val="23"/>
                <w:color w:val="auto"/>
              </w:rPr>
            </w:pPr>
          </w:p>
        </w:tc>
        <w:tc>
          <w:tcPr>
            <w:tcW w:w="140" w:type="dxa"/>
            <w:vAlign w:val="bottom"/>
            <w:shd w:val="clear" w:color="auto" w:fill="1A3FD6"/>
          </w:tcPr>
          <w:p>
            <w:pPr>
              <w:spacing w:after="0"/>
              <w:rPr>
                <w:sz w:val="23"/>
                <w:szCs w:val="23"/>
                <w:color w:val="auto"/>
              </w:rPr>
            </w:pPr>
          </w:p>
        </w:tc>
        <w:tc>
          <w:tcPr>
            <w:tcW w:w="3340" w:type="dxa"/>
            <w:vAlign w:val="bottom"/>
            <w:shd w:val="clear" w:color="auto" w:fill="1A3FD6"/>
          </w:tcPr>
          <w:p>
            <w:pPr>
              <w:spacing w:after="0"/>
              <w:rPr>
                <w:sz w:val="23"/>
                <w:szCs w:val="23"/>
                <w:color w:val="auto"/>
              </w:rPr>
            </w:pPr>
          </w:p>
        </w:tc>
        <w:tc>
          <w:tcPr>
            <w:tcW w:w="260" w:type="dxa"/>
            <w:vAlign w:val="bottom"/>
            <w:shd w:val="clear" w:color="auto" w:fill="1A3FD6"/>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-1207770</wp:posOffset>
            </wp:positionV>
            <wp:extent cx="8890" cy="1114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11442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-1207770</wp:posOffset>
            </wp:positionV>
            <wp:extent cx="8890" cy="11144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11442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Our Year-Round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184150</wp:posOffset>
            </wp:positionV>
            <wp:extent cx="14541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287"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1A3FD6"/>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5563235" cy="480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32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400" w:type="dxa"/>
        <w:tblCellMar>
          <w:top w:w="0" w:type="dxa"/>
          <w:left w:w="0" w:type="dxa"/>
          <w:bottom w:w="0" w:type="dxa"/>
          <w:right w:w="0" w:type="dxa"/>
        </w:tblCellMar>
      </w:tblPr>
      <w:tr>
        <w:trPr>
          <w:trHeight w:val="223"/>
        </w:trPr>
        <w:tc>
          <w:tcPr>
            <w:tcW w:w="1920" w:type="dxa"/>
            <w:vAlign w:val="bottom"/>
          </w:tcPr>
          <w:p>
            <w:pPr>
              <w:ind w:left="120"/>
              <w:spacing w:after="0"/>
              <w:rPr>
                <w:sz w:val="20"/>
                <w:szCs w:val="20"/>
                <w:color w:val="auto"/>
              </w:rPr>
            </w:pPr>
            <w:r>
              <w:rPr>
                <w:rFonts w:ascii="Arial" w:cs="Arial" w:eastAsia="Arial" w:hAnsi="Arial"/>
                <w:sz w:val="16"/>
                <w:szCs w:val="16"/>
                <w:b w:val="1"/>
                <w:bCs w:val="1"/>
                <w:color w:val="auto"/>
              </w:rPr>
              <w:t>Spring</w:t>
            </w:r>
          </w:p>
        </w:tc>
        <w:tc>
          <w:tcPr>
            <w:tcW w:w="2200" w:type="dxa"/>
            <w:vAlign w:val="bottom"/>
          </w:tcPr>
          <w:p>
            <w:pPr>
              <w:ind w:left="120"/>
              <w:spacing w:after="0"/>
              <w:rPr>
                <w:sz w:val="20"/>
                <w:szCs w:val="20"/>
                <w:color w:val="auto"/>
              </w:rPr>
            </w:pPr>
            <w:r>
              <w:rPr>
                <w:rFonts w:ascii="Arial" w:cs="Arial" w:eastAsia="Arial" w:hAnsi="Arial"/>
                <w:sz w:val="16"/>
                <w:szCs w:val="16"/>
                <w:b w:val="1"/>
                <w:bCs w:val="1"/>
                <w:color w:val="auto"/>
              </w:rPr>
              <w:t>Summer</w:t>
            </w:r>
          </w:p>
        </w:tc>
        <w:tc>
          <w:tcPr>
            <w:tcW w:w="2220" w:type="dxa"/>
            <w:vAlign w:val="bottom"/>
          </w:tcPr>
          <w:p>
            <w:pPr>
              <w:ind w:left="100"/>
              <w:spacing w:after="0"/>
              <w:rPr>
                <w:sz w:val="20"/>
                <w:szCs w:val="20"/>
                <w:color w:val="auto"/>
              </w:rPr>
            </w:pPr>
            <w:r>
              <w:rPr>
                <w:rFonts w:ascii="Arial" w:cs="Arial" w:eastAsia="Arial" w:hAnsi="Arial"/>
                <w:sz w:val="16"/>
                <w:szCs w:val="16"/>
                <w:b w:val="1"/>
                <w:bCs w:val="1"/>
                <w:color w:val="auto"/>
              </w:rPr>
              <w:t>Fall</w:t>
            </w:r>
          </w:p>
        </w:tc>
        <w:tc>
          <w:tcPr>
            <w:tcW w:w="1940" w:type="dxa"/>
            <w:vAlign w:val="bottom"/>
          </w:tcPr>
          <w:p>
            <w:pPr>
              <w:ind w:left="80"/>
              <w:spacing w:after="0"/>
              <w:rPr>
                <w:sz w:val="20"/>
                <w:szCs w:val="20"/>
                <w:color w:val="auto"/>
              </w:rPr>
            </w:pPr>
            <w:r>
              <w:rPr>
                <w:rFonts w:ascii="Arial" w:cs="Arial" w:eastAsia="Arial" w:hAnsi="Arial"/>
                <w:sz w:val="16"/>
                <w:szCs w:val="16"/>
                <w:b w:val="1"/>
                <w:bCs w:val="1"/>
                <w:color w:val="auto"/>
              </w:rPr>
              <w:t>Winter</w:t>
            </w:r>
          </w:p>
        </w:tc>
      </w:tr>
      <w:tr>
        <w:trPr>
          <w:trHeight w:val="376"/>
        </w:trPr>
        <w:tc>
          <w:tcPr>
            <w:tcW w:w="1920" w:type="dxa"/>
            <w:vAlign w:val="bottom"/>
          </w:tcPr>
          <w:p>
            <w:pPr>
              <w:spacing w:after="0"/>
              <w:rPr>
                <w:sz w:val="20"/>
                <w:szCs w:val="20"/>
                <w:color w:val="auto"/>
              </w:rPr>
            </w:pPr>
            <w:r>
              <w:rPr>
                <w:rFonts w:ascii="Arial" w:cs="Arial" w:eastAsia="Arial" w:hAnsi="Arial"/>
                <w:sz w:val="14"/>
                <w:szCs w:val="14"/>
                <w:color w:val="auto"/>
              </w:rPr>
              <w:t>As needed, conduct investor</w:t>
            </w:r>
          </w:p>
        </w:tc>
        <w:tc>
          <w:tcPr>
            <w:tcW w:w="2200" w:type="dxa"/>
            <w:vAlign w:val="bottom"/>
          </w:tcPr>
          <w:p>
            <w:pPr>
              <w:ind w:left="120"/>
              <w:spacing w:after="0"/>
              <w:rPr>
                <w:sz w:val="20"/>
                <w:szCs w:val="20"/>
                <w:color w:val="auto"/>
              </w:rPr>
            </w:pPr>
            <w:r>
              <w:rPr>
                <w:rFonts w:ascii="Arial" w:cs="Arial" w:eastAsia="Arial" w:hAnsi="Arial"/>
                <w:sz w:val="14"/>
                <w:szCs w:val="14"/>
                <w:color w:val="auto"/>
              </w:rPr>
              <w:t>Consider annual meeting</w:t>
            </w:r>
          </w:p>
        </w:tc>
        <w:tc>
          <w:tcPr>
            <w:tcW w:w="2220" w:type="dxa"/>
            <w:vAlign w:val="bottom"/>
          </w:tcPr>
          <w:p>
            <w:pPr>
              <w:ind w:left="100"/>
              <w:spacing w:after="0"/>
              <w:rPr>
                <w:sz w:val="20"/>
                <w:szCs w:val="20"/>
                <w:color w:val="auto"/>
              </w:rPr>
            </w:pPr>
            <w:r>
              <w:rPr>
                <w:rFonts w:ascii="Arial" w:cs="Arial" w:eastAsia="Arial" w:hAnsi="Arial"/>
                <w:sz w:val="14"/>
                <w:szCs w:val="14"/>
                <w:color w:val="auto"/>
              </w:rPr>
              <w:t>Engage with our shareholders,</w:t>
            </w:r>
          </w:p>
        </w:tc>
        <w:tc>
          <w:tcPr>
            <w:tcW w:w="1940" w:type="dxa"/>
            <w:vAlign w:val="bottom"/>
          </w:tcPr>
          <w:p>
            <w:pPr>
              <w:ind w:left="80"/>
              <w:spacing w:after="0"/>
              <w:rPr>
                <w:sz w:val="20"/>
                <w:szCs w:val="20"/>
                <w:color w:val="auto"/>
              </w:rPr>
            </w:pPr>
            <w:r>
              <w:rPr>
                <w:rFonts w:ascii="Arial" w:cs="Arial" w:eastAsia="Arial" w:hAnsi="Arial"/>
                <w:sz w:val="14"/>
                <w:szCs w:val="14"/>
                <w:color w:val="auto"/>
              </w:rPr>
              <w:t>Incorporate feedback from</w:t>
            </w:r>
          </w:p>
        </w:tc>
      </w:tr>
      <w:tr>
        <w:trPr>
          <w:trHeight w:val="189"/>
        </w:trPr>
        <w:tc>
          <w:tcPr>
            <w:tcW w:w="1920" w:type="dxa"/>
            <w:vAlign w:val="bottom"/>
          </w:tcPr>
          <w:p>
            <w:pPr>
              <w:spacing w:after="0"/>
              <w:rPr>
                <w:sz w:val="20"/>
                <w:szCs w:val="20"/>
                <w:color w:val="auto"/>
              </w:rPr>
            </w:pPr>
            <w:r>
              <w:rPr>
                <w:rFonts w:ascii="Arial" w:cs="Arial" w:eastAsia="Arial" w:hAnsi="Arial"/>
                <w:sz w:val="14"/>
                <w:szCs w:val="14"/>
                <w:color w:val="auto"/>
              </w:rPr>
              <w:t>meetings in advance of the</w:t>
            </w:r>
          </w:p>
        </w:tc>
        <w:tc>
          <w:tcPr>
            <w:tcW w:w="2200" w:type="dxa"/>
            <w:vAlign w:val="bottom"/>
          </w:tcPr>
          <w:p>
            <w:pPr>
              <w:ind w:left="120"/>
              <w:spacing w:after="0"/>
              <w:rPr>
                <w:sz w:val="20"/>
                <w:szCs w:val="20"/>
                <w:color w:val="auto"/>
              </w:rPr>
            </w:pPr>
            <w:r>
              <w:rPr>
                <w:rFonts w:ascii="Arial" w:cs="Arial" w:eastAsia="Arial" w:hAnsi="Arial"/>
                <w:sz w:val="14"/>
                <w:szCs w:val="14"/>
                <w:color w:val="auto"/>
              </w:rPr>
              <w:t>results and determine any next</w:t>
            </w:r>
          </w:p>
        </w:tc>
        <w:tc>
          <w:tcPr>
            <w:tcW w:w="2220" w:type="dxa"/>
            <w:vAlign w:val="bottom"/>
          </w:tcPr>
          <w:p>
            <w:pPr>
              <w:ind w:left="100"/>
              <w:spacing w:after="0"/>
              <w:rPr>
                <w:sz w:val="20"/>
                <w:szCs w:val="20"/>
                <w:color w:val="auto"/>
              </w:rPr>
            </w:pPr>
            <w:r>
              <w:rPr>
                <w:rFonts w:ascii="Arial" w:cs="Arial" w:eastAsia="Arial" w:hAnsi="Arial"/>
                <w:sz w:val="14"/>
                <w:szCs w:val="14"/>
                <w:color w:val="auto"/>
              </w:rPr>
              <w:t>including in direct meetings with</w:t>
            </w:r>
          </w:p>
        </w:tc>
        <w:tc>
          <w:tcPr>
            <w:tcW w:w="1940" w:type="dxa"/>
            <w:vAlign w:val="bottom"/>
          </w:tcPr>
          <w:p>
            <w:pPr>
              <w:ind w:left="80"/>
              <w:spacing w:after="0"/>
              <w:rPr>
                <w:sz w:val="20"/>
                <w:szCs w:val="20"/>
                <w:color w:val="auto"/>
              </w:rPr>
            </w:pPr>
            <w:r>
              <w:rPr>
                <w:rFonts w:ascii="Arial" w:cs="Arial" w:eastAsia="Arial" w:hAnsi="Arial"/>
                <w:sz w:val="14"/>
                <w:szCs w:val="14"/>
                <w:color w:val="auto"/>
              </w:rPr>
              <w:t>shareholder meetings into</w:t>
            </w:r>
          </w:p>
        </w:tc>
      </w:tr>
      <w:tr>
        <w:trPr>
          <w:trHeight w:val="189"/>
        </w:trPr>
        <w:tc>
          <w:tcPr>
            <w:tcW w:w="1920" w:type="dxa"/>
            <w:vAlign w:val="bottom"/>
          </w:tcPr>
          <w:p>
            <w:pPr>
              <w:spacing w:after="0"/>
              <w:rPr>
                <w:sz w:val="20"/>
                <w:szCs w:val="20"/>
                <w:color w:val="auto"/>
              </w:rPr>
            </w:pPr>
            <w:r>
              <w:rPr>
                <w:rFonts w:ascii="Arial" w:cs="Arial" w:eastAsia="Arial" w:hAnsi="Arial"/>
                <w:sz w:val="14"/>
                <w:szCs w:val="14"/>
                <w:color w:val="auto"/>
              </w:rPr>
              <w:t>annual meeting to answer</w:t>
            </w:r>
          </w:p>
        </w:tc>
        <w:tc>
          <w:tcPr>
            <w:tcW w:w="2200" w:type="dxa"/>
            <w:vAlign w:val="bottom"/>
          </w:tcPr>
          <w:p>
            <w:pPr>
              <w:ind w:left="120"/>
              <w:spacing w:after="0"/>
              <w:rPr>
                <w:sz w:val="20"/>
                <w:szCs w:val="20"/>
                <w:color w:val="auto"/>
              </w:rPr>
            </w:pPr>
            <w:r>
              <w:rPr>
                <w:rFonts w:ascii="Arial" w:cs="Arial" w:eastAsia="Arial" w:hAnsi="Arial"/>
                <w:sz w:val="14"/>
                <w:szCs w:val="14"/>
                <w:color w:val="auto"/>
              </w:rPr>
              <w:t>steps, including engagement</w:t>
            </w:r>
          </w:p>
        </w:tc>
        <w:tc>
          <w:tcPr>
            <w:tcW w:w="2220" w:type="dxa"/>
            <w:vAlign w:val="bottom"/>
          </w:tcPr>
          <w:p>
            <w:pPr>
              <w:ind w:left="100"/>
              <w:spacing w:after="0"/>
              <w:rPr>
                <w:sz w:val="20"/>
                <w:szCs w:val="20"/>
                <w:color w:val="auto"/>
              </w:rPr>
            </w:pPr>
            <w:r>
              <w:rPr>
                <w:rFonts w:ascii="Arial" w:cs="Arial" w:eastAsia="Arial" w:hAnsi="Arial"/>
                <w:sz w:val="14"/>
                <w:szCs w:val="14"/>
                <w:color w:val="auto"/>
              </w:rPr>
              <w:t>our largest shareholders during</w:t>
            </w:r>
          </w:p>
        </w:tc>
        <w:tc>
          <w:tcPr>
            <w:tcW w:w="1940" w:type="dxa"/>
            <w:vAlign w:val="bottom"/>
          </w:tcPr>
          <w:p>
            <w:pPr>
              <w:ind w:left="80"/>
              <w:spacing w:after="0"/>
              <w:rPr>
                <w:sz w:val="20"/>
                <w:szCs w:val="20"/>
                <w:color w:val="auto"/>
              </w:rPr>
            </w:pPr>
            <w:r>
              <w:rPr>
                <w:rFonts w:ascii="Arial" w:cs="Arial" w:eastAsia="Arial" w:hAnsi="Arial"/>
                <w:sz w:val="14"/>
                <w:szCs w:val="14"/>
                <w:color w:val="auto"/>
              </w:rPr>
              <w:t>annual meeting planning</w:t>
            </w:r>
          </w:p>
        </w:tc>
      </w:tr>
      <w:tr>
        <w:trPr>
          <w:trHeight w:val="189"/>
        </w:trPr>
        <w:tc>
          <w:tcPr>
            <w:tcW w:w="1920" w:type="dxa"/>
            <w:vAlign w:val="bottom"/>
          </w:tcPr>
          <w:p>
            <w:pPr>
              <w:spacing w:after="0"/>
              <w:rPr>
                <w:sz w:val="20"/>
                <w:szCs w:val="20"/>
                <w:color w:val="auto"/>
              </w:rPr>
            </w:pPr>
            <w:r>
              <w:rPr>
                <w:rFonts w:ascii="Arial" w:cs="Arial" w:eastAsia="Arial" w:hAnsi="Arial"/>
                <w:sz w:val="14"/>
                <w:szCs w:val="14"/>
                <w:color w:val="auto"/>
              </w:rPr>
              <w:t>questions and obtain</w:t>
            </w:r>
          </w:p>
        </w:tc>
        <w:tc>
          <w:tcPr>
            <w:tcW w:w="2200" w:type="dxa"/>
            <w:vAlign w:val="bottom"/>
          </w:tcPr>
          <w:p>
            <w:pPr>
              <w:ind w:left="120"/>
              <w:spacing w:after="0"/>
              <w:rPr>
                <w:sz w:val="20"/>
                <w:szCs w:val="20"/>
                <w:color w:val="auto"/>
              </w:rPr>
            </w:pPr>
            <w:r>
              <w:rPr>
                <w:rFonts w:ascii="Arial" w:cs="Arial" w:eastAsia="Arial" w:hAnsi="Arial"/>
                <w:sz w:val="14"/>
                <w:szCs w:val="14"/>
                <w:color w:val="auto"/>
              </w:rPr>
              <w:t>priorities.</w:t>
            </w:r>
          </w:p>
        </w:tc>
        <w:tc>
          <w:tcPr>
            <w:tcW w:w="2220" w:type="dxa"/>
            <w:vAlign w:val="bottom"/>
          </w:tcPr>
          <w:p>
            <w:pPr>
              <w:ind w:left="100"/>
              <w:spacing w:after="0"/>
              <w:rPr>
                <w:sz w:val="20"/>
                <w:szCs w:val="20"/>
                <w:color w:val="auto"/>
              </w:rPr>
            </w:pPr>
            <w:r>
              <w:rPr>
                <w:rFonts w:ascii="Arial" w:cs="Arial" w:eastAsia="Arial" w:hAnsi="Arial"/>
                <w:sz w:val="14"/>
                <w:szCs w:val="14"/>
                <w:color w:val="auto"/>
              </w:rPr>
              <w:t>our annual Corporate</w:t>
            </w:r>
          </w:p>
        </w:tc>
        <w:tc>
          <w:tcPr>
            <w:tcW w:w="1940" w:type="dxa"/>
            <w:vAlign w:val="bottom"/>
          </w:tcPr>
          <w:p>
            <w:pPr>
              <w:ind w:left="80"/>
              <w:spacing w:after="0"/>
              <w:rPr>
                <w:sz w:val="20"/>
                <w:szCs w:val="20"/>
                <w:color w:val="auto"/>
              </w:rPr>
            </w:pPr>
            <w:r>
              <w:rPr>
                <w:rFonts w:ascii="Arial" w:cs="Arial" w:eastAsia="Arial" w:hAnsi="Arial"/>
                <w:sz w:val="14"/>
                <w:szCs w:val="14"/>
                <w:color w:val="auto"/>
              </w:rPr>
              <w:t>and enhance governance</w:t>
            </w:r>
          </w:p>
        </w:tc>
      </w:tr>
      <w:tr>
        <w:trPr>
          <w:trHeight w:val="189"/>
        </w:trPr>
        <w:tc>
          <w:tcPr>
            <w:tcW w:w="1920" w:type="dxa"/>
            <w:vAlign w:val="bottom"/>
          </w:tcPr>
          <w:p>
            <w:pPr>
              <w:spacing w:after="0"/>
              <w:rPr>
                <w:sz w:val="20"/>
                <w:szCs w:val="20"/>
                <w:color w:val="auto"/>
              </w:rPr>
            </w:pPr>
            <w:r>
              <w:rPr>
                <w:rFonts w:ascii="Arial" w:cs="Arial" w:eastAsia="Arial" w:hAnsi="Arial"/>
                <w:sz w:val="14"/>
                <w:szCs w:val="14"/>
                <w:color w:val="auto"/>
              </w:rPr>
              <w:t>shareholder feedback</w:t>
            </w:r>
          </w:p>
        </w:tc>
        <w:tc>
          <w:tcPr>
            <w:tcW w:w="220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Responsibility off-season</w:t>
            </w:r>
          </w:p>
        </w:tc>
        <w:tc>
          <w:tcPr>
            <w:tcW w:w="1940" w:type="dxa"/>
            <w:vAlign w:val="bottom"/>
          </w:tcPr>
          <w:p>
            <w:pPr>
              <w:ind w:left="80"/>
              <w:spacing w:after="0"/>
              <w:rPr>
                <w:sz w:val="20"/>
                <w:szCs w:val="20"/>
                <w:color w:val="auto"/>
              </w:rPr>
            </w:pPr>
            <w:r>
              <w:rPr>
                <w:rFonts w:ascii="Arial" w:cs="Arial" w:eastAsia="Arial" w:hAnsi="Arial"/>
                <w:sz w:val="14"/>
                <w:szCs w:val="14"/>
                <w:color w:val="auto"/>
              </w:rPr>
              <w:t>practices and disclosures, as</w:t>
            </w:r>
          </w:p>
        </w:tc>
      </w:tr>
      <w:tr>
        <w:trPr>
          <w:trHeight w:val="189"/>
        </w:trPr>
        <w:tc>
          <w:tcPr>
            <w:tcW w:w="1920" w:type="dxa"/>
            <w:vAlign w:val="bottom"/>
          </w:tcPr>
          <w:p>
            <w:pPr>
              <w:spacing w:after="0"/>
              <w:rPr>
                <w:sz w:val="20"/>
                <w:szCs w:val="20"/>
                <w:color w:val="auto"/>
              </w:rPr>
            </w:pPr>
            <w:r>
              <w:rPr>
                <w:rFonts w:ascii="Arial" w:cs="Arial" w:eastAsia="Arial" w:hAnsi="Arial"/>
                <w:sz w:val="14"/>
                <w:szCs w:val="14"/>
                <w:color w:val="auto"/>
              </w:rPr>
              <w:t>on proxy matters.</w:t>
            </w:r>
          </w:p>
        </w:tc>
        <w:tc>
          <w:tcPr>
            <w:tcW w:w="220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engagement.</w:t>
            </w:r>
          </w:p>
        </w:tc>
        <w:tc>
          <w:tcPr>
            <w:tcW w:w="1940" w:type="dxa"/>
            <w:vAlign w:val="bottom"/>
          </w:tcPr>
          <w:p>
            <w:pPr>
              <w:ind w:left="80"/>
              <w:spacing w:after="0"/>
              <w:rPr>
                <w:sz w:val="20"/>
                <w:szCs w:val="20"/>
                <w:color w:val="auto"/>
              </w:rPr>
            </w:pPr>
            <w:r>
              <w:rPr>
                <w:rFonts w:ascii="Arial" w:cs="Arial" w:eastAsia="Arial" w:hAnsi="Arial"/>
                <w:sz w:val="14"/>
                <w:szCs w:val="14"/>
                <w:color w:val="auto"/>
              </w:rPr>
              <w:t>needed. Review shareholder</w:t>
            </w:r>
          </w:p>
        </w:tc>
      </w:tr>
      <w:tr>
        <w:trPr>
          <w:trHeight w:val="175"/>
        </w:trPr>
        <w:tc>
          <w:tcPr>
            <w:tcW w:w="19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proposals and engage,</w:t>
            </w:r>
          </w:p>
        </w:tc>
      </w:tr>
      <w:tr>
        <w:trPr>
          <w:trHeight w:val="190"/>
        </w:trPr>
        <w:tc>
          <w:tcPr>
            <w:tcW w:w="19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as necessary.</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See “Shareholder Engagement” on page 41 for more information on our shareholder engagement activities.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74"/>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537845</wp:posOffset>
            </wp:positionV>
            <wp:extent cx="2931795" cy="13373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3179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80"/>
        <w:spacing w:after="0"/>
        <w:rPr>
          <w:sz w:val="20"/>
          <w:szCs w:val="20"/>
          <w:color w:val="auto"/>
        </w:rPr>
      </w:pPr>
      <w:r>
        <w:rPr>
          <w:rFonts w:ascii="Arial" w:cs="Arial" w:eastAsia="Arial" w:hAnsi="Arial"/>
          <w:sz w:val="20"/>
          <w:szCs w:val="20"/>
          <w:color w:val="00C4B3"/>
        </w:rPr>
        <w:t>PROPOSAL 1</w:t>
      </w:r>
    </w:p>
    <w:p>
      <w:pPr>
        <w:spacing w:after="0" w:line="74" w:lineRule="exact"/>
        <w:rPr>
          <w:sz w:val="20"/>
          <w:szCs w:val="20"/>
          <w:color w:val="auto"/>
        </w:rPr>
      </w:pPr>
    </w:p>
    <w:p>
      <w:pPr>
        <w:ind w:left="1680"/>
        <w:spacing w:after="0"/>
        <w:rPr>
          <w:sz w:val="20"/>
          <w:szCs w:val="20"/>
          <w:color w:val="auto"/>
        </w:rPr>
      </w:pPr>
      <w:r>
        <w:rPr>
          <w:rFonts w:ascii="Arial" w:cs="Arial" w:eastAsia="Arial" w:hAnsi="Arial"/>
          <w:sz w:val="32"/>
          <w:szCs w:val="32"/>
          <w:color w:val="FFFFFF"/>
        </w:rPr>
        <w:t>Election of</w:t>
      </w:r>
    </w:p>
    <w:p>
      <w:pPr>
        <w:spacing w:after="0" w:line="56" w:lineRule="exact"/>
        <w:rPr>
          <w:sz w:val="20"/>
          <w:szCs w:val="20"/>
          <w:color w:val="auto"/>
        </w:rPr>
      </w:pPr>
    </w:p>
    <w:p>
      <w:pPr>
        <w:ind w:left="1680"/>
        <w:spacing w:after="0"/>
        <w:rPr>
          <w:sz w:val="20"/>
          <w:szCs w:val="20"/>
          <w:color w:val="auto"/>
        </w:rPr>
      </w:pPr>
      <w:r>
        <w:rPr>
          <w:rFonts w:ascii="Arial" w:cs="Arial" w:eastAsia="Arial" w:hAnsi="Arial"/>
          <w:sz w:val="32"/>
          <w:szCs w:val="32"/>
          <w:color w:val="FFFFFF"/>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1A3FD6"/>
        </w:rPr>
        <w:t>Board Expertise</w:t>
      </w:r>
    </w:p>
    <w:p>
      <w:pPr>
        <w:spacing w:after="0" w:line="140" w:lineRule="exact"/>
        <w:rPr>
          <w:sz w:val="20"/>
          <w:szCs w:val="20"/>
          <w:color w:val="auto"/>
        </w:rPr>
      </w:pPr>
    </w:p>
    <w:tbl>
      <w:tblPr>
        <w:tblLayout w:type="fixed"/>
        <w:tblInd w:w="1540" w:type="dxa"/>
        <w:tblCellMar>
          <w:top w:w="0" w:type="dxa"/>
          <w:left w:w="0" w:type="dxa"/>
          <w:bottom w:w="0" w:type="dxa"/>
          <w:right w:w="0" w:type="dxa"/>
        </w:tblCellMar>
      </w:tblPr>
      <w:tr>
        <w:trPr>
          <w:trHeight w:val="445"/>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Executive</w:t>
            </w:r>
          </w:p>
        </w:tc>
        <w:tc>
          <w:tcPr>
            <w:tcW w:w="520" w:type="dxa"/>
            <w:vAlign w:val="bottom"/>
          </w:tcPr>
          <w:p>
            <w:pPr>
              <w:jc w:val="right"/>
              <w:spacing w:after="0"/>
              <w:rPr>
                <w:sz w:val="20"/>
                <w:szCs w:val="20"/>
                <w:color w:val="auto"/>
              </w:rPr>
            </w:pPr>
            <w:r>
              <w:rPr>
                <w:rFonts w:ascii="Arial" w:cs="Arial" w:eastAsia="Arial" w:hAnsi="Arial"/>
                <w:sz w:val="22"/>
                <w:szCs w:val="22"/>
                <w:b w:val="1"/>
                <w:bCs w:val="1"/>
                <w:color w:val="0626A9"/>
              </w:rPr>
              <w:t>10</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Leadership</w:t>
            </w:r>
          </w:p>
        </w:tc>
        <w:tc>
          <w:tcPr>
            <w:tcW w:w="520" w:type="dxa"/>
            <w:vAlign w:val="bottom"/>
          </w:tcPr>
          <w:p>
            <w:pPr>
              <w:spacing w:after="0"/>
              <w:rPr>
                <w:sz w:val="14"/>
                <w:szCs w:val="14"/>
                <w:color w:val="auto"/>
              </w:rPr>
            </w:pPr>
          </w:p>
        </w:tc>
      </w:tr>
      <w:tr>
        <w:trPr>
          <w:trHeight w:val="517"/>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Investment Industry</w:t>
            </w:r>
          </w:p>
        </w:tc>
        <w:tc>
          <w:tcPr>
            <w:tcW w:w="520" w:type="dxa"/>
            <w:vAlign w:val="bottom"/>
          </w:tcPr>
          <w:p>
            <w:pPr>
              <w:jc w:val="right"/>
              <w:spacing w:after="0"/>
              <w:rPr>
                <w:sz w:val="20"/>
                <w:szCs w:val="20"/>
                <w:color w:val="auto"/>
              </w:rPr>
            </w:pPr>
            <w:r>
              <w:rPr>
                <w:rFonts w:ascii="Arial" w:cs="Arial" w:eastAsia="Arial" w:hAnsi="Arial"/>
                <w:sz w:val="22"/>
                <w:szCs w:val="22"/>
                <w:b w:val="1"/>
                <w:bCs w:val="1"/>
                <w:color w:val="0626A9"/>
              </w:rPr>
              <w:t>7</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Expertise</w:t>
            </w:r>
          </w:p>
        </w:tc>
        <w:tc>
          <w:tcPr>
            <w:tcW w:w="520" w:type="dxa"/>
            <w:vAlign w:val="bottom"/>
          </w:tcPr>
          <w:p>
            <w:pPr>
              <w:spacing w:after="0"/>
              <w:rPr>
                <w:sz w:val="14"/>
                <w:szCs w:val="14"/>
                <w:color w:val="auto"/>
              </w:rPr>
            </w:pPr>
          </w:p>
        </w:tc>
      </w:tr>
      <w:tr>
        <w:trPr>
          <w:trHeight w:val="684"/>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Global Perspective</w:t>
            </w:r>
          </w:p>
        </w:tc>
        <w:tc>
          <w:tcPr>
            <w:tcW w:w="520" w:type="dxa"/>
            <w:vAlign w:val="bottom"/>
          </w:tcPr>
          <w:p>
            <w:pPr>
              <w:jc w:val="right"/>
              <w:spacing w:after="0"/>
              <w:rPr>
                <w:sz w:val="20"/>
                <w:szCs w:val="20"/>
                <w:color w:val="auto"/>
              </w:rPr>
            </w:pPr>
            <w:r>
              <w:rPr>
                <w:rFonts w:ascii="Arial" w:cs="Arial" w:eastAsia="Arial" w:hAnsi="Arial"/>
                <w:sz w:val="22"/>
                <w:szCs w:val="22"/>
                <w:b w:val="1"/>
                <w:bCs w:val="1"/>
                <w:color w:val="0626A9"/>
              </w:rPr>
              <w:t>10</w:t>
            </w:r>
          </w:p>
        </w:tc>
      </w:tr>
      <w:tr>
        <w:trPr>
          <w:trHeight w:val="60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Regulatory, Government</w:t>
            </w:r>
          </w:p>
        </w:tc>
        <w:tc>
          <w:tcPr>
            <w:tcW w:w="520" w:type="dxa"/>
            <w:vAlign w:val="bottom"/>
          </w:tcPr>
          <w:p>
            <w:pPr>
              <w:jc w:val="right"/>
              <w:spacing w:after="0"/>
              <w:rPr>
                <w:sz w:val="20"/>
                <w:szCs w:val="20"/>
                <w:color w:val="auto"/>
              </w:rPr>
            </w:pPr>
            <w:r>
              <w:rPr>
                <w:rFonts w:ascii="Arial" w:cs="Arial" w:eastAsia="Arial" w:hAnsi="Arial"/>
                <w:sz w:val="22"/>
                <w:szCs w:val="22"/>
                <w:b w:val="1"/>
                <w:bCs w:val="1"/>
                <w:color w:val="0626A9"/>
              </w:rPr>
              <w:t>2</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and Public Policy Engagement</w:t>
            </w:r>
          </w:p>
        </w:tc>
        <w:tc>
          <w:tcPr>
            <w:tcW w:w="520" w:type="dxa"/>
            <w:vAlign w:val="bottom"/>
          </w:tcPr>
          <w:p>
            <w:pPr>
              <w:spacing w:after="0"/>
              <w:rPr>
                <w:sz w:val="14"/>
                <w:szCs w:val="14"/>
                <w:color w:val="auto"/>
              </w:rPr>
            </w:pPr>
          </w:p>
        </w:tc>
      </w:tr>
      <w:tr>
        <w:trPr>
          <w:trHeight w:val="603"/>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Corporate Development</w:t>
            </w:r>
          </w:p>
        </w:tc>
        <w:tc>
          <w:tcPr>
            <w:tcW w:w="520" w:type="dxa"/>
            <w:vAlign w:val="bottom"/>
          </w:tcPr>
          <w:p>
            <w:pPr>
              <w:jc w:val="right"/>
              <w:spacing w:after="0"/>
              <w:rPr>
                <w:sz w:val="20"/>
                <w:szCs w:val="20"/>
                <w:color w:val="auto"/>
              </w:rPr>
            </w:pPr>
            <w:r>
              <w:rPr>
                <w:rFonts w:ascii="Arial" w:cs="Arial" w:eastAsia="Arial" w:hAnsi="Arial"/>
                <w:sz w:val="22"/>
                <w:szCs w:val="22"/>
                <w:b w:val="1"/>
                <w:bCs w:val="1"/>
                <w:color w:val="0626A9"/>
              </w:rPr>
              <w:t>8</w:t>
            </w:r>
          </w:p>
        </w:tc>
      </w:tr>
      <w:tr>
        <w:trPr>
          <w:trHeight w:val="305"/>
        </w:trPr>
        <w:tc>
          <w:tcPr>
            <w:tcW w:w="2260" w:type="dxa"/>
            <w:vAlign w:val="bottom"/>
            <w:shd w:val="clear" w:color="auto" w:fill="F5F5F5"/>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Financial Reporting</w:t>
            </w:r>
          </w:p>
        </w:tc>
        <w:tc>
          <w:tcPr>
            <w:tcW w:w="520" w:type="dxa"/>
            <w:vAlign w:val="bottom"/>
            <w:shd w:val="clear" w:color="auto" w:fill="F5F5F5"/>
          </w:tcPr>
          <w:p>
            <w:pPr>
              <w:jc w:val="right"/>
              <w:spacing w:after="0"/>
              <w:rPr>
                <w:sz w:val="20"/>
                <w:szCs w:val="20"/>
                <w:color w:val="auto"/>
              </w:rPr>
            </w:pPr>
            <w:r>
              <w:rPr>
                <w:rFonts w:ascii="Arial" w:cs="Arial" w:eastAsia="Arial" w:hAnsi="Arial"/>
                <w:sz w:val="22"/>
                <w:szCs w:val="22"/>
                <w:b w:val="1"/>
                <w:bCs w:val="1"/>
                <w:color w:val="0626A9"/>
              </w:rPr>
              <w:t>8</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and Capital Allocation</w:t>
            </w:r>
          </w:p>
        </w:tc>
        <w:tc>
          <w:tcPr>
            <w:tcW w:w="520" w:type="dxa"/>
            <w:vAlign w:val="bottom"/>
            <w:shd w:val="clear" w:color="auto" w:fill="F5F5F5"/>
          </w:tcPr>
          <w:p>
            <w:pPr>
              <w:spacing w:after="0"/>
              <w:rPr>
                <w:sz w:val="14"/>
                <w:szCs w:val="14"/>
                <w:color w:val="auto"/>
              </w:rPr>
            </w:pPr>
          </w:p>
        </w:tc>
      </w:tr>
      <w:tr>
        <w:trPr>
          <w:trHeight w:val="517"/>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Corporate/Enterprise</w:t>
            </w:r>
          </w:p>
        </w:tc>
        <w:tc>
          <w:tcPr>
            <w:tcW w:w="520" w:type="dxa"/>
            <w:vAlign w:val="bottom"/>
            <w:shd w:val="clear" w:color="auto" w:fill="F5F5F5"/>
          </w:tcPr>
          <w:p>
            <w:pPr>
              <w:jc w:val="right"/>
              <w:spacing w:after="0"/>
              <w:rPr>
                <w:sz w:val="20"/>
                <w:szCs w:val="20"/>
                <w:color w:val="auto"/>
              </w:rPr>
            </w:pPr>
            <w:r>
              <w:rPr>
                <w:rFonts w:ascii="Arial" w:cs="Arial" w:eastAsia="Arial" w:hAnsi="Arial"/>
                <w:sz w:val="22"/>
                <w:szCs w:val="22"/>
                <w:b w:val="1"/>
                <w:bCs w:val="1"/>
                <w:color w:val="0626A9"/>
              </w:rPr>
              <w:t>8</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Risk Management</w:t>
            </w:r>
          </w:p>
        </w:tc>
        <w:tc>
          <w:tcPr>
            <w:tcW w:w="520" w:type="dxa"/>
            <w:vAlign w:val="bottom"/>
            <w:shd w:val="clear" w:color="auto" w:fill="F5F5F5"/>
          </w:tcPr>
          <w:p>
            <w:pPr>
              <w:spacing w:after="0"/>
              <w:rPr>
                <w:sz w:val="14"/>
                <w:szCs w:val="14"/>
                <w:color w:val="auto"/>
              </w:rPr>
            </w:pPr>
          </w:p>
        </w:tc>
      </w:tr>
      <w:tr>
        <w:trPr>
          <w:trHeight w:val="746"/>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Client Relations, Marketing</w:t>
            </w:r>
          </w:p>
        </w:tc>
        <w:tc>
          <w:tcPr>
            <w:tcW w:w="520" w:type="dxa"/>
            <w:vAlign w:val="bottom"/>
            <w:shd w:val="clear" w:color="auto" w:fill="F5F5F5"/>
          </w:tcPr>
          <w:p>
            <w:pPr>
              <w:jc w:val="right"/>
              <w:spacing w:after="0"/>
              <w:rPr>
                <w:sz w:val="20"/>
                <w:szCs w:val="20"/>
                <w:color w:val="auto"/>
              </w:rPr>
            </w:pPr>
            <w:r>
              <w:rPr>
                <w:rFonts w:ascii="Arial" w:cs="Arial" w:eastAsia="Arial" w:hAnsi="Arial"/>
                <w:sz w:val="22"/>
                <w:szCs w:val="22"/>
                <w:b w:val="1"/>
                <w:bCs w:val="1"/>
                <w:color w:val="0626A9"/>
              </w:rPr>
              <w:t>7</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and Brand Development</w:t>
            </w:r>
          </w:p>
        </w:tc>
        <w:tc>
          <w:tcPr>
            <w:tcW w:w="520" w:type="dxa"/>
            <w:vAlign w:val="bottom"/>
            <w:shd w:val="clear" w:color="auto" w:fill="F5F5F5"/>
          </w:tcPr>
          <w:p>
            <w:pPr>
              <w:spacing w:after="0"/>
              <w:rPr>
                <w:sz w:val="14"/>
                <w:szCs w:val="14"/>
                <w:color w:val="auto"/>
              </w:rPr>
            </w:pPr>
          </w:p>
        </w:tc>
      </w:tr>
      <w:tr>
        <w:trPr>
          <w:trHeight w:val="517"/>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Technology, Data and</w:t>
            </w:r>
          </w:p>
        </w:tc>
        <w:tc>
          <w:tcPr>
            <w:tcW w:w="520" w:type="dxa"/>
            <w:vAlign w:val="bottom"/>
            <w:shd w:val="clear" w:color="auto" w:fill="F5F5F5"/>
          </w:tcPr>
          <w:p>
            <w:pPr>
              <w:jc w:val="right"/>
              <w:spacing w:after="0"/>
              <w:rPr>
                <w:sz w:val="20"/>
                <w:szCs w:val="20"/>
                <w:color w:val="auto"/>
              </w:rPr>
            </w:pPr>
            <w:r>
              <w:rPr>
                <w:rFonts w:ascii="Arial" w:cs="Arial" w:eastAsia="Arial" w:hAnsi="Arial"/>
                <w:sz w:val="22"/>
                <w:szCs w:val="22"/>
                <w:b w:val="1"/>
                <w:bCs w:val="1"/>
                <w:color w:val="0626A9"/>
              </w:rPr>
              <w:t>5</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Cybersecurity Expertise</w:t>
            </w:r>
          </w:p>
        </w:tc>
        <w:tc>
          <w:tcPr>
            <w:tcW w:w="520" w:type="dxa"/>
            <w:vAlign w:val="bottom"/>
            <w:shd w:val="clear" w:color="auto" w:fill="F5F5F5"/>
          </w:tcPr>
          <w:p>
            <w:pPr>
              <w:spacing w:after="0"/>
              <w:rPr>
                <w:sz w:val="14"/>
                <w:szCs w:val="14"/>
                <w:color w:val="auto"/>
              </w:rPr>
            </w:pPr>
          </w:p>
        </w:tc>
      </w:tr>
      <w:tr>
        <w:trPr>
          <w:trHeight w:val="517"/>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Sustainability and</w:t>
            </w:r>
          </w:p>
        </w:tc>
        <w:tc>
          <w:tcPr>
            <w:tcW w:w="520" w:type="dxa"/>
            <w:vAlign w:val="bottom"/>
            <w:shd w:val="clear" w:color="auto" w:fill="F5F5F5"/>
          </w:tcPr>
          <w:p>
            <w:pPr>
              <w:jc w:val="right"/>
              <w:spacing w:after="0"/>
              <w:rPr>
                <w:sz w:val="20"/>
                <w:szCs w:val="20"/>
                <w:color w:val="auto"/>
              </w:rPr>
            </w:pPr>
            <w:r>
              <w:rPr>
                <w:rFonts w:ascii="Arial" w:cs="Arial" w:eastAsia="Arial" w:hAnsi="Arial"/>
                <w:sz w:val="22"/>
                <w:szCs w:val="22"/>
                <w:b w:val="1"/>
                <w:bCs w:val="1"/>
                <w:color w:val="0626A9"/>
              </w:rPr>
              <w:t>4</w:t>
            </w:r>
          </w:p>
        </w:tc>
      </w:tr>
      <w:tr>
        <w:trPr>
          <w:trHeight w:val="172"/>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Climate Practices</w:t>
            </w:r>
          </w:p>
        </w:tc>
        <w:tc>
          <w:tcPr>
            <w:tcW w:w="520" w:type="dxa"/>
            <w:vAlign w:val="bottom"/>
            <w:shd w:val="clear" w:color="auto" w:fill="F5F5F5"/>
          </w:tcPr>
          <w:p>
            <w:pPr>
              <w:spacing w:after="0"/>
              <w:rPr>
                <w:sz w:val="14"/>
                <w:szCs w:val="14"/>
                <w:color w:val="auto"/>
              </w:rPr>
            </w:pPr>
          </w:p>
        </w:tc>
      </w:tr>
      <w:tr>
        <w:trPr>
          <w:trHeight w:val="549"/>
        </w:trPr>
        <w:tc>
          <w:tcPr>
            <w:tcW w:w="226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Human Capital Management</w:t>
            </w:r>
          </w:p>
        </w:tc>
        <w:tc>
          <w:tcPr>
            <w:tcW w:w="520" w:type="dxa"/>
            <w:vAlign w:val="bottom"/>
            <w:shd w:val="clear" w:color="auto" w:fill="F5F5F5"/>
          </w:tcPr>
          <w:p>
            <w:pPr>
              <w:jc w:val="right"/>
              <w:spacing w:after="0"/>
              <w:rPr>
                <w:sz w:val="20"/>
                <w:szCs w:val="20"/>
                <w:color w:val="auto"/>
              </w:rPr>
            </w:pPr>
            <w:r>
              <w:rPr>
                <w:rFonts w:ascii="Arial" w:cs="Arial" w:eastAsia="Arial" w:hAnsi="Arial"/>
                <w:sz w:val="22"/>
                <w:szCs w:val="22"/>
                <w:b w:val="1"/>
                <w:bCs w:val="1"/>
                <w:color w:val="0626A9"/>
              </w:rPr>
              <w:t>9</w:t>
            </w:r>
          </w:p>
        </w:tc>
      </w:tr>
      <w:tr>
        <w:trPr>
          <w:trHeight w:val="426"/>
        </w:trPr>
        <w:tc>
          <w:tcPr>
            <w:tcW w:w="2260" w:type="dxa"/>
            <w:vAlign w:val="bottom"/>
            <w:shd w:val="clear" w:color="auto" w:fill="F5F5F5"/>
          </w:tcPr>
          <w:p>
            <w:pPr>
              <w:spacing w:after="0"/>
              <w:rPr>
                <w:sz w:val="24"/>
                <w:szCs w:val="24"/>
                <w:color w:val="auto"/>
              </w:rPr>
            </w:pPr>
          </w:p>
        </w:tc>
        <w:tc>
          <w:tcPr>
            <w:tcW w:w="520" w:type="dxa"/>
            <w:vAlign w:val="bottom"/>
            <w:shd w:val="clear" w:color="auto" w:fill="F5F5F5"/>
          </w:tcPr>
          <w:p>
            <w:pPr>
              <w:spacing w:after="0"/>
              <w:rPr>
                <w:sz w:val="24"/>
                <w:szCs w:val="24"/>
                <w:color w:val="auto"/>
              </w:rPr>
            </w:pPr>
          </w:p>
        </w:tc>
      </w:tr>
    </w:tbl>
    <w:p>
      <w:pPr>
        <w:spacing w:after="0" w:line="12" w:lineRule="exact"/>
        <w:rPr>
          <w:sz w:val="20"/>
          <w:szCs w:val="20"/>
          <w:color w:val="auto"/>
        </w:rPr>
      </w:pPr>
    </w:p>
    <w:p>
      <w:pPr>
        <w:ind w:left="1560"/>
        <w:spacing w:after="0"/>
        <w:rPr>
          <w:sz w:val="20"/>
          <w:szCs w:val="20"/>
          <w:color w:val="auto"/>
        </w:rPr>
      </w:pPr>
      <w:r>
        <w:rPr>
          <w:rFonts w:ascii="Arial" w:cs="Arial" w:eastAsia="Arial" w:hAnsi="Arial"/>
          <w:sz w:val="22"/>
          <w:szCs w:val="22"/>
          <w:b w:val="1"/>
          <w:bCs w:val="1"/>
          <w:color w:val="1A3FD6"/>
        </w:rPr>
        <w:t>Geographic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1120" w:type="dxa"/>
            <w:vAlign w:val="bottom"/>
            <w:vMerge w:val="restart"/>
            <w:shd w:val="clear" w:color="auto" w:fill="F5F5F5"/>
          </w:tcPr>
          <w:p>
            <w:pPr>
              <w:jc w:val="right"/>
              <w:ind w:right="24"/>
              <w:spacing w:after="0"/>
              <w:rPr>
                <w:sz w:val="20"/>
                <w:szCs w:val="20"/>
                <w:color w:val="auto"/>
              </w:rPr>
            </w:pPr>
            <w:r>
              <w:rPr>
                <w:rFonts w:ascii="Arial" w:cs="Arial" w:eastAsia="Arial" w:hAnsi="Arial"/>
                <w:sz w:val="43"/>
                <w:szCs w:val="43"/>
                <w:b w:val="1"/>
                <w:bCs w:val="1"/>
                <w:color w:val="1A3FD6"/>
                <w:w w:val="99"/>
              </w:rPr>
              <w:t>73%</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20" w:type="dxa"/>
            <w:vAlign w:val="bottom"/>
            <w:vMerge w:val="continue"/>
            <w:shd w:val="clear" w:color="auto" w:fill="F5F5F5"/>
          </w:tcPr>
          <w:p>
            <w:pPr>
              <w:spacing w:after="0"/>
              <w:rPr>
                <w:sz w:val="22"/>
                <w:szCs w:val="22"/>
                <w:color w:val="auto"/>
              </w:rPr>
            </w:pPr>
          </w:p>
        </w:tc>
        <w:tc>
          <w:tcPr>
            <w:tcW w:w="1660" w:type="dxa"/>
            <w:vAlign w:val="bottom"/>
            <w:vMerge w:val="restart"/>
            <w:shd w:val="clear" w:color="auto" w:fill="F5F5F5"/>
          </w:tcPr>
          <w:p>
            <w:pPr>
              <w:ind w:left="20"/>
              <w:spacing w:after="0"/>
              <w:rPr>
                <w:sz w:val="20"/>
                <w:szCs w:val="20"/>
                <w:color w:val="auto"/>
              </w:rPr>
            </w:pPr>
            <w:r>
              <w:rPr>
                <w:rFonts w:ascii="Arial" w:cs="Arial" w:eastAsia="Arial" w:hAnsi="Arial"/>
                <w:sz w:val="13"/>
                <w:szCs w:val="13"/>
                <w:color w:val="auto"/>
              </w:rPr>
              <w:t>Lived or Worked</w:t>
            </w:r>
          </w:p>
        </w:tc>
        <w:tc>
          <w:tcPr>
            <w:tcW w:w="0" w:type="dxa"/>
            <w:vAlign w:val="bottom"/>
          </w:tcPr>
          <w:p>
            <w:pPr>
              <w:spacing w:after="0"/>
              <w:rPr>
                <w:sz w:val="1"/>
                <w:szCs w:val="1"/>
                <w:color w:val="auto"/>
              </w:rPr>
            </w:pPr>
          </w:p>
        </w:tc>
      </w:tr>
      <w:tr>
        <w:trPr>
          <w:trHeight w:val="36"/>
        </w:trPr>
        <w:tc>
          <w:tcPr>
            <w:tcW w:w="1120" w:type="dxa"/>
            <w:vAlign w:val="bottom"/>
            <w:shd w:val="clear" w:color="auto" w:fill="F5F5F5"/>
          </w:tcPr>
          <w:p>
            <w:pPr>
              <w:spacing w:after="0"/>
              <w:rPr>
                <w:sz w:val="3"/>
                <w:szCs w:val="3"/>
                <w:color w:val="auto"/>
              </w:rPr>
            </w:pPr>
          </w:p>
        </w:tc>
        <w:tc>
          <w:tcPr>
            <w:tcW w:w="1660" w:type="dxa"/>
            <w:vAlign w:val="bottom"/>
            <w:vMerge w:val="continue"/>
            <w:shd w:val="clear" w:color="auto" w:fill="F5F5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120" w:type="dxa"/>
            <w:vAlign w:val="bottom"/>
            <w:shd w:val="clear" w:color="auto" w:fill="F5F5F5"/>
          </w:tcPr>
          <w:p>
            <w:pPr>
              <w:spacing w:after="0"/>
              <w:rPr>
                <w:sz w:val="14"/>
                <w:szCs w:val="14"/>
                <w:color w:val="auto"/>
              </w:rPr>
            </w:pPr>
          </w:p>
        </w:tc>
        <w:tc>
          <w:tcPr>
            <w:tcW w:w="1660" w:type="dxa"/>
            <w:vAlign w:val="bottom"/>
            <w:shd w:val="clear" w:color="auto" w:fill="F5F5F5"/>
          </w:tcPr>
          <w:p>
            <w:pPr>
              <w:ind w:left="20"/>
              <w:spacing w:after="0"/>
              <w:rPr>
                <w:sz w:val="20"/>
                <w:szCs w:val="20"/>
                <w:color w:val="auto"/>
              </w:rPr>
            </w:pPr>
            <w:r>
              <w:rPr>
                <w:rFonts w:ascii="Arial" w:cs="Arial" w:eastAsia="Arial" w:hAnsi="Arial"/>
                <w:sz w:val="13"/>
                <w:szCs w:val="13"/>
                <w:color w:val="auto"/>
              </w:rPr>
              <w:t>outside U.S.</w:t>
            </w:r>
          </w:p>
        </w:tc>
        <w:tc>
          <w:tcPr>
            <w:tcW w:w="0" w:type="dxa"/>
            <w:vAlign w:val="bottom"/>
          </w:tcPr>
          <w:p>
            <w:pPr>
              <w:spacing w:after="0"/>
              <w:rPr>
                <w:sz w:val="1"/>
                <w:szCs w:val="1"/>
                <w:color w:val="auto"/>
              </w:rPr>
            </w:pPr>
          </w:p>
        </w:tc>
      </w:tr>
      <w:tr>
        <w:trPr>
          <w:trHeight w:val="540"/>
        </w:trPr>
        <w:tc>
          <w:tcPr>
            <w:tcW w:w="1120" w:type="dxa"/>
            <w:vAlign w:val="bottom"/>
            <w:shd w:val="clear" w:color="auto" w:fill="F5F5F5"/>
          </w:tcPr>
          <w:p>
            <w:pPr>
              <w:spacing w:after="0"/>
              <w:rPr>
                <w:sz w:val="24"/>
                <w:szCs w:val="24"/>
                <w:color w:val="auto"/>
              </w:rPr>
            </w:pPr>
          </w:p>
        </w:tc>
        <w:tc>
          <w:tcPr>
            <w:tcW w:w="166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299720</wp:posOffset>
            </wp:positionV>
            <wp:extent cx="55689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60" w:right="799"/>
        <w:spacing w:after="0" w:line="258" w:lineRule="auto"/>
        <w:rPr>
          <w:sz w:val="20"/>
          <w:szCs w:val="20"/>
          <w:color w:val="auto"/>
        </w:rPr>
      </w:pPr>
      <w:r>
        <w:rPr>
          <w:rFonts w:ascii="Arial" w:cs="Arial" w:eastAsia="Arial" w:hAnsi="Arial"/>
          <w:sz w:val="19"/>
          <w:szCs w:val="19"/>
          <w:color w:val="auto"/>
        </w:rPr>
        <w:t xml:space="preserve">The Board recommends a vote </w:t>
      </w:r>
      <w:r>
        <w:rPr>
          <w:rFonts w:ascii="Arial" w:cs="Arial" w:eastAsia="Arial" w:hAnsi="Arial"/>
          <w:sz w:val="19"/>
          <w:szCs w:val="19"/>
          <w:b w:val="1"/>
          <w:bCs w:val="1"/>
          <w:color w:val="auto"/>
        </w:rPr>
        <w:t xml:space="preserve">FOR </w:t>
      </w:r>
      <w:r>
        <w:rPr>
          <w:rFonts w:ascii="Arial" w:cs="Arial" w:eastAsia="Arial" w:hAnsi="Arial"/>
          <w:sz w:val="19"/>
          <w:szCs w:val="19"/>
          <w:color w:val="auto"/>
        </w:rPr>
        <w:t>each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-998855</wp:posOffset>
            </wp:positionV>
            <wp:extent cx="2623185" cy="13373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23185" cy="1337310"/>
                    </a:xfrm>
                    <a:prstGeom prst="rect">
                      <a:avLst/>
                    </a:prstGeom>
                    <a:noFill/>
                  </pic:spPr>
                </pic:pic>
              </a:graphicData>
            </a:graphic>
          </wp:anchor>
        </w:drawing>
      </w:r>
    </w:p>
    <w:p>
      <w:pPr>
        <w:spacing w:after="0" w:line="57"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-2513330</wp:posOffset>
            </wp:positionH>
            <wp:positionV relativeFrom="paragraph">
              <wp:posOffset>332105</wp:posOffset>
            </wp:positionV>
            <wp:extent cx="6292215" cy="7466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746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Robert G. Ashe, 66</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00A798"/>
        </w:rPr>
        <w:t>INDEPENDENT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Lead Director</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Former General Manager, Business Analytics, IBM</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Corp. (Formerly CEO of Cognos Inc.)</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Henry A. Fernandez, 67</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Chairman, CEO and President, MSCI Inc.</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Robin Matlock, 60</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right="2299"/>
        <w:spacing w:after="0" w:line="270" w:lineRule="auto"/>
        <w:rPr>
          <w:sz w:val="20"/>
          <w:szCs w:val="20"/>
          <w:color w:val="auto"/>
        </w:rPr>
      </w:pPr>
      <w:r>
        <w:rPr>
          <w:rFonts w:ascii="Arial" w:cs="Arial" w:eastAsia="Arial" w:hAnsi="Arial"/>
          <w:sz w:val="13"/>
          <w:szCs w:val="13"/>
          <w:color w:val="auto"/>
        </w:rPr>
        <w:t>Former Senior Vice President and Chief Marketing Officer, VMware, Inc.</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Jacques P. Perold, 67</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right="2899"/>
        <w:spacing w:after="0" w:line="270" w:lineRule="auto"/>
        <w:rPr>
          <w:sz w:val="20"/>
          <w:szCs w:val="20"/>
          <w:color w:val="auto"/>
        </w:rPr>
      </w:pPr>
      <w:r>
        <w:rPr>
          <w:rFonts w:ascii="Arial" w:cs="Arial" w:eastAsia="Arial" w:hAnsi="Arial"/>
          <w:sz w:val="13"/>
          <w:szCs w:val="13"/>
          <w:color w:val="auto"/>
        </w:rPr>
        <w:t>Former President, Fidelity Management and Research Company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A3FD6"/>
        </w:rPr>
        <w:t>Sandy C. Rattray, 56</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00A798"/>
        </w:rPr>
        <w:t>INDEPENDENT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Former Chief Investment Officer,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Man Group plc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Linda H. Riefler, 65</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right="2319"/>
        <w:spacing w:after="0" w:line="270" w:lineRule="auto"/>
        <w:rPr>
          <w:sz w:val="20"/>
          <w:szCs w:val="20"/>
          <w:color w:val="auto"/>
        </w:rPr>
      </w:pPr>
      <w:r>
        <w:rPr>
          <w:rFonts w:ascii="Arial" w:cs="Arial" w:eastAsia="Arial" w:hAnsi="Arial"/>
          <w:sz w:val="13"/>
          <w:szCs w:val="13"/>
          <w:color w:val="auto"/>
        </w:rPr>
        <w:t>Former Chair of Global Research and Chief Talent Officer, Morgan Stanley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1240790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20" w:space="700"/>
            <w:col w:w="5119"/>
          </w:cols>
          <w:pgMar w:left="320" w:top="130" w:right="1440" w:bottom="349" w:gutter="0" w:footer="0" w:header="0"/>
        </w:sectPr>
      </w:pPr>
    </w:p>
    <w:bookmarkStart w:id="13" w:name="page14"/>
    <w:bookmarkEnd w:id="13"/>
    <w:p>
      <w:pPr>
        <w:jc w:val="right"/>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Governance Highlights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Board of Directors Nominees</w:t>
      </w:r>
    </w:p>
    <w:p>
      <w:pPr>
        <w:spacing w:after="0" w:line="120" w:lineRule="exact"/>
        <w:rPr>
          <w:sz w:val="20"/>
          <w:szCs w:val="20"/>
          <w:color w:val="auto"/>
        </w:rPr>
      </w:pPr>
    </w:p>
    <w:p>
      <w:pPr>
        <w:ind w:right="60"/>
        <w:spacing w:after="0" w:line="274" w:lineRule="auto"/>
        <w:rPr>
          <w:sz w:val="20"/>
          <w:szCs w:val="20"/>
          <w:color w:val="auto"/>
        </w:rPr>
      </w:pPr>
      <w:r>
        <w:rPr>
          <w:rFonts w:ascii="Arial" w:cs="Arial" w:eastAsia="Arial" w:hAnsi="Arial"/>
          <w:sz w:val="13"/>
          <w:szCs w:val="13"/>
          <w:color w:val="auto"/>
        </w:rPr>
        <w:t>Each of our current directors is standing for election to hold office until the next annual meeting of shareholders or until the director’s earlier retirement, resignation, death or removal. The table below provides information on each of our director nominees, including their membership on our four standing committees: the Audit and Risk Committee (the “Audit Committee”), the Compensation, Talent and Culture Committee (the “Compensation Committee”), the Governance and Corporate Responsibility Committee (the “Governance Committee”) and the Strategy and Finance Committee (the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243205</wp:posOffset>
            </wp:positionV>
            <wp:extent cx="6214745" cy="6806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14745" cy="68065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1A3FD6"/>
        </w:rPr>
        <w:t>Michelle Seitz, 60</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left="1340" w:right="2210"/>
        <w:spacing w:after="0" w:line="289" w:lineRule="auto"/>
        <w:rPr>
          <w:sz w:val="20"/>
          <w:szCs w:val="20"/>
          <w:color w:val="auto"/>
        </w:rPr>
      </w:pPr>
      <w:r>
        <w:rPr>
          <w:rFonts w:ascii="Arial" w:cs="Arial" w:eastAsia="Arial" w:hAnsi="Arial"/>
          <w:sz w:val="12"/>
          <w:szCs w:val="12"/>
          <w:color w:val="auto"/>
        </w:rPr>
        <w:t>Founder and CEO, MeydenVest Partners and Former Chair and CEO, Russell Investments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1A3FD6"/>
        </w:rPr>
        <w:t>Marcus L. Smith, 59</w:t>
      </w:r>
    </w:p>
    <w:p>
      <w:pPr>
        <w:spacing w:after="0" w:line="39"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00A798"/>
        </w:rPr>
        <w:t>INDEPENDENT</w:t>
      </w:r>
    </w:p>
    <w:p>
      <w:pPr>
        <w:spacing w:after="0" w:line="1" w:lineRule="exact"/>
        <w:rPr>
          <w:sz w:val="20"/>
          <w:szCs w:val="20"/>
          <w:color w:val="auto"/>
        </w:rPr>
      </w:pPr>
    </w:p>
    <w:p>
      <w:pPr>
        <w:ind w:left="1340" w:right="2050"/>
        <w:spacing w:after="0" w:line="263" w:lineRule="auto"/>
        <w:rPr>
          <w:sz w:val="20"/>
          <w:szCs w:val="20"/>
          <w:color w:val="auto"/>
        </w:rPr>
      </w:pPr>
      <w:r>
        <w:rPr>
          <w:rFonts w:ascii="Arial" w:cs="Arial" w:eastAsia="Arial" w:hAnsi="Arial"/>
          <w:sz w:val="13"/>
          <w:szCs w:val="13"/>
          <w:color w:val="auto"/>
        </w:rPr>
        <w:t>Former Chief Investment Officer, Canada Equity, and Portfolio Manager, International Equities, MFS Investment Management</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1A3FD6"/>
        </w:rPr>
        <w:t>Rajat Taneja, 61</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President of Technology, Visa Inc.</w:t>
      </w:r>
    </w:p>
    <w:p>
      <w:pPr>
        <w:spacing w:after="0" w:line="4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1A3FD6"/>
        </w:rPr>
        <w:t>Paula Volent, 69</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left="1340" w:right="2290"/>
        <w:spacing w:after="0" w:line="270" w:lineRule="auto"/>
        <w:rPr>
          <w:sz w:val="20"/>
          <w:szCs w:val="20"/>
          <w:color w:val="auto"/>
        </w:rPr>
      </w:pPr>
      <w:r>
        <w:rPr>
          <w:rFonts w:ascii="Arial" w:cs="Arial" w:eastAsia="Arial" w:hAnsi="Arial"/>
          <w:sz w:val="13"/>
          <w:szCs w:val="13"/>
          <w:color w:val="auto"/>
        </w:rPr>
        <w:t>Vice President and Chief Investment Officer, The Rockefeller University</w:t>
      </w:r>
    </w:p>
    <w:p>
      <w:pPr>
        <w:spacing w:after="0" w:line="1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1A3FD6"/>
        </w:rPr>
        <w:t>June Yang, 52</w:t>
      </w:r>
    </w:p>
    <w:p>
      <w:pPr>
        <w:spacing w:after="0" w:line="42" w:lineRule="exact"/>
        <w:rPr>
          <w:sz w:val="20"/>
          <w:szCs w:val="20"/>
          <w:color w:val="auto"/>
        </w:rPr>
      </w:pPr>
    </w:p>
    <w:p>
      <w:pPr>
        <w:ind w:left="1340"/>
        <w:spacing w:after="0"/>
        <w:rPr>
          <w:sz w:val="20"/>
          <w:szCs w:val="20"/>
          <w:color w:val="auto"/>
        </w:rPr>
      </w:pPr>
      <w:r>
        <w:rPr>
          <w:rFonts w:ascii="Arial" w:cs="Arial" w:eastAsia="Arial" w:hAnsi="Arial"/>
          <w:sz w:val="13"/>
          <w:szCs w:val="13"/>
          <w:b w:val="1"/>
          <w:bCs w:val="1"/>
          <w:color w:val="00A798"/>
        </w:rPr>
        <w:t>INDEPENDENT</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Former Vice President, Cloud AI and</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Industry Solutions, Google Cloud Inc.</w:t>
      </w:r>
    </w:p>
    <w:p>
      <w:pPr>
        <w:spacing w:after="0" w:line="49"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 xml:space="preserve">Director Since: </w:t>
      </w:r>
      <w:r>
        <w:rPr>
          <w:rFonts w:ascii="Arial" w:cs="Arial" w:eastAsia="Arial" w:hAnsi="Arial"/>
          <w:sz w:val="13"/>
          <w:szCs w:val="13"/>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90" w:right="1820" w:hanging="690"/>
        <w:spacing w:after="0" w:line="180" w:lineRule="auto"/>
        <w:tabs>
          <w:tab w:leader="none" w:pos="690" w:val="left"/>
        </w:tabs>
        <w:numPr>
          <w:ilvl w:val="0"/>
          <w:numId w:val="10"/>
        </w:numPr>
        <w:rPr>
          <w:rFonts w:ascii="Arial" w:cs="Arial" w:eastAsia="Arial" w:hAnsi="Arial"/>
          <w:sz w:val="40"/>
          <w:szCs w:val="40"/>
          <w:color w:val="00C4B3"/>
        </w:rPr>
      </w:pPr>
      <w:r>
        <w:rPr>
          <w:rFonts w:ascii="Arial" w:cs="Arial" w:eastAsia="Arial" w:hAnsi="Arial"/>
          <w:sz w:val="15"/>
          <w:szCs w:val="15"/>
          <w:b w:val="1"/>
          <w:bCs w:val="1"/>
          <w:color w:val="00C4B3"/>
        </w:rPr>
        <w:t>Independent Directors Appointed Since 2020</w:t>
      </w:r>
    </w:p>
    <w:p>
      <w:pPr>
        <w:spacing w:after="0" w:line="200" w:lineRule="exact"/>
        <w:rPr>
          <w:sz w:val="20"/>
          <w:szCs w:val="20"/>
          <w:color w:val="auto"/>
        </w:rPr>
      </w:pPr>
    </w:p>
    <w:p>
      <w:pPr>
        <w:spacing w:after="0" w:line="329"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1A3FD6"/>
        </w:rPr>
        <w:t>Active Board</w:t>
      </w:r>
    </w:p>
    <w:p>
      <w:pPr>
        <w:spacing w:after="0" w:line="45" w:lineRule="exact"/>
        <w:rPr>
          <w:sz w:val="20"/>
          <w:szCs w:val="20"/>
          <w:color w:val="auto"/>
        </w:rPr>
      </w:pPr>
    </w:p>
    <w:p>
      <w:pPr>
        <w:ind w:left="10"/>
        <w:spacing w:after="0"/>
        <w:rPr>
          <w:sz w:val="20"/>
          <w:szCs w:val="20"/>
          <w:color w:val="auto"/>
        </w:rPr>
      </w:pPr>
      <w:r>
        <w:rPr>
          <w:rFonts w:ascii="Arial" w:cs="Arial" w:eastAsia="Arial" w:hAnsi="Arial"/>
          <w:sz w:val="22"/>
          <w:szCs w:val="22"/>
          <w:b w:val="1"/>
          <w:bCs w:val="1"/>
          <w:color w:val="1A3FD6"/>
        </w:rPr>
        <w:t>Refreshment</w:t>
      </w:r>
    </w:p>
    <w:p>
      <w:pPr>
        <w:spacing w:after="0" w:line="100" w:lineRule="exact"/>
        <w:rPr>
          <w:sz w:val="20"/>
          <w:szCs w:val="20"/>
          <w:color w:val="auto"/>
        </w:rPr>
      </w:pPr>
    </w:p>
    <w:p>
      <w:pPr>
        <w:ind w:left="10" w:right="1940"/>
        <w:spacing w:after="0" w:line="310" w:lineRule="auto"/>
        <w:rPr>
          <w:sz w:val="20"/>
          <w:szCs w:val="20"/>
          <w:color w:val="auto"/>
        </w:rPr>
      </w:pPr>
      <w:r>
        <w:rPr>
          <w:rFonts w:ascii="Arial" w:cs="Arial" w:eastAsia="Arial" w:hAnsi="Arial"/>
          <w:sz w:val="13"/>
          <w:szCs w:val="13"/>
          <w:color w:val="auto"/>
        </w:rPr>
        <w:t>Ongoing thoughtful refreshment, with two directors added in 2024, expanding the Board’s expertise in AI, cyber and asset-management depth.</w:t>
      </w:r>
    </w:p>
    <w:p>
      <w:pPr>
        <w:spacing w:after="0" w:line="24" w:lineRule="exact"/>
        <w:rPr>
          <w:sz w:val="20"/>
          <w:szCs w:val="20"/>
          <w:color w:val="auto"/>
        </w:rPr>
      </w:pPr>
    </w:p>
    <w:p>
      <w:pPr>
        <w:ind w:left="10"/>
        <w:spacing w:after="0"/>
        <w:rPr>
          <w:sz w:val="20"/>
          <w:szCs w:val="20"/>
          <w:color w:val="auto"/>
        </w:rPr>
      </w:pPr>
      <w:r>
        <w:rPr>
          <w:rFonts w:ascii="Arial" w:cs="Arial" w:eastAsia="Arial" w:hAnsi="Arial"/>
          <w:sz w:val="13"/>
          <w:szCs w:val="13"/>
          <w:color w:val="auto"/>
        </w:rPr>
        <w:t>In February 2025, we announced the</w:t>
      </w:r>
    </w:p>
    <w:p>
      <w:pPr>
        <w:spacing w:after="0" w:line="40" w:lineRule="exact"/>
        <w:rPr>
          <w:sz w:val="20"/>
          <w:szCs w:val="20"/>
          <w:color w:val="auto"/>
        </w:rPr>
      </w:pPr>
    </w:p>
    <w:p>
      <w:pPr>
        <w:ind w:left="10"/>
        <w:spacing w:after="0"/>
        <w:rPr>
          <w:sz w:val="20"/>
          <w:szCs w:val="20"/>
          <w:color w:val="auto"/>
        </w:rPr>
      </w:pPr>
      <w:r>
        <w:rPr>
          <w:rFonts w:ascii="Arial" w:cs="Arial" w:eastAsia="Arial" w:hAnsi="Arial"/>
          <w:sz w:val="13"/>
          <w:szCs w:val="13"/>
          <w:color w:val="auto"/>
        </w:rPr>
        <w:t>retirement of incumbent director</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3"/>
          <w:szCs w:val="13"/>
          <w:color w:val="auto"/>
        </w:rPr>
        <w:t>Wayne Edmunds, effective as of the 2025</w:t>
      </w:r>
    </w:p>
    <w:p>
      <w:pPr>
        <w:spacing w:after="0" w:line="39" w:lineRule="exact"/>
        <w:rPr>
          <w:sz w:val="20"/>
          <w:szCs w:val="20"/>
          <w:color w:val="auto"/>
        </w:rPr>
      </w:pPr>
    </w:p>
    <w:p>
      <w:pPr>
        <w:ind w:left="10"/>
        <w:spacing w:after="0"/>
        <w:rPr>
          <w:sz w:val="20"/>
          <w:szCs w:val="20"/>
          <w:color w:val="auto"/>
        </w:rPr>
      </w:pPr>
      <w:r>
        <w:rPr>
          <w:rFonts w:ascii="Arial" w:cs="Arial" w:eastAsia="Arial" w:hAnsi="Arial"/>
          <w:sz w:val="13"/>
          <w:szCs w:val="13"/>
          <w:color w:val="auto"/>
        </w:rPr>
        <w:t>annual meeting of shareholders.</w:t>
      </w:r>
    </w:p>
    <w:p>
      <w:pPr>
        <w:spacing w:after="0" w:line="107" w:lineRule="exact"/>
        <w:rPr>
          <w:sz w:val="20"/>
          <w:szCs w:val="20"/>
          <w:color w:val="auto"/>
        </w:rPr>
      </w:pPr>
    </w:p>
    <w:p>
      <w:pPr>
        <w:ind w:left="10" w:right="1760"/>
        <w:spacing w:after="0" w:line="303" w:lineRule="auto"/>
        <w:rPr>
          <w:sz w:val="20"/>
          <w:szCs w:val="20"/>
          <w:color w:val="auto"/>
        </w:rPr>
      </w:pPr>
      <w:r>
        <w:rPr>
          <w:rFonts w:ascii="Arial" w:cs="Arial" w:eastAsia="Arial" w:hAnsi="Arial"/>
          <w:sz w:val="13"/>
          <w:szCs w:val="13"/>
          <w:color w:val="auto"/>
        </w:rPr>
        <w:t>In November 2025, we announced the planned retirement of President and director C.D. Baer Pettit, in connection with which he also ceased serving as a member of the Board, effective March 1, 2026.</w:t>
      </w:r>
    </w:p>
    <w:p>
      <w:pPr>
        <w:spacing w:after="0" w:line="215" w:lineRule="exact"/>
        <w:rPr>
          <w:sz w:val="20"/>
          <w:szCs w:val="20"/>
          <w:color w:val="auto"/>
        </w:rPr>
      </w:pPr>
    </w:p>
    <w:p>
      <w:pPr>
        <w:ind w:left="10" w:right="1960"/>
        <w:spacing w:after="0" w:line="311" w:lineRule="auto"/>
        <w:rPr>
          <w:sz w:val="20"/>
          <w:szCs w:val="20"/>
          <w:color w:val="auto"/>
        </w:rPr>
      </w:pPr>
      <w:r>
        <w:rPr>
          <w:rFonts w:ascii="Arial" w:cs="Arial" w:eastAsia="Arial" w:hAnsi="Arial"/>
          <w:sz w:val="22"/>
          <w:szCs w:val="22"/>
          <w:b w:val="1"/>
          <w:bCs w:val="1"/>
          <w:color w:val="1A3FD6"/>
        </w:rPr>
        <w:t>Board Composition and Selection Process</w:t>
      </w:r>
    </w:p>
    <w:p>
      <w:pPr>
        <w:spacing w:after="0" w:line="35" w:lineRule="exact"/>
        <w:rPr>
          <w:sz w:val="20"/>
          <w:szCs w:val="20"/>
          <w:color w:val="auto"/>
        </w:rPr>
      </w:pPr>
    </w:p>
    <w:p>
      <w:pPr>
        <w:ind w:left="10" w:right="1820"/>
        <w:spacing w:after="0" w:line="309" w:lineRule="auto"/>
        <w:rPr>
          <w:sz w:val="20"/>
          <w:szCs w:val="20"/>
          <w:color w:val="auto"/>
        </w:rPr>
      </w:pPr>
      <w:r>
        <w:rPr>
          <w:rFonts w:ascii="Arial" w:cs="Arial" w:eastAsia="Arial" w:hAnsi="Arial"/>
          <w:sz w:val="13"/>
          <w:szCs w:val="13"/>
          <w:color w:val="auto"/>
        </w:rPr>
        <w:t>Our Board is committed to building a well-rounded membership with a broad range of skills, backgrounds and perspectives aligned with our strategic priorities and long-term growth opportunities. The Governance Committee considers these factors when identifying the most qualified candidates for the Board.</w:t>
      </w:r>
    </w:p>
    <w:p>
      <w:pPr>
        <w:spacing w:after="0" w:line="23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1A3FD6"/>
        </w:rPr>
        <w:t>Committees:</w:t>
      </w:r>
    </w:p>
    <w:p>
      <w:pPr>
        <w:spacing w:after="0" w:line="777" w:lineRule="exact"/>
        <w:rPr>
          <w:sz w:val="20"/>
          <w:szCs w:val="20"/>
          <w:color w:val="auto"/>
        </w:rPr>
      </w:pPr>
    </w:p>
    <w:p>
      <w:pPr>
        <w:sectPr>
          <w:pgSz w:w="11900" w:h="16838" w:orient="portrait"/>
          <w:cols w:equalWidth="0" w:num="2">
            <w:col w:w="6110" w:space="720"/>
            <w:col w:w="441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000"/>
        <w:spacing w:after="0"/>
        <w:tabs>
          <w:tab w:leader="none" w:pos="1104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4"/>
          <w:szCs w:val="14"/>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563880</wp:posOffset>
            </wp:positionV>
            <wp:extent cx="2940050" cy="15005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400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80"/>
        <w:spacing w:after="0"/>
        <w:rPr>
          <w:sz w:val="20"/>
          <w:szCs w:val="20"/>
          <w:color w:val="auto"/>
        </w:rPr>
      </w:pPr>
      <w:r>
        <w:rPr>
          <w:rFonts w:ascii="Arial" w:cs="Arial" w:eastAsia="Arial" w:hAnsi="Arial"/>
          <w:sz w:val="20"/>
          <w:szCs w:val="20"/>
          <w:color w:val="00C4B3"/>
        </w:rPr>
        <w:t>PROPOSAL 2</w:t>
      </w:r>
    </w:p>
    <w:p>
      <w:pPr>
        <w:spacing w:after="0" w:line="74" w:lineRule="exact"/>
        <w:rPr>
          <w:sz w:val="20"/>
          <w:szCs w:val="20"/>
          <w:color w:val="auto"/>
        </w:rPr>
      </w:pPr>
    </w:p>
    <w:p>
      <w:pPr>
        <w:jc w:val="both"/>
        <w:ind w:left="1680" w:right="1660"/>
        <w:spacing w:after="0" w:line="270" w:lineRule="auto"/>
        <w:rPr>
          <w:sz w:val="20"/>
          <w:szCs w:val="20"/>
          <w:color w:val="auto"/>
        </w:rPr>
      </w:pPr>
      <w:r>
        <w:rPr>
          <w:rFonts w:ascii="Arial" w:cs="Arial" w:eastAsia="Arial" w:hAnsi="Arial"/>
          <w:sz w:val="32"/>
          <w:szCs w:val="32"/>
          <w:color w:val="FFFFFF"/>
        </w:rPr>
        <w:t>Advisory Vote to Approve Executive Compensation (Say-on-Pay)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-695325</wp:posOffset>
            </wp:positionV>
            <wp:extent cx="2614930" cy="1500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14930" cy="15005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recommends a vote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 </w:t>
      </w:r>
      <w:r>
        <w:rPr>
          <w:rFonts w:ascii="Arial" w:cs="Arial" w:eastAsia="Arial" w:hAnsi="Arial"/>
          <w:sz w:val="19"/>
          <w:szCs w:val="19"/>
          <w:color w:val="auto"/>
        </w:rPr>
        <w:t>this proposal.</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 56</w:t>
      </w:r>
    </w:p>
    <w:p>
      <w:pPr>
        <w:spacing w:after="0" w:line="200" w:lineRule="exact"/>
        <w:rPr>
          <w:sz w:val="20"/>
          <w:szCs w:val="20"/>
          <w:color w:val="auto"/>
        </w:rPr>
      </w:pPr>
    </w:p>
    <w:p>
      <w:pPr>
        <w:sectPr>
          <w:pgSz w:w="11900" w:h="16838" w:orient="portrait"/>
          <w:cols w:equalWidth="0" w:num="2">
            <w:col w:w="6980" w:space="720"/>
            <w:col w:w="35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spacing w:after="0" w:line="290" w:lineRule="auto"/>
        <w:rPr>
          <w:sz w:val="20"/>
          <w:szCs w:val="20"/>
          <w:color w:val="auto"/>
        </w:rPr>
      </w:pPr>
      <w:r>
        <w:rPr>
          <w:rFonts w:ascii="Arial" w:cs="Arial" w:eastAsia="Arial" w:hAnsi="Arial"/>
          <w:sz w:val="40"/>
          <w:szCs w:val="40"/>
          <w:b w:val="1"/>
          <w:bCs w:val="1"/>
          <w:color w:val="1A3FD6"/>
        </w:rPr>
        <w:t>Aligning Executive Compensation with Company Strategy, Culture and Performance</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believe our executive compensation program was integral to our successful financial performance in 2025. Our executive compensation program is designed not only to closely align the compensation and interests of our named executive officers (“NEOs”) with the interests of our shareholders, but also to reflect the economic realities of our operating environment by directly linking pay with performance.</w:t>
      </w:r>
    </w:p>
    <w:p>
      <w:pPr>
        <w:spacing w:after="0" w:line="98"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MSCI’s executive compensation program emphasizes performance-based compensation in the form of cash incentive awards under our Annual Incentive Plan (“AIP”) and equity incentive awards under our Long-Term Incentive Plan (“LTIP”) that focus respectively on the achievement of short- and long-term goals. The following table sets forth the key components of our executive compensation program in effect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126365</wp:posOffset>
            </wp:positionV>
            <wp:extent cx="5554980" cy="3694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369443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1A3FD6"/>
        </w:rPr>
        <w:t>Short-Term Annual Incentive Plan</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1A3FD6"/>
        </w:rPr>
        <w:t>Cash Bonus</w:t>
      </w:r>
    </w:p>
    <w:p>
      <w:pPr>
        <w:spacing w:after="0" w:line="131" w:lineRule="exact"/>
        <w:rPr>
          <w:sz w:val="20"/>
          <w:szCs w:val="20"/>
          <w:color w:val="auto"/>
        </w:rPr>
      </w:pPr>
    </w:p>
    <w:tbl>
      <w:tblPr>
        <w:tblLayout w:type="fixed"/>
        <w:tblInd w:w="1520" w:type="dxa"/>
        <w:tblCellMar>
          <w:top w:w="0" w:type="dxa"/>
          <w:left w:w="0" w:type="dxa"/>
          <w:bottom w:w="0" w:type="dxa"/>
          <w:right w:w="0" w:type="dxa"/>
        </w:tblCellMar>
      </w:tblPr>
      <w:tr>
        <w:trPr>
          <w:trHeight w:val="54"/>
        </w:trPr>
        <w:tc>
          <w:tcPr>
            <w:tcW w:w="1300" w:type="dxa"/>
            <w:vAlign w:val="bottom"/>
            <w:shd w:val="clear" w:color="auto" w:fill="F5F5F5"/>
          </w:tcPr>
          <w:p>
            <w:pPr>
              <w:spacing w:after="0"/>
              <w:rPr>
                <w:sz w:val="4"/>
                <w:szCs w:val="4"/>
                <w:color w:val="auto"/>
              </w:rPr>
            </w:pPr>
          </w:p>
        </w:tc>
        <w:tc>
          <w:tcPr>
            <w:tcW w:w="17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1300" w:type="dxa"/>
            <w:vAlign w:val="bottom"/>
            <w:vMerge w:val="restart"/>
            <w:shd w:val="clear" w:color="auto" w:fill="F5F5F5"/>
          </w:tcPr>
          <w:p>
            <w:pPr>
              <w:ind w:left="20"/>
              <w:spacing w:after="0"/>
              <w:rPr>
                <w:sz w:val="20"/>
                <w:szCs w:val="20"/>
                <w:color w:val="auto"/>
              </w:rPr>
            </w:pPr>
            <w:r>
              <w:rPr>
                <w:rFonts w:ascii="Arial" w:cs="Arial" w:eastAsia="Arial" w:hAnsi="Arial"/>
                <w:sz w:val="22"/>
                <w:szCs w:val="22"/>
                <w:b w:val="1"/>
                <w:bCs w:val="1"/>
                <w:color w:val="1A3FD6"/>
              </w:rPr>
              <w:t>80%</w:t>
            </w:r>
          </w:p>
        </w:tc>
        <w:tc>
          <w:tcPr>
            <w:tcW w:w="1740" w:type="dxa"/>
            <w:vAlign w:val="bottom"/>
            <w:shd w:val="clear" w:color="auto" w:fill="F5F5F5"/>
          </w:tcPr>
          <w:p>
            <w:pPr>
              <w:spacing w:after="0"/>
              <w:rPr>
                <w:sz w:val="24"/>
                <w:szCs w:val="24"/>
                <w:color w:val="auto"/>
              </w:rPr>
            </w:pPr>
          </w:p>
        </w:tc>
        <w:tc>
          <w:tcPr>
            <w:tcW w:w="1540" w:type="dxa"/>
            <w:vAlign w:val="bottom"/>
            <w:shd w:val="clear" w:color="auto" w:fill="F5F5F5"/>
          </w:tcPr>
          <w:p>
            <w:pPr>
              <w:ind w:left="20"/>
              <w:spacing w:after="0"/>
              <w:rPr>
                <w:sz w:val="20"/>
                <w:szCs w:val="20"/>
                <w:color w:val="auto"/>
              </w:rPr>
            </w:pPr>
            <w:r>
              <w:rPr>
                <w:rFonts w:ascii="Arial" w:cs="Arial" w:eastAsia="Arial" w:hAnsi="Arial"/>
                <w:sz w:val="22"/>
                <w:szCs w:val="22"/>
                <w:b w:val="1"/>
                <w:bCs w:val="1"/>
                <w:color w:val="1A3FD6"/>
              </w:rPr>
              <w:t>20%</w:t>
            </w:r>
          </w:p>
        </w:tc>
        <w:tc>
          <w:tcPr>
            <w:tcW w:w="0" w:type="dxa"/>
            <w:vAlign w:val="bottom"/>
          </w:tcPr>
          <w:p>
            <w:pPr>
              <w:spacing w:after="0"/>
              <w:rPr>
                <w:sz w:val="1"/>
                <w:szCs w:val="1"/>
                <w:color w:val="auto"/>
              </w:rPr>
            </w:pPr>
          </w:p>
        </w:tc>
      </w:tr>
      <w:tr>
        <w:trPr>
          <w:trHeight w:val="148"/>
        </w:trPr>
        <w:tc>
          <w:tcPr>
            <w:tcW w:w="1300" w:type="dxa"/>
            <w:vAlign w:val="bottom"/>
            <w:vMerge w:val="continue"/>
            <w:shd w:val="clear" w:color="auto" w:fill="F5F5F5"/>
          </w:tcPr>
          <w:p>
            <w:pPr>
              <w:spacing w:after="0"/>
              <w:rPr>
                <w:sz w:val="12"/>
                <w:szCs w:val="12"/>
                <w:color w:val="auto"/>
              </w:rPr>
            </w:pPr>
          </w:p>
        </w:tc>
        <w:tc>
          <w:tcPr>
            <w:tcW w:w="1740" w:type="dxa"/>
            <w:vAlign w:val="bottom"/>
            <w:shd w:val="clear" w:color="auto" w:fill="F5F5F5"/>
          </w:tcPr>
          <w:p>
            <w:pPr>
              <w:spacing w:after="0"/>
              <w:rPr>
                <w:sz w:val="12"/>
                <w:szCs w:val="12"/>
                <w:color w:val="auto"/>
              </w:rPr>
            </w:pPr>
          </w:p>
        </w:tc>
        <w:tc>
          <w:tcPr>
            <w:tcW w:w="1540" w:type="dxa"/>
            <w:vAlign w:val="bottom"/>
            <w:vMerge w:val="restart"/>
            <w:shd w:val="clear" w:color="auto" w:fill="F5F5F5"/>
          </w:tcPr>
          <w:p>
            <w:pPr>
              <w:ind w:left="20"/>
              <w:spacing w:after="0"/>
              <w:rPr>
                <w:sz w:val="20"/>
                <w:szCs w:val="20"/>
                <w:color w:val="auto"/>
              </w:rPr>
            </w:pPr>
            <w:r>
              <w:rPr>
                <w:rFonts w:ascii="Arial" w:cs="Arial" w:eastAsia="Arial" w:hAnsi="Arial"/>
                <w:sz w:val="13"/>
                <w:szCs w:val="13"/>
                <w:b w:val="1"/>
                <w:bCs w:val="1"/>
                <w:color w:val="auto"/>
              </w:rPr>
              <w:t>Key</w:t>
            </w:r>
          </w:p>
        </w:tc>
        <w:tc>
          <w:tcPr>
            <w:tcW w:w="0" w:type="dxa"/>
            <w:vAlign w:val="bottom"/>
          </w:tcPr>
          <w:p>
            <w:pPr>
              <w:spacing w:after="0"/>
              <w:rPr>
                <w:sz w:val="1"/>
                <w:szCs w:val="1"/>
                <w:color w:val="auto"/>
              </w:rPr>
            </w:pPr>
          </w:p>
        </w:tc>
      </w:tr>
      <w:tr>
        <w:trPr>
          <w:trHeight w:val="54"/>
        </w:trPr>
        <w:tc>
          <w:tcPr>
            <w:tcW w:w="1300" w:type="dxa"/>
            <w:vAlign w:val="bottom"/>
            <w:shd w:val="clear" w:color="auto" w:fill="F5F5F5"/>
          </w:tcPr>
          <w:p>
            <w:pPr>
              <w:spacing w:after="0"/>
              <w:rPr>
                <w:sz w:val="4"/>
                <w:szCs w:val="4"/>
                <w:color w:val="auto"/>
              </w:rPr>
            </w:pPr>
          </w:p>
        </w:tc>
        <w:tc>
          <w:tcPr>
            <w:tcW w:w="1740" w:type="dxa"/>
            <w:vAlign w:val="bottom"/>
            <w:shd w:val="clear" w:color="auto" w:fill="F5F5F5"/>
          </w:tcPr>
          <w:p>
            <w:pPr>
              <w:spacing w:after="0"/>
              <w:rPr>
                <w:sz w:val="4"/>
                <w:szCs w:val="4"/>
                <w:color w:val="auto"/>
              </w:rPr>
            </w:pPr>
          </w:p>
        </w:tc>
        <w:tc>
          <w:tcPr>
            <w:tcW w:w="1540" w:type="dxa"/>
            <w:vAlign w:val="bottom"/>
            <w:vMerge w:val="continue"/>
            <w:shd w:val="clear" w:color="auto" w:fill="F5F5F5"/>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F5F5F5"/>
          </w:tcPr>
          <w:p>
            <w:pPr>
              <w:ind w:left="40"/>
              <w:spacing w:after="0"/>
              <w:rPr>
                <w:sz w:val="20"/>
                <w:szCs w:val="20"/>
                <w:color w:val="auto"/>
              </w:rPr>
            </w:pPr>
            <w:r>
              <w:rPr>
                <w:rFonts w:ascii="Arial" w:cs="Arial" w:eastAsia="Arial" w:hAnsi="Arial"/>
                <w:sz w:val="13"/>
                <w:szCs w:val="13"/>
                <w:b w:val="1"/>
                <w:bCs w:val="1"/>
                <w:color w:val="auto"/>
              </w:rPr>
              <w:t>Financial</w:t>
            </w:r>
          </w:p>
        </w:tc>
        <w:tc>
          <w:tcPr>
            <w:tcW w:w="1740" w:type="dxa"/>
            <w:vAlign w:val="bottom"/>
            <w:shd w:val="clear" w:color="auto" w:fill="F5F5F5"/>
          </w:tcPr>
          <w:p>
            <w:pPr>
              <w:spacing w:after="0"/>
              <w:rPr>
                <w:sz w:val="15"/>
                <w:szCs w:val="15"/>
                <w:color w:val="auto"/>
              </w:rPr>
            </w:pPr>
          </w:p>
        </w:tc>
        <w:tc>
          <w:tcPr>
            <w:tcW w:w="154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86"/>
        </w:trPr>
        <w:tc>
          <w:tcPr>
            <w:tcW w:w="1300" w:type="dxa"/>
            <w:vAlign w:val="bottom"/>
            <w:shd w:val="clear" w:color="auto" w:fill="F5F5F5"/>
          </w:tcPr>
          <w:p>
            <w:pPr>
              <w:ind w:left="40"/>
              <w:spacing w:after="0"/>
              <w:rPr>
                <w:sz w:val="20"/>
                <w:szCs w:val="20"/>
                <w:color w:val="auto"/>
              </w:rPr>
            </w:pPr>
            <w:r>
              <w:rPr>
                <w:rFonts w:ascii="Arial" w:cs="Arial" w:eastAsia="Arial" w:hAnsi="Arial"/>
                <w:sz w:val="13"/>
                <w:szCs w:val="13"/>
                <w:b w:val="1"/>
                <w:bCs w:val="1"/>
                <w:color w:val="auto"/>
              </w:rPr>
              <w:t>Performance</w:t>
            </w:r>
          </w:p>
        </w:tc>
        <w:tc>
          <w:tcPr>
            <w:tcW w:w="1740" w:type="dxa"/>
            <w:vAlign w:val="bottom"/>
            <w:shd w:val="clear" w:color="auto" w:fill="F5F5F5"/>
          </w:tcPr>
          <w:p>
            <w:pPr>
              <w:spacing w:after="0"/>
              <w:rPr>
                <w:sz w:val="16"/>
                <w:szCs w:val="16"/>
                <w:color w:val="auto"/>
              </w:rPr>
            </w:pPr>
          </w:p>
        </w:tc>
        <w:tc>
          <w:tcPr>
            <w:tcW w:w="154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Indicators</w:t>
            </w:r>
          </w:p>
        </w:tc>
        <w:tc>
          <w:tcPr>
            <w:tcW w:w="0" w:type="dxa"/>
            <w:vAlign w:val="bottom"/>
          </w:tcPr>
          <w:p>
            <w:pPr>
              <w:spacing w:after="0"/>
              <w:rPr>
                <w:sz w:val="1"/>
                <w:szCs w:val="1"/>
                <w:color w:val="auto"/>
              </w:rPr>
            </w:pPr>
          </w:p>
        </w:tc>
      </w:tr>
      <w:tr>
        <w:trPr>
          <w:trHeight w:val="693"/>
        </w:trPr>
        <w:tc>
          <w:tcPr>
            <w:tcW w:w="1300" w:type="dxa"/>
            <w:vAlign w:val="bottom"/>
            <w:shd w:val="clear" w:color="auto" w:fill="F5F5F5"/>
          </w:tcPr>
          <w:p>
            <w:pPr>
              <w:spacing w:after="0"/>
              <w:rPr>
                <w:sz w:val="24"/>
                <w:szCs w:val="24"/>
                <w:color w:val="auto"/>
              </w:rPr>
            </w:pPr>
          </w:p>
        </w:tc>
        <w:tc>
          <w:tcPr>
            <w:tcW w:w="1740" w:type="dxa"/>
            <w:vAlign w:val="bottom"/>
            <w:shd w:val="clear" w:color="auto" w:fill="F5F5F5"/>
          </w:tcPr>
          <w:p>
            <w:pPr>
              <w:spacing w:after="0"/>
              <w:rPr>
                <w:sz w:val="24"/>
                <w:szCs w:val="24"/>
                <w:color w:val="auto"/>
              </w:rPr>
            </w:pPr>
          </w:p>
        </w:tc>
        <w:tc>
          <w:tcPr>
            <w:tcW w:w="154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Aligns NEOs’ interests with stakeholders’ interests by:</w:t>
      </w:r>
    </w:p>
    <w:p>
      <w:pPr>
        <w:spacing w:after="0" w:line="140" w:lineRule="exact"/>
        <w:rPr>
          <w:sz w:val="20"/>
          <w:szCs w:val="20"/>
          <w:color w:val="auto"/>
        </w:rPr>
      </w:pPr>
    </w:p>
    <w:p>
      <w:pPr>
        <w:jc w:val="both"/>
        <w:ind w:left="1740" w:right="640" w:hanging="202"/>
        <w:spacing w:after="0" w:line="292" w:lineRule="auto"/>
        <w:tabs>
          <w:tab w:leader="none" w:pos="1697" w:val="left"/>
        </w:tabs>
        <w:numPr>
          <w:ilvl w:val="0"/>
          <w:numId w:val="11"/>
        </w:numPr>
        <w:rPr>
          <w:rFonts w:ascii="Arial" w:cs="Arial" w:eastAsia="Arial" w:hAnsi="Arial"/>
          <w:sz w:val="16"/>
          <w:szCs w:val="16"/>
          <w:color w:val="00A798"/>
        </w:rPr>
      </w:pPr>
      <w:r>
        <w:rPr>
          <w:rFonts w:ascii="Arial" w:cs="Arial" w:eastAsia="Arial" w:hAnsi="Arial"/>
          <w:sz w:val="16"/>
          <w:szCs w:val="16"/>
          <w:color w:val="auto"/>
        </w:rPr>
        <w:t>Rewarding performance for achievement of strategic goals, which are designed to position the Company competitively</w:t>
      </w:r>
    </w:p>
    <w:p>
      <w:pPr>
        <w:spacing w:after="0" w:line="30" w:lineRule="exact"/>
        <w:rPr>
          <w:rFonts w:ascii="Arial" w:cs="Arial" w:eastAsia="Arial" w:hAnsi="Arial"/>
          <w:sz w:val="16"/>
          <w:szCs w:val="16"/>
          <w:color w:val="00A798"/>
        </w:rPr>
      </w:pPr>
    </w:p>
    <w:p>
      <w:pPr>
        <w:ind w:left="1680" w:hanging="142"/>
        <w:spacing w:after="0"/>
        <w:tabs>
          <w:tab w:leader="none" w:pos="1680" w:val="left"/>
        </w:tabs>
        <w:numPr>
          <w:ilvl w:val="0"/>
          <w:numId w:val="11"/>
        </w:numPr>
        <w:rPr>
          <w:rFonts w:ascii="Arial" w:cs="Arial" w:eastAsia="Arial" w:hAnsi="Arial"/>
          <w:sz w:val="16"/>
          <w:szCs w:val="16"/>
          <w:color w:val="00A798"/>
        </w:rPr>
      </w:pPr>
      <w:r>
        <w:rPr>
          <w:rFonts w:ascii="Arial" w:cs="Arial" w:eastAsia="Arial" w:hAnsi="Arial"/>
          <w:sz w:val="16"/>
          <w:szCs w:val="16"/>
          <w:color w:val="auto"/>
        </w:rPr>
        <w:t>Promoting strong financial results and</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shareholder value</w:t>
      </w:r>
    </w:p>
    <w:p>
      <w:pPr>
        <w:spacing w:after="0" w:line="86" w:lineRule="exact"/>
        <w:rPr>
          <w:sz w:val="20"/>
          <w:szCs w:val="20"/>
          <w:color w:val="auto"/>
        </w:rPr>
      </w:pPr>
    </w:p>
    <w:p>
      <w:pPr>
        <w:ind w:left="1740" w:right="860" w:hanging="202"/>
        <w:spacing w:after="0" w:line="289" w:lineRule="auto"/>
        <w:tabs>
          <w:tab w:leader="none" w:pos="1697" w:val="left"/>
        </w:tabs>
        <w:numPr>
          <w:ilvl w:val="0"/>
          <w:numId w:val="12"/>
        </w:numPr>
        <w:rPr>
          <w:rFonts w:ascii="Arial" w:cs="Arial" w:eastAsia="Arial" w:hAnsi="Arial"/>
          <w:sz w:val="16"/>
          <w:szCs w:val="16"/>
          <w:color w:val="00A798"/>
        </w:rPr>
      </w:pPr>
      <w:r>
        <w:rPr>
          <w:rFonts w:ascii="Arial" w:cs="Arial" w:eastAsia="Arial" w:hAnsi="Arial"/>
          <w:sz w:val="16"/>
          <w:szCs w:val="16"/>
          <w:color w:val="auto"/>
        </w:rPr>
        <w:t>Incentivizing a corporate culture that promotes leadership effectiveness, talent management, employee engagement and supporting Company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1066165</wp:posOffset>
            </wp:positionV>
            <wp:extent cx="55689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Long-Term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Incentive Awards for NEOs</w:t>
      </w:r>
    </w:p>
    <w:p>
      <w:pPr>
        <w:spacing w:after="0" w:line="104" w:lineRule="exact"/>
        <w:rPr>
          <w:sz w:val="20"/>
          <w:szCs w:val="20"/>
          <w:color w:val="auto"/>
        </w:rPr>
      </w:pPr>
    </w:p>
    <w:p>
      <w:pPr>
        <w:ind w:left="200" w:right="1660" w:hanging="192"/>
        <w:spacing w:after="0" w:line="287" w:lineRule="auto"/>
        <w:tabs>
          <w:tab w:leader="none" w:pos="157" w:val="left"/>
        </w:tabs>
        <w:numPr>
          <w:ilvl w:val="0"/>
          <w:numId w:val="13"/>
        </w:numPr>
        <w:rPr>
          <w:rFonts w:ascii="Arial" w:cs="Arial" w:eastAsia="Arial" w:hAnsi="Arial"/>
          <w:sz w:val="16"/>
          <w:szCs w:val="16"/>
          <w:color w:val="00A798"/>
        </w:rPr>
      </w:pPr>
      <w:r>
        <w:rPr>
          <w:rFonts w:ascii="Arial" w:cs="Arial" w:eastAsia="Arial" w:hAnsi="Arial"/>
          <w:sz w:val="16"/>
          <w:szCs w:val="16"/>
          <w:color w:val="auto"/>
        </w:rPr>
        <w:t>Performance Stock Units (earned based on absolute TSR compound annual growth rate (“CAGR”) over a 3-year performance period) with a 1-year post-vesting mandatory holding period</w:t>
      </w:r>
    </w:p>
    <w:p>
      <w:pPr>
        <w:spacing w:after="0" w:line="33" w:lineRule="exact"/>
        <w:rPr>
          <w:rFonts w:ascii="Arial" w:cs="Arial" w:eastAsia="Arial" w:hAnsi="Arial"/>
          <w:sz w:val="16"/>
          <w:szCs w:val="16"/>
          <w:color w:val="00A798"/>
        </w:rPr>
      </w:pPr>
    </w:p>
    <w:p>
      <w:pPr>
        <w:jc w:val="both"/>
        <w:ind w:left="200" w:right="1620" w:hanging="192"/>
        <w:spacing w:after="0" w:line="292" w:lineRule="auto"/>
        <w:tabs>
          <w:tab w:leader="none" w:pos="157" w:val="left"/>
        </w:tabs>
        <w:numPr>
          <w:ilvl w:val="0"/>
          <w:numId w:val="13"/>
        </w:numPr>
        <w:rPr>
          <w:rFonts w:ascii="Arial" w:cs="Arial" w:eastAsia="Arial" w:hAnsi="Arial"/>
          <w:sz w:val="16"/>
          <w:szCs w:val="16"/>
          <w:color w:val="00A798"/>
        </w:rPr>
      </w:pPr>
      <w:r>
        <w:rPr>
          <w:rFonts w:ascii="Arial" w:cs="Arial" w:eastAsia="Arial" w:hAnsi="Arial"/>
          <w:sz w:val="16"/>
          <w:szCs w:val="16"/>
          <w:color w:val="auto"/>
        </w:rPr>
        <w:t>Performance Stock Options (earned based on cumulative revenue and cumulative adjusted EPS over a 3-year performance period)</w:t>
      </w:r>
    </w:p>
    <w:p>
      <w:pPr>
        <w:spacing w:after="0" w:line="30" w:lineRule="exact"/>
        <w:rPr>
          <w:rFonts w:ascii="Arial" w:cs="Arial" w:eastAsia="Arial" w:hAnsi="Arial"/>
          <w:sz w:val="16"/>
          <w:szCs w:val="16"/>
          <w:color w:val="00A798"/>
        </w:rPr>
      </w:pPr>
    </w:p>
    <w:p>
      <w:pPr>
        <w:ind w:left="160" w:hanging="152"/>
        <w:spacing w:after="0"/>
        <w:tabs>
          <w:tab w:leader="none" w:pos="160" w:val="left"/>
        </w:tabs>
        <w:numPr>
          <w:ilvl w:val="0"/>
          <w:numId w:val="13"/>
        </w:numPr>
        <w:rPr>
          <w:rFonts w:ascii="Arial" w:cs="Arial" w:eastAsia="Arial" w:hAnsi="Arial"/>
          <w:sz w:val="16"/>
          <w:szCs w:val="16"/>
          <w:color w:val="00A798"/>
        </w:rPr>
      </w:pPr>
      <w:r>
        <w:rPr>
          <w:rFonts w:ascii="Arial" w:cs="Arial" w:eastAsia="Arial" w:hAnsi="Arial"/>
          <w:sz w:val="16"/>
          <w:szCs w:val="16"/>
          <w:color w:val="auto"/>
        </w:rPr>
        <w:t>Restricted Stock Units (3-year cliff-vest)</w:t>
      </w:r>
    </w:p>
    <w:p>
      <w:pPr>
        <w:spacing w:after="0" w:line="167" w:lineRule="exact"/>
        <w:rPr>
          <w:sz w:val="20"/>
          <w:szCs w:val="20"/>
          <w:color w:val="auto"/>
        </w:rPr>
      </w:pPr>
    </w:p>
    <w:p>
      <w:pPr>
        <w:ind w:right="1580"/>
        <w:spacing w:after="0" w:line="304" w:lineRule="auto"/>
        <w:rPr>
          <w:sz w:val="20"/>
          <w:szCs w:val="20"/>
          <w:color w:val="auto"/>
        </w:rPr>
      </w:pPr>
      <w:r>
        <w:rPr>
          <w:rFonts w:ascii="Arial" w:cs="Arial" w:eastAsia="Arial" w:hAnsi="Arial"/>
          <w:sz w:val="16"/>
          <w:szCs w:val="16"/>
          <w:color w:val="auto"/>
        </w:rPr>
        <w:t>Further aligns NEOs’ interests with stakeholders’ interests by:</w:t>
      </w:r>
    </w:p>
    <w:p>
      <w:pPr>
        <w:spacing w:after="0" w:line="60" w:lineRule="exact"/>
        <w:rPr>
          <w:sz w:val="20"/>
          <w:szCs w:val="20"/>
          <w:color w:val="auto"/>
        </w:rPr>
      </w:pPr>
    </w:p>
    <w:p>
      <w:pPr>
        <w:ind w:left="200" w:right="1760" w:hanging="192"/>
        <w:spacing w:after="0" w:line="289" w:lineRule="auto"/>
        <w:tabs>
          <w:tab w:leader="none" w:pos="157" w:val="left"/>
        </w:tabs>
        <w:numPr>
          <w:ilvl w:val="0"/>
          <w:numId w:val="14"/>
        </w:numPr>
        <w:rPr>
          <w:rFonts w:ascii="Arial" w:cs="Arial" w:eastAsia="Arial" w:hAnsi="Arial"/>
          <w:sz w:val="16"/>
          <w:szCs w:val="16"/>
          <w:color w:val="00A798"/>
        </w:rPr>
      </w:pPr>
      <w:r>
        <w:rPr>
          <w:rFonts w:ascii="Arial" w:cs="Arial" w:eastAsia="Arial" w:hAnsi="Arial"/>
          <w:sz w:val="16"/>
          <w:szCs w:val="16"/>
          <w:color w:val="auto"/>
        </w:rPr>
        <w:t>Linking a substantial portion of long-term compensation to the achievement of operational results (revenue and adjusted EPS) and shareholder value creation (TSR)</w:t>
      </w:r>
    </w:p>
    <w:p>
      <w:pPr>
        <w:spacing w:after="0" w:line="31" w:lineRule="exact"/>
        <w:rPr>
          <w:rFonts w:ascii="Arial" w:cs="Arial" w:eastAsia="Arial" w:hAnsi="Arial"/>
          <w:sz w:val="16"/>
          <w:szCs w:val="16"/>
          <w:color w:val="00A798"/>
        </w:rPr>
      </w:pPr>
    </w:p>
    <w:p>
      <w:pPr>
        <w:ind w:left="200" w:right="1860" w:hanging="192"/>
        <w:spacing w:after="0" w:line="289" w:lineRule="auto"/>
        <w:tabs>
          <w:tab w:leader="none" w:pos="157" w:val="left"/>
        </w:tabs>
        <w:numPr>
          <w:ilvl w:val="0"/>
          <w:numId w:val="14"/>
        </w:numPr>
        <w:rPr>
          <w:rFonts w:ascii="Arial" w:cs="Arial" w:eastAsia="Arial" w:hAnsi="Arial"/>
          <w:sz w:val="16"/>
          <w:szCs w:val="16"/>
          <w:color w:val="00A798"/>
        </w:rPr>
      </w:pPr>
      <w:r>
        <w:rPr>
          <w:rFonts w:ascii="Arial" w:cs="Arial" w:eastAsia="Arial" w:hAnsi="Arial"/>
          <w:sz w:val="16"/>
          <w:szCs w:val="16"/>
          <w:color w:val="auto"/>
        </w:rPr>
        <w:t>Promoting an “owner-operator” mindset among senior leaders with rigorous share ownership guidelines and additional share retention requirements</w:t>
      </w:r>
    </w:p>
    <w:p>
      <w:pPr>
        <w:spacing w:after="0" w:line="200" w:lineRule="exact"/>
        <w:rPr>
          <w:sz w:val="20"/>
          <w:szCs w:val="20"/>
          <w:color w:val="auto"/>
        </w:rPr>
      </w:pPr>
    </w:p>
    <w:p>
      <w:pPr>
        <w:sectPr>
          <w:pgSz w:w="11900" w:h="16838" w:orient="portrait"/>
          <w:cols w:equalWidth="0" w:num="2">
            <w:col w:w="6100" w:space="20"/>
            <w:col w:w="508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Target Pay Mix</w:t>
      </w:r>
    </w:p>
    <w:p>
      <w:pPr>
        <w:spacing w:after="0" w:line="119"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b w:val="1"/>
          <w:bCs w:val="1"/>
          <w:color w:val="1A3FD6"/>
        </w:rPr>
        <w:t>2025 Annualized CEO</w:t>
      </w:r>
      <w:r>
        <w:rPr>
          <w:rFonts w:ascii="Arial" w:cs="Arial" w:eastAsia="Arial" w:hAnsi="Arial"/>
          <w:sz w:val="21"/>
          <w:szCs w:val="21"/>
          <w:b w:val="1"/>
          <w:bCs w:val="1"/>
          <w:color w:val="1A3FD6"/>
          <w:vertAlign w:val="superscript"/>
        </w:rPr>
        <w:t>(1)</w:t>
      </w:r>
      <w:r>
        <w:rPr>
          <w:sz w:val="20"/>
          <w:szCs w:val="20"/>
          <w:color w:val="auto"/>
        </w:rPr>
        <w:tab/>
      </w:r>
      <w:r>
        <w:rPr>
          <w:rFonts w:ascii="Arial" w:cs="Arial" w:eastAsia="Arial" w:hAnsi="Arial"/>
          <w:sz w:val="16"/>
          <w:szCs w:val="16"/>
          <w:b w:val="1"/>
          <w:bCs w:val="1"/>
          <w:color w:val="1A3FD6"/>
        </w:rPr>
        <w:t>2025 Average Annualized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69850</wp:posOffset>
            </wp:positionV>
            <wp:extent cx="1722755" cy="1722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22755" cy="17227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69850</wp:posOffset>
            </wp:positionV>
            <wp:extent cx="1722755" cy="17227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2275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40"/>
        <w:spacing w:after="0"/>
        <w:tabs>
          <w:tab w:leader="none" w:pos="4334" w:val="left"/>
        </w:tabs>
        <w:rPr>
          <w:sz w:val="20"/>
          <w:szCs w:val="20"/>
          <w:color w:val="auto"/>
        </w:rPr>
      </w:pPr>
      <w:r>
        <w:rPr>
          <w:rFonts w:ascii="Arial" w:cs="Arial" w:eastAsia="Arial" w:hAnsi="Arial"/>
          <w:sz w:val="16"/>
          <w:szCs w:val="16"/>
          <w:color w:val="auto"/>
        </w:rPr>
        <w:t>Salary</w:t>
      </w:r>
      <w:r>
        <w:rPr>
          <w:sz w:val="20"/>
          <w:szCs w:val="20"/>
          <w:color w:val="auto"/>
        </w:rPr>
        <w:tab/>
      </w:r>
      <w:r>
        <w:rPr>
          <w:sz w:val="1"/>
          <w:szCs w:val="1"/>
          <w:color w:val="auto"/>
        </w:rPr>
        <w:drawing>
          <wp:inline distT="0" distB="0" distL="0" distR="0">
            <wp:extent cx="76835" cy="774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6"/>
          <w:szCs w:val="16"/>
          <w:color w:val="auto"/>
        </w:rPr>
        <w:t xml:space="preserve"> Annual Incentive        </w:t>
      </w:r>
      <w:r>
        <w:rPr>
          <w:sz w:val="1"/>
          <w:szCs w:val="1"/>
          <w:color w:val="auto"/>
        </w:rPr>
        <w:drawing>
          <wp:inline distT="0" distB="0" distL="0" distR="0">
            <wp:extent cx="77470" cy="7747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32"/>
          <w:szCs w:val="32"/>
          <w:color w:val="auto"/>
          <w:vertAlign w:val="superscript"/>
        </w:rPr>
        <w:t xml:space="preserve">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-189865</wp:posOffset>
            </wp:positionV>
            <wp:extent cx="76835" cy="774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ind w:left="280" w:hanging="272"/>
        <w:spacing w:after="0" w:line="225" w:lineRule="auto"/>
        <w:tabs>
          <w:tab w:leader="none" w:pos="28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chart above does not reflect a special grant of premium-priced stock options (the “PPOs”) to Mr. Fernandez on January 31, 2025, having a total grant date value of</w:t>
      </w:r>
    </w:p>
    <w:p>
      <w:pPr>
        <w:spacing w:after="0" w:line="13" w:lineRule="exact"/>
        <w:rPr>
          <w:rFonts w:ascii="Arial" w:cs="Arial" w:eastAsia="Arial" w:hAnsi="Arial"/>
          <w:sz w:val="19"/>
          <w:szCs w:val="19"/>
          <w:color w:val="auto"/>
          <w:vertAlign w:val="superscript"/>
        </w:rPr>
      </w:pPr>
    </w:p>
    <w:p>
      <w:pPr>
        <w:ind w:left="260" w:right="80"/>
        <w:spacing w:after="0" w:line="304" w:lineRule="auto"/>
        <w:rPr>
          <w:rFonts w:ascii="Arial" w:cs="Arial" w:eastAsia="Arial" w:hAnsi="Arial"/>
          <w:sz w:val="19"/>
          <w:szCs w:val="19"/>
          <w:color w:val="auto"/>
          <w:vertAlign w:val="superscript"/>
        </w:rPr>
      </w:pPr>
      <w:r>
        <w:rPr>
          <w:rFonts w:ascii="Arial" w:cs="Arial" w:eastAsia="Arial" w:hAnsi="Arial"/>
          <w:sz w:val="14"/>
          <w:szCs w:val="14"/>
          <w:color w:val="auto"/>
        </w:rPr>
        <w:t>$15.0 million in recognition of his role in MSCI’s growth. See page 80 of this Proxy Statement for additional information on Mr. Fernandez’s special PPO award and page 76 of this Proxy Statement for additional information on Mr. Fernandez’s contributions.</w:t>
      </w:r>
    </w:p>
    <w:p>
      <w:pPr>
        <w:spacing w:after="0" w:line="86"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In 2025, our CEO received over 90% of his regular annual compensation in the form of “at-risk” variable compensation under the AIP and LTIP (on average, over 85% in the case of our other NEOs).</w:t>
      </w:r>
    </w:p>
    <w:p>
      <w:pPr>
        <w:spacing w:after="0" w:line="1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Incentive Plan</w:t>
      </w:r>
    </w:p>
    <w:p>
      <w:pPr>
        <w:spacing w:after="0" w:line="186"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AIP for Managing Directors, including our NEOs, closely aligns their interests with those of our shareholders by emphasizing a formulaic, performance-driven approach to determining annual cash incentive awards. In 2025, the Compensation Committee increased the weighting of financial criteria under the AIP from 70% to 80% and consolidated the prior individual KPI (20%) and sustainability goal (10%) components into a single 20% individual performance component. In 2025, the financial criteria component consisted of Total Net Sales (40%), Revenue (20%) and Adjusted EPS (20%). The individual performance component was assessed through our Executive Accountability Framework, focusing on corporate culture and leadership effectiveness.</w:t>
      </w:r>
    </w:p>
    <w:p>
      <w:pPr>
        <w:spacing w:after="0" w:line="10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Building on these changes, for 2026, the Compensation Committee transitioned the Managing Director AIP in which our NEOs participate to a fully formulaic structure, eliminating the prior 20% individual performance component for culture and leadership effectiveness. Beginning in 2026, payouts will be determined entirely by achievement against four financial metrics: Recurring Net New Sales (50% weight), Non-Recurring Sales (10%), Revenue (20%) and Adjusted EPS (20%). The Compensation Committee split the Total Net Sales metric into two distinct components: subscription-based growth (or, Recurring Net New Sales) and non-recurring sales, while emphasizing the Company’s strategic priority of driving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90805</wp:posOffset>
            </wp:positionV>
            <wp:extent cx="3060065" cy="132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0065" cy="13201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84"/>
        </w:trPr>
        <w:tc>
          <w:tcPr>
            <w:tcW w:w="200" w:type="dxa"/>
            <w:vAlign w:val="bottom"/>
            <w:shd w:val="clear" w:color="auto" w:fill="F5F5F5"/>
          </w:tcPr>
          <w:p>
            <w:pPr>
              <w:spacing w:after="0"/>
              <w:rPr>
                <w:sz w:val="24"/>
                <w:szCs w:val="24"/>
                <w:color w:val="auto"/>
              </w:rPr>
            </w:pPr>
          </w:p>
        </w:tc>
        <w:tc>
          <w:tcPr>
            <w:tcW w:w="1920" w:type="dxa"/>
            <w:vAlign w:val="bottom"/>
            <w:gridSpan w:val="2"/>
            <w:shd w:val="clear" w:color="auto" w:fill="F5F5F5"/>
          </w:tcPr>
          <w:p>
            <w:pPr>
              <w:ind w:left="160"/>
              <w:spacing w:after="0"/>
              <w:rPr>
                <w:sz w:val="20"/>
                <w:szCs w:val="20"/>
                <w:color w:val="auto"/>
              </w:rPr>
            </w:pPr>
            <w:r>
              <w:rPr>
                <w:rFonts w:ascii="Arial" w:cs="Arial" w:eastAsia="Arial" w:hAnsi="Arial"/>
                <w:sz w:val="16"/>
                <w:szCs w:val="16"/>
                <w:b w:val="1"/>
                <w:bCs w:val="1"/>
                <w:color w:val="1A3FD6"/>
              </w:rPr>
              <w:t>2025 Financial Criteria</w:t>
            </w:r>
          </w:p>
        </w:tc>
        <w:tc>
          <w:tcPr>
            <w:tcW w:w="1780" w:type="dxa"/>
            <w:vAlign w:val="bottom"/>
            <w:shd w:val="clear" w:color="auto" w:fill="F5F5F5"/>
          </w:tcPr>
          <w:p>
            <w:pPr>
              <w:spacing w:after="0"/>
              <w:rPr>
                <w:sz w:val="24"/>
                <w:szCs w:val="24"/>
                <w:color w:val="auto"/>
              </w:rPr>
            </w:pPr>
          </w:p>
        </w:tc>
        <w:tc>
          <w:tcPr>
            <w:tcW w:w="2000" w:type="dxa"/>
            <w:vAlign w:val="bottom"/>
            <w:gridSpan w:val="2"/>
            <w:vMerge w:val="restart"/>
            <w:shd w:val="clear" w:color="auto" w:fill="F5F5F5"/>
          </w:tcPr>
          <w:p>
            <w:pPr>
              <w:jc w:val="right"/>
              <w:ind w:right="303"/>
              <w:spacing w:after="0"/>
              <w:rPr>
                <w:sz w:val="20"/>
                <w:szCs w:val="20"/>
                <w:color w:val="auto"/>
              </w:rPr>
            </w:pPr>
            <w:r>
              <w:rPr>
                <w:rFonts w:ascii="Arial" w:cs="Arial" w:eastAsia="Arial" w:hAnsi="Arial"/>
                <w:sz w:val="50"/>
                <w:szCs w:val="50"/>
                <w:b w:val="1"/>
                <w:bCs w:val="1"/>
                <w:color w:val="1A3FD6"/>
              </w:rPr>
              <w:t>80%</w:t>
            </w:r>
          </w:p>
        </w:tc>
        <w:tc>
          <w:tcPr>
            <w:tcW w:w="2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0" w:type="dxa"/>
            <w:vAlign w:val="bottom"/>
            <w:shd w:val="clear" w:color="auto" w:fill="F5F5F5"/>
          </w:tcPr>
          <w:p>
            <w:pPr>
              <w:spacing w:after="0"/>
              <w:rPr>
                <w:sz w:val="24"/>
                <w:szCs w:val="24"/>
                <w:color w:val="auto"/>
              </w:rPr>
            </w:pPr>
          </w:p>
        </w:tc>
        <w:tc>
          <w:tcPr>
            <w:tcW w:w="3700" w:type="dxa"/>
            <w:vAlign w:val="bottom"/>
            <w:gridSpan w:val="3"/>
            <w:shd w:val="clear" w:color="auto" w:fill="F5F5F5"/>
          </w:tcPr>
          <w:p>
            <w:pPr>
              <w:jc w:val="right"/>
              <w:ind w:right="443"/>
              <w:spacing w:after="0"/>
              <w:rPr>
                <w:sz w:val="20"/>
                <w:szCs w:val="20"/>
                <w:color w:val="auto"/>
              </w:rPr>
            </w:pPr>
            <w:r>
              <w:rPr>
                <w:rFonts w:ascii="Arial" w:cs="Arial" w:eastAsia="Arial" w:hAnsi="Arial"/>
                <w:sz w:val="16"/>
                <w:szCs w:val="16"/>
                <w:color w:val="auto"/>
              </w:rPr>
              <w:t>Achievement of specified financial criteria</w:t>
            </w:r>
          </w:p>
        </w:tc>
        <w:tc>
          <w:tcPr>
            <w:tcW w:w="2000" w:type="dxa"/>
            <w:vAlign w:val="bottom"/>
            <w:gridSpan w:val="2"/>
            <w:vMerge w:val="continue"/>
            <w:shd w:val="clear" w:color="auto" w:fill="F5F5F5"/>
          </w:tcPr>
          <w:p>
            <w:pPr>
              <w:spacing w:after="0"/>
              <w:rPr>
                <w:sz w:val="24"/>
                <w:szCs w:val="24"/>
                <w:color w:val="auto"/>
              </w:rPr>
            </w:pPr>
          </w:p>
        </w:tc>
        <w:tc>
          <w:tcPr>
            <w:tcW w:w="2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0" w:type="dxa"/>
            <w:vAlign w:val="bottom"/>
            <w:shd w:val="clear" w:color="auto" w:fill="F5F5F5"/>
          </w:tcPr>
          <w:p>
            <w:pPr>
              <w:spacing w:after="0"/>
              <w:rPr>
                <w:sz w:val="15"/>
                <w:szCs w:val="15"/>
                <w:color w:val="auto"/>
              </w:rPr>
            </w:pPr>
          </w:p>
        </w:tc>
        <w:tc>
          <w:tcPr>
            <w:tcW w:w="1760" w:type="dxa"/>
            <w:vAlign w:val="bottom"/>
            <w:shd w:val="clear" w:color="auto" w:fill="F5F5F5"/>
          </w:tcPr>
          <w:p>
            <w:pPr>
              <w:spacing w:after="0"/>
              <w:rPr>
                <w:sz w:val="15"/>
                <w:szCs w:val="15"/>
                <w:color w:val="auto"/>
              </w:rPr>
            </w:pPr>
          </w:p>
        </w:tc>
        <w:tc>
          <w:tcPr>
            <w:tcW w:w="160" w:type="dxa"/>
            <w:vAlign w:val="bottom"/>
            <w:shd w:val="clear" w:color="auto" w:fill="F5F5F5"/>
          </w:tcPr>
          <w:p>
            <w:pPr>
              <w:spacing w:after="0"/>
              <w:rPr>
                <w:sz w:val="15"/>
                <w:szCs w:val="15"/>
                <w:color w:val="auto"/>
              </w:rPr>
            </w:pPr>
          </w:p>
        </w:tc>
        <w:tc>
          <w:tcPr>
            <w:tcW w:w="1780" w:type="dxa"/>
            <w:vAlign w:val="bottom"/>
            <w:shd w:val="clear" w:color="auto" w:fill="F5F5F5"/>
          </w:tcPr>
          <w:p>
            <w:pPr>
              <w:spacing w:after="0"/>
              <w:rPr>
                <w:sz w:val="15"/>
                <w:szCs w:val="15"/>
                <w:color w:val="auto"/>
              </w:rPr>
            </w:pPr>
          </w:p>
        </w:tc>
        <w:tc>
          <w:tcPr>
            <w:tcW w:w="180" w:type="dxa"/>
            <w:vAlign w:val="bottom"/>
            <w:shd w:val="clear" w:color="auto" w:fill="F5F5F5"/>
          </w:tcPr>
          <w:p>
            <w:pPr>
              <w:spacing w:after="0"/>
              <w:rPr>
                <w:sz w:val="15"/>
                <w:szCs w:val="15"/>
                <w:color w:val="auto"/>
              </w:rPr>
            </w:pPr>
          </w:p>
        </w:tc>
        <w:tc>
          <w:tcPr>
            <w:tcW w:w="1820" w:type="dxa"/>
            <w:vAlign w:val="bottom"/>
            <w:shd w:val="clear" w:color="auto" w:fill="F5F5F5"/>
          </w:tcPr>
          <w:p>
            <w:pPr>
              <w:spacing w:after="0"/>
              <w:rPr>
                <w:sz w:val="15"/>
                <w:szCs w:val="15"/>
                <w:color w:val="auto"/>
              </w:rPr>
            </w:pPr>
          </w:p>
        </w:tc>
        <w:tc>
          <w:tcPr>
            <w:tcW w:w="20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00" w:type="dxa"/>
            <w:vAlign w:val="bottom"/>
            <w:shd w:val="clear" w:color="auto" w:fill="F5F5F5"/>
          </w:tcPr>
          <w:p>
            <w:pPr>
              <w:spacing w:after="0"/>
              <w:rPr>
                <w:sz w:val="24"/>
                <w:szCs w:val="24"/>
                <w:color w:val="auto"/>
              </w:rPr>
            </w:pPr>
          </w:p>
        </w:tc>
        <w:tc>
          <w:tcPr>
            <w:tcW w:w="1760" w:type="dxa"/>
            <w:vAlign w:val="bottom"/>
          </w:tcPr>
          <w:p>
            <w:pPr>
              <w:jc w:val="right"/>
              <w:ind w:right="481"/>
              <w:spacing w:after="0"/>
              <w:rPr>
                <w:sz w:val="20"/>
                <w:szCs w:val="20"/>
                <w:color w:val="auto"/>
              </w:rPr>
            </w:pPr>
            <w:r>
              <w:rPr>
                <w:rFonts w:ascii="Arial" w:cs="Arial" w:eastAsia="Arial" w:hAnsi="Arial"/>
                <w:sz w:val="31"/>
                <w:szCs w:val="31"/>
                <w:b w:val="1"/>
                <w:bCs w:val="1"/>
                <w:color w:val="1A3FD6"/>
              </w:rPr>
              <w:t>40%</w:t>
            </w:r>
          </w:p>
        </w:tc>
        <w:tc>
          <w:tcPr>
            <w:tcW w:w="160" w:type="dxa"/>
            <w:vAlign w:val="bottom"/>
            <w:shd w:val="clear" w:color="auto" w:fill="F5F5F5"/>
          </w:tcPr>
          <w:p>
            <w:pPr>
              <w:spacing w:after="0"/>
              <w:rPr>
                <w:sz w:val="24"/>
                <w:szCs w:val="24"/>
                <w:color w:val="auto"/>
              </w:rPr>
            </w:pPr>
          </w:p>
        </w:tc>
        <w:tc>
          <w:tcPr>
            <w:tcW w:w="1780" w:type="dxa"/>
            <w:vAlign w:val="bottom"/>
          </w:tcPr>
          <w:p>
            <w:pPr>
              <w:jc w:val="right"/>
              <w:ind w:right="463"/>
              <w:spacing w:after="0"/>
              <w:rPr>
                <w:sz w:val="20"/>
                <w:szCs w:val="20"/>
                <w:color w:val="auto"/>
              </w:rPr>
            </w:pPr>
            <w:r>
              <w:rPr>
                <w:rFonts w:ascii="Arial" w:cs="Arial" w:eastAsia="Arial" w:hAnsi="Arial"/>
                <w:sz w:val="31"/>
                <w:szCs w:val="31"/>
                <w:b w:val="1"/>
                <w:bCs w:val="1"/>
                <w:color w:val="1A3FD6"/>
              </w:rPr>
              <w:t>20%</w:t>
            </w:r>
          </w:p>
        </w:tc>
        <w:tc>
          <w:tcPr>
            <w:tcW w:w="180" w:type="dxa"/>
            <w:vAlign w:val="bottom"/>
            <w:shd w:val="clear" w:color="auto" w:fill="F5F5F5"/>
          </w:tcPr>
          <w:p>
            <w:pPr>
              <w:spacing w:after="0"/>
              <w:rPr>
                <w:sz w:val="24"/>
                <w:szCs w:val="24"/>
                <w:color w:val="auto"/>
              </w:rPr>
            </w:pPr>
          </w:p>
        </w:tc>
        <w:tc>
          <w:tcPr>
            <w:tcW w:w="1820" w:type="dxa"/>
            <w:vAlign w:val="bottom"/>
          </w:tcPr>
          <w:p>
            <w:pPr>
              <w:jc w:val="right"/>
              <w:ind w:right="503"/>
              <w:spacing w:after="0"/>
              <w:rPr>
                <w:sz w:val="20"/>
                <w:szCs w:val="20"/>
                <w:color w:val="auto"/>
              </w:rPr>
            </w:pPr>
            <w:r>
              <w:rPr>
                <w:rFonts w:ascii="Arial" w:cs="Arial" w:eastAsia="Arial" w:hAnsi="Arial"/>
                <w:sz w:val="31"/>
                <w:szCs w:val="31"/>
                <w:b w:val="1"/>
                <w:bCs w:val="1"/>
                <w:color w:val="1A3FD6"/>
              </w:rPr>
              <w:t>20%</w:t>
            </w:r>
          </w:p>
        </w:tc>
        <w:tc>
          <w:tcPr>
            <w:tcW w:w="2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0" w:type="dxa"/>
            <w:vAlign w:val="bottom"/>
            <w:shd w:val="clear" w:color="auto" w:fill="F5F5F5"/>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6"/>
              </w:rPr>
              <w:t>Total Net Sales</w:t>
            </w:r>
            <w:r>
              <w:rPr>
                <w:rFonts w:ascii="Arial" w:cs="Arial" w:eastAsia="Arial" w:hAnsi="Arial"/>
                <w:sz w:val="21"/>
                <w:szCs w:val="21"/>
                <w:color w:val="auto"/>
                <w:w w:val="96"/>
                <w:vertAlign w:val="superscript"/>
              </w:rPr>
              <w:t>(1)</w:t>
            </w:r>
          </w:p>
        </w:tc>
        <w:tc>
          <w:tcPr>
            <w:tcW w:w="160" w:type="dxa"/>
            <w:vAlign w:val="bottom"/>
            <w:shd w:val="clear" w:color="auto" w:fill="F5F5F5"/>
          </w:tcPr>
          <w:p>
            <w:pPr>
              <w:spacing w:after="0"/>
              <w:rPr>
                <w:sz w:val="24"/>
                <w:szCs w:val="24"/>
                <w:color w:val="auto"/>
              </w:rPr>
            </w:pPr>
          </w:p>
        </w:tc>
        <w:tc>
          <w:tcPr>
            <w:tcW w:w="1780" w:type="dxa"/>
            <w:vAlign w:val="bottom"/>
          </w:tcPr>
          <w:p>
            <w:pPr>
              <w:jc w:val="right"/>
              <w:ind w:right="443"/>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F5F5F5"/>
          </w:tcPr>
          <w:p>
            <w:pPr>
              <w:spacing w:after="0"/>
              <w:rPr>
                <w:sz w:val="24"/>
                <w:szCs w:val="24"/>
                <w:color w:val="auto"/>
              </w:rPr>
            </w:pPr>
          </w:p>
        </w:tc>
        <w:tc>
          <w:tcPr>
            <w:tcW w:w="1820" w:type="dxa"/>
            <w:vAlign w:val="bottom"/>
          </w:tcPr>
          <w:p>
            <w:pPr>
              <w:ind w:left="400"/>
              <w:spacing w:after="0"/>
              <w:rPr>
                <w:sz w:val="20"/>
                <w:szCs w:val="20"/>
                <w:color w:val="auto"/>
              </w:rPr>
            </w:pPr>
            <w:r>
              <w:rPr>
                <w:rFonts w:ascii="Arial" w:cs="Arial" w:eastAsia="Arial" w:hAnsi="Arial"/>
                <w:sz w:val="16"/>
                <w:szCs w:val="16"/>
                <w:color w:val="auto"/>
              </w:rPr>
              <w:t>Adjusted EPS</w:t>
            </w:r>
          </w:p>
        </w:tc>
        <w:tc>
          <w:tcPr>
            <w:tcW w:w="2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0" w:type="dxa"/>
            <w:vAlign w:val="bottom"/>
            <w:shd w:val="clear" w:color="auto" w:fill="F5F5F5"/>
          </w:tcPr>
          <w:p>
            <w:pPr>
              <w:spacing w:after="0"/>
              <w:rPr>
                <w:sz w:val="22"/>
                <w:szCs w:val="22"/>
                <w:color w:val="auto"/>
              </w:rPr>
            </w:pPr>
          </w:p>
        </w:tc>
        <w:tc>
          <w:tcPr>
            <w:tcW w:w="1760" w:type="dxa"/>
            <w:vAlign w:val="bottom"/>
          </w:tcPr>
          <w:p>
            <w:pPr>
              <w:spacing w:after="0"/>
              <w:rPr>
                <w:sz w:val="22"/>
                <w:szCs w:val="22"/>
                <w:color w:val="auto"/>
              </w:rPr>
            </w:pPr>
          </w:p>
        </w:tc>
        <w:tc>
          <w:tcPr>
            <w:tcW w:w="160" w:type="dxa"/>
            <w:vAlign w:val="bottom"/>
            <w:shd w:val="clear" w:color="auto" w:fill="F5F5F5"/>
          </w:tcPr>
          <w:p>
            <w:pPr>
              <w:spacing w:after="0"/>
              <w:rPr>
                <w:sz w:val="22"/>
                <w:szCs w:val="22"/>
                <w:color w:val="auto"/>
              </w:rPr>
            </w:pPr>
          </w:p>
        </w:tc>
        <w:tc>
          <w:tcPr>
            <w:tcW w:w="1780" w:type="dxa"/>
            <w:vAlign w:val="bottom"/>
          </w:tcPr>
          <w:p>
            <w:pPr>
              <w:spacing w:after="0"/>
              <w:rPr>
                <w:sz w:val="22"/>
                <w:szCs w:val="22"/>
                <w:color w:val="auto"/>
              </w:rPr>
            </w:pPr>
          </w:p>
        </w:tc>
        <w:tc>
          <w:tcPr>
            <w:tcW w:w="180" w:type="dxa"/>
            <w:vAlign w:val="bottom"/>
            <w:shd w:val="clear" w:color="auto" w:fill="F5F5F5"/>
          </w:tcPr>
          <w:p>
            <w:pPr>
              <w:spacing w:after="0"/>
              <w:rPr>
                <w:sz w:val="22"/>
                <w:szCs w:val="22"/>
                <w:color w:val="auto"/>
              </w:rPr>
            </w:pPr>
          </w:p>
        </w:tc>
        <w:tc>
          <w:tcPr>
            <w:tcW w:w="1820" w:type="dxa"/>
            <w:vAlign w:val="bottom"/>
          </w:tcPr>
          <w:p>
            <w:pPr>
              <w:spacing w:after="0"/>
              <w:rPr>
                <w:sz w:val="22"/>
                <w:szCs w:val="22"/>
                <w:color w:val="auto"/>
              </w:rPr>
            </w:pPr>
          </w:p>
        </w:tc>
        <w:tc>
          <w:tcPr>
            <w:tcW w:w="200" w:type="dxa"/>
            <w:vAlign w:val="bottom"/>
            <w:shd w:val="clear" w:color="auto" w:fill="F5F5F5"/>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F5F5F5"/>
          </w:tcPr>
          <w:p>
            <w:pPr>
              <w:spacing w:after="0"/>
              <w:rPr>
                <w:sz w:val="12"/>
                <w:szCs w:val="12"/>
                <w:color w:val="auto"/>
              </w:rPr>
            </w:pPr>
          </w:p>
        </w:tc>
        <w:tc>
          <w:tcPr>
            <w:tcW w:w="1760" w:type="dxa"/>
            <w:vAlign w:val="bottom"/>
            <w:shd w:val="clear" w:color="auto" w:fill="F5F5F5"/>
          </w:tcPr>
          <w:p>
            <w:pPr>
              <w:spacing w:after="0"/>
              <w:rPr>
                <w:sz w:val="12"/>
                <w:szCs w:val="12"/>
                <w:color w:val="auto"/>
              </w:rPr>
            </w:pPr>
          </w:p>
        </w:tc>
        <w:tc>
          <w:tcPr>
            <w:tcW w:w="160" w:type="dxa"/>
            <w:vAlign w:val="bottom"/>
            <w:shd w:val="clear" w:color="auto" w:fill="F5F5F5"/>
          </w:tcPr>
          <w:p>
            <w:pPr>
              <w:spacing w:after="0"/>
              <w:rPr>
                <w:sz w:val="12"/>
                <w:szCs w:val="12"/>
                <w:color w:val="auto"/>
              </w:rPr>
            </w:pPr>
          </w:p>
        </w:tc>
        <w:tc>
          <w:tcPr>
            <w:tcW w:w="1780" w:type="dxa"/>
            <w:vAlign w:val="bottom"/>
            <w:shd w:val="clear" w:color="auto" w:fill="F5F5F5"/>
          </w:tcPr>
          <w:p>
            <w:pPr>
              <w:spacing w:after="0"/>
              <w:rPr>
                <w:sz w:val="12"/>
                <w:szCs w:val="12"/>
                <w:color w:val="auto"/>
              </w:rPr>
            </w:pPr>
          </w:p>
        </w:tc>
        <w:tc>
          <w:tcPr>
            <w:tcW w:w="180" w:type="dxa"/>
            <w:vAlign w:val="bottom"/>
            <w:shd w:val="clear" w:color="auto" w:fill="F5F5F5"/>
          </w:tcPr>
          <w:p>
            <w:pPr>
              <w:spacing w:after="0"/>
              <w:rPr>
                <w:sz w:val="12"/>
                <w:szCs w:val="12"/>
                <w:color w:val="auto"/>
              </w:rPr>
            </w:pPr>
          </w:p>
        </w:tc>
        <w:tc>
          <w:tcPr>
            <w:tcW w:w="1820" w:type="dxa"/>
            <w:vAlign w:val="bottom"/>
            <w:shd w:val="clear" w:color="auto" w:fill="F5F5F5"/>
          </w:tcPr>
          <w:p>
            <w:pPr>
              <w:spacing w:after="0"/>
              <w:rPr>
                <w:sz w:val="12"/>
                <w:szCs w:val="12"/>
                <w:color w:val="auto"/>
              </w:rPr>
            </w:pPr>
          </w:p>
        </w:tc>
        <w:tc>
          <w:tcPr>
            <w:tcW w:w="200" w:type="dxa"/>
            <w:vAlign w:val="bottom"/>
            <w:shd w:val="clear" w:color="auto" w:fill="F5F5F5"/>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8"/>
        </w:trPr>
        <w:tc>
          <w:tcPr>
            <w:tcW w:w="2480" w:type="dxa"/>
            <w:vAlign w:val="bottom"/>
          </w:tcPr>
          <w:p>
            <w:pPr>
              <w:spacing w:after="0"/>
              <w:rPr>
                <w:sz w:val="20"/>
                <w:szCs w:val="20"/>
                <w:color w:val="auto"/>
              </w:rPr>
            </w:pPr>
            <w:r>
              <w:rPr>
                <w:rFonts w:ascii="Arial" w:cs="Arial" w:eastAsia="Arial" w:hAnsi="Arial"/>
                <w:sz w:val="16"/>
                <w:szCs w:val="16"/>
                <w:b w:val="1"/>
                <w:bCs w:val="1"/>
                <w:color w:val="1A3FD6"/>
              </w:rPr>
              <w:t>2025 Individual Performance</w:t>
            </w:r>
          </w:p>
        </w:tc>
        <w:tc>
          <w:tcPr>
            <w:tcW w:w="1300" w:type="dxa"/>
            <w:vAlign w:val="bottom"/>
            <w:vMerge w:val="restart"/>
          </w:tcPr>
          <w:p>
            <w:pPr>
              <w:jc w:val="right"/>
              <w:spacing w:after="0"/>
              <w:rPr>
                <w:sz w:val="20"/>
                <w:szCs w:val="20"/>
                <w:color w:val="auto"/>
              </w:rPr>
            </w:pPr>
            <w:r>
              <w:rPr>
                <w:rFonts w:ascii="Arial" w:cs="Arial" w:eastAsia="Arial" w:hAnsi="Arial"/>
                <w:sz w:val="50"/>
                <w:szCs w:val="50"/>
                <w:b w:val="1"/>
                <w:bCs w:val="1"/>
                <w:color w:val="1A3FD6"/>
              </w:rPr>
              <w:t>20%</w:t>
            </w:r>
          </w:p>
        </w:tc>
        <w:tc>
          <w:tcPr>
            <w:tcW w:w="0" w:type="dxa"/>
            <w:vAlign w:val="bottom"/>
          </w:tcPr>
          <w:p>
            <w:pPr>
              <w:spacing w:after="0"/>
              <w:rPr>
                <w:sz w:val="1"/>
                <w:szCs w:val="1"/>
                <w:color w:val="auto"/>
              </w:rPr>
            </w:pPr>
          </w:p>
        </w:tc>
      </w:tr>
      <w:tr>
        <w:trPr>
          <w:trHeight w:val="279"/>
        </w:trPr>
        <w:tc>
          <w:tcPr>
            <w:tcW w:w="2480" w:type="dxa"/>
            <w:vAlign w:val="bottom"/>
          </w:tcPr>
          <w:p>
            <w:pPr>
              <w:spacing w:after="0"/>
              <w:rPr>
                <w:sz w:val="20"/>
                <w:szCs w:val="20"/>
                <w:color w:val="auto"/>
              </w:rPr>
            </w:pPr>
            <w:r>
              <w:rPr>
                <w:rFonts w:ascii="Arial" w:cs="Arial" w:eastAsia="Arial" w:hAnsi="Arial"/>
                <w:sz w:val="16"/>
                <w:szCs w:val="16"/>
                <w:color w:val="auto"/>
              </w:rPr>
              <w:t>Assessed through Executive</w:t>
            </w: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-360680</wp:posOffset>
            </wp:positionV>
            <wp:extent cx="2922905" cy="12604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22905" cy="12604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Accountability Framework</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focusing on corporate culture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leadership effectiveness</w:t>
      </w:r>
    </w:p>
    <w:p>
      <w:pPr>
        <w:spacing w:after="0" w:line="953" w:lineRule="exact"/>
        <w:rPr>
          <w:sz w:val="20"/>
          <w:szCs w:val="20"/>
          <w:color w:val="auto"/>
        </w:rPr>
      </w:pPr>
    </w:p>
    <w:p>
      <w:pPr>
        <w:sectPr>
          <w:pgSz w:w="11900" w:h="16838" w:orient="portrait"/>
          <w:cols w:equalWidth="0" w:num="2">
            <w:col w:w="6100" w:space="720"/>
            <w:col w:w="4420"/>
          </w:cols>
          <w:pgMar w:left="320" w:top="130" w:right="339" w:bottom="1440" w:gutter="0" w:footer="0" w:header="0"/>
          <w:type w:val="continuous"/>
        </w:sectPr>
      </w:pPr>
    </w:p>
    <w:p>
      <w:pPr>
        <w:ind w:left="280" w:hanging="272"/>
        <w:spacing w:after="0"/>
        <w:tabs>
          <w:tab w:leader="none" w:pos="2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For purposes of the AIP, Total Net Sales reflects net new recurring subscription sales plus non-recurring sales weighted at 75%.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AIP Changes: Increased Emphasis on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72390</wp:posOffset>
            </wp:positionV>
            <wp:extent cx="5349240" cy="1234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540"/>
        <w:spacing w:after="0"/>
        <w:tabs>
          <w:tab w:leader="none" w:pos="5660" w:val="left"/>
        </w:tabs>
        <w:rPr>
          <w:sz w:val="20"/>
          <w:szCs w:val="20"/>
          <w:color w:val="auto"/>
        </w:rPr>
      </w:pPr>
      <w:r>
        <w:rPr>
          <w:rFonts w:ascii="Wingdings" w:cs="Wingdings" w:eastAsia="Wingdings" w:hAnsi="Wingdings"/>
          <w:sz w:val="20"/>
          <w:szCs w:val="20"/>
          <w:b w:val="1"/>
          <w:bCs w:val="1"/>
          <w:color w:val="16A3B6"/>
        </w:rPr>
        <w:t xml:space="preserve">l </w:t>
      </w:r>
      <w:r>
        <w:rPr>
          <w:rFonts w:ascii="Arial" w:cs="Arial" w:eastAsia="Arial" w:hAnsi="Arial"/>
          <w:sz w:val="14"/>
          <w:szCs w:val="14"/>
          <w:color w:val="000000"/>
        </w:rPr>
        <w:t>Financial Criteria</w:t>
      </w:r>
      <w:r>
        <w:rPr>
          <w:sz w:val="20"/>
          <w:szCs w:val="20"/>
          <w:color w:val="auto"/>
        </w:rPr>
        <w:tab/>
      </w:r>
      <w:r>
        <w:rPr>
          <w:rFonts w:ascii="Wingdings" w:cs="Wingdings" w:eastAsia="Wingdings" w:hAnsi="Wingdings"/>
          <w:sz w:val="19"/>
          <w:szCs w:val="19"/>
          <w:b w:val="1"/>
          <w:bCs w:val="1"/>
          <w:color w:val="529200"/>
        </w:rPr>
        <w:t xml:space="preserve">l </w:t>
      </w:r>
      <w:r>
        <w:rPr>
          <w:rFonts w:ascii="Arial" w:cs="Arial" w:eastAsia="Arial" w:hAnsi="Arial"/>
          <w:sz w:val="13"/>
          <w:szCs w:val="13"/>
          <w:color w:val="000000"/>
        </w:rPr>
        <w:t>Individual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AIP program, please see the discussion on page 72 of this Proxy Statement.</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Long-Term Incentive Plan</w:t>
      </w:r>
    </w:p>
    <w:p>
      <w:pPr>
        <w:spacing w:after="0" w:line="11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LTIP prioritizes sustained, long-term shareholder value creation and facilitates an “owner-operator” mindset amongst our senior executives. Since 2022, the award mix under our LTIP for our NEOs has been comprised of performance stock units (“PSUs”), performance stock options (“PSOs”) and restricted stock units (“RSUs”), the mix of which varies based on position. Consistent with our past practice, Mr. Fernandez and Mr. Pettit were each granted 100% of their LTIP awards in 2025 in the form of PSUs and PSOs tied to performance metrics and were not granted any time-based RSUs.</w:t>
      </w:r>
    </w:p>
    <w:p>
      <w:pPr>
        <w:spacing w:after="0" w:line="99"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In 2026, to reflect continued focus on the Company’s business objectives and strategy, the Compensation Committee added an RNN performance modifier to RSU awards that may adjust the number of shares earned, within a range of 100% to 130% of the number of RSUs granted, based on achievement of a specified RNN performance goal over the FY2026 performance period. The Compensation Committee selected RNN as a key driver of sustainable revenue growth and set performance targets at levels it believes to be challenging yet achievable. The Compensation Committee believes that adding this additional performance element to our time-based RSU awards will further incentivize outperformance on future subscription growth and drive our long-term value creation by our employees.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LTIP for our NEOs comprises a mix of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60" w:type="dxa"/>
            <w:vAlign w:val="bottom"/>
            <w:tcBorders>
              <w:top w:val="single" w:sz="8" w:color="00A798"/>
            </w:tcBorders>
            <w:shd w:val="clear" w:color="auto" w:fill="00A798"/>
          </w:tcPr>
          <w:p>
            <w:pPr>
              <w:spacing w:after="0"/>
              <w:rPr>
                <w:sz w:val="24"/>
                <w:szCs w:val="24"/>
                <w:color w:val="auto"/>
              </w:rPr>
            </w:pPr>
          </w:p>
        </w:tc>
        <w:tc>
          <w:tcPr>
            <w:tcW w:w="940" w:type="dxa"/>
            <w:vAlign w:val="bottom"/>
            <w:tcBorders>
              <w:top w:val="single" w:sz="8" w:color="00A798"/>
            </w:tcBorders>
            <w:shd w:val="clear" w:color="auto" w:fill="00A798"/>
          </w:tcPr>
          <w:p>
            <w:pPr>
              <w:ind w:left="180"/>
              <w:spacing w:after="0"/>
              <w:rPr>
                <w:sz w:val="20"/>
                <w:szCs w:val="20"/>
                <w:color w:val="auto"/>
              </w:rPr>
            </w:pPr>
            <w:r>
              <w:rPr>
                <w:rFonts w:ascii="Arial" w:cs="Arial" w:eastAsia="Arial" w:hAnsi="Arial"/>
                <w:sz w:val="22"/>
                <w:szCs w:val="22"/>
                <w:b w:val="1"/>
                <w:bCs w:val="1"/>
                <w:color w:val="auto"/>
              </w:rPr>
              <w:t>PSUs</w:t>
            </w:r>
          </w:p>
        </w:tc>
        <w:tc>
          <w:tcPr>
            <w:tcW w:w="260" w:type="dxa"/>
            <w:vAlign w:val="bottom"/>
            <w:tcBorders>
              <w:top w:val="single" w:sz="8" w:color="00A798"/>
            </w:tcBorders>
            <w:shd w:val="clear" w:color="auto" w:fill="00A798"/>
          </w:tcPr>
          <w:p>
            <w:pPr>
              <w:spacing w:after="0"/>
              <w:rPr>
                <w:sz w:val="24"/>
                <w:szCs w:val="24"/>
                <w:color w:val="auto"/>
              </w:rPr>
            </w:pPr>
          </w:p>
        </w:tc>
        <w:tc>
          <w:tcPr>
            <w:tcW w:w="240" w:type="dxa"/>
            <w:vAlign w:val="bottom"/>
            <w:tcBorders>
              <w:top w:val="single" w:sz="8" w:color="E6E7E8"/>
            </w:tcBorders>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Borders>
              <w:top w:val="single" w:sz="8" w:color="E6E7E8"/>
            </w:tcBorders>
          </w:tcPr>
          <w:p>
            <w:pPr>
              <w:ind w:left="60"/>
              <w:spacing w:after="0"/>
              <w:rPr>
                <w:sz w:val="20"/>
                <w:szCs w:val="20"/>
                <w:color w:val="auto"/>
              </w:rPr>
            </w:pPr>
            <w:r>
              <w:rPr>
                <w:rFonts w:ascii="Arial" w:cs="Arial" w:eastAsia="Arial" w:hAnsi="Arial"/>
                <w:sz w:val="14"/>
                <w:szCs w:val="14"/>
                <w:color w:val="auto"/>
              </w:rPr>
              <w:t>Annual grant of PSUs which cover a cumulative three-year performance period.</w:t>
            </w:r>
          </w:p>
        </w:tc>
        <w:tc>
          <w:tcPr>
            <w:tcW w:w="0" w:type="dxa"/>
            <w:vAlign w:val="bottom"/>
          </w:tcPr>
          <w:p>
            <w:pPr>
              <w:spacing w:after="0"/>
              <w:rPr>
                <w:sz w:val="1"/>
                <w:szCs w:val="1"/>
                <w:color w:val="auto"/>
              </w:rPr>
            </w:pPr>
          </w:p>
        </w:tc>
      </w:tr>
      <w:tr>
        <w:trPr>
          <w:trHeight w:val="215"/>
        </w:trPr>
        <w:tc>
          <w:tcPr>
            <w:tcW w:w="260" w:type="dxa"/>
            <w:vAlign w:val="bottom"/>
            <w:shd w:val="clear" w:color="auto" w:fill="00A798"/>
          </w:tcPr>
          <w:p>
            <w:pPr>
              <w:spacing w:after="0"/>
              <w:rPr>
                <w:sz w:val="18"/>
                <w:szCs w:val="18"/>
                <w:color w:val="auto"/>
              </w:rPr>
            </w:pPr>
          </w:p>
        </w:tc>
        <w:tc>
          <w:tcPr>
            <w:tcW w:w="940" w:type="dxa"/>
            <w:vAlign w:val="bottom"/>
            <w:shd w:val="clear" w:color="auto" w:fill="00A798"/>
          </w:tcPr>
          <w:p>
            <w:pPr>
              <w:spacing w:after="0"/>
              <w:rPr>
                <w:sz w:val="18"/>
                <w:szCs w:val="18"/>
                <w:color w:val="auto"/>
              </w:rPr>
            </w:pPr>
          </w:p>
        </w:tc>
        <w:tc>
          <w:tcPr>
            <w:tcW w:w="260" w:type="dxa"/>
            <w:vAlign w:val="bottom"/>
            <w:shd w:val="clear" w:color="auto" w:fill="00A798"/>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Pr>
          <w:p>
            <w:pPr>
              <w:ind w:left="60"/>
              <w:spacing w:after="0"/>
              <w:rPr>
                <w:sz w:val="20"/>
                <w:szCs w:val="20"/>
                <w:color w:val="auto"/>
              </w:rPr>
            </w:pPr>
            <w:r>
              <w:rPr>
                <w:rFonts w:ascii="Arial" w:cs="Arial" w:eastAsia="Arial" w:hAnsi="Arial"/>
                <w:sz w:val="14"/>
                <w:szCs w:val="14"/>
                <w:color w:val="auto"/>
              </w:rPr>
              <w:t>The PSUs are eligible to vest between 0% and 200%, based on the achievement of an absolute TSR CAGR performance metric.</w:t>
            </w:r>
          </w:p>
        </w:tc>
        <w:tc>
          <w:tcPr>
            <w:tcW w:w="0" w:type="dxa"/>
            <w:vAlign w:val="bottom"/>
          </w:tcPr>
          <w:p>
            <w:pPr>
              <w:spacing w:after="0"/>
              <w:rPr>
                <w:sz w:val="1"/>
                <w:szCs w:val="1"/>
                <w:color w:val="auto"/>
              </w:rPr>
            </w:pPr>
          </w:p>
        </w:tc>
      </w:tr>
      <w:tr>
        <w:trPr>
          <w:trHeight w:val="284"/>
        </w:trPr>
        <w:tc>
          <w:tcPr>
            <w:tcW w:w="260" w:type="dxa"/>
            <w:vAlign w:val="bottom"/>
            <w:shd w:val="clear" w:color="auto" w:fill="00A798"/>
          </w:tcPr>
          <w:p>
            <w:pPr>
              <w:spacing w:after="0"/>
              <w:rPr>
                <w:sz w:val="24"/>
                <w:szCs w:val="24"/>
                <w:color w:val="auto"/>
              </w:rPr>
            </w:pPr>
          </w:p>
        </w:tc>
        <w:tc>
          <w:tcPr>
            <w:tcW w:w="940" w:type="dxa"/>
            <w:vAlign w:val="bottom"/>
            <w:shd w:val="clear" w:color="auto" w:fill="00A798"/>
          </w:tcPr>
          <w:p>
            <w:pPr>
              <w:spacing w:after="0"/>
              <w:rPr>
                <w:sz w:val="24"/>
                <w:szCs w:val="24"/>
                <w:color w:val="auto"/>
              </w:rPr>
            </w:pPr>
          </w:p>
        </w:tc>
        <w:tc>
          <w:tcPr>
            <w:tcW w:w="260" w:type="dxa"/>
            <w:vAlign w:val="bottom"/>
            <w:shd w:val="clear" w:color="auto" w:fill="00A798"/>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Pr>
          <w:p>
            <w:pPr>
              <w:ind w:left="60"/>
              <w:spacing w:after="0"/>
              <w:rPr>
                <w:sz w:val="20"/>
                <w:szCs w:val="20"/>
                <w:color w:val="auto"/>
              </w:rPr>
            </w:pPr>
            <w:r>
              <w:rPr>
                <w:rFonts w:ascii="Arial" w:cs="Arial" w:eastAsia="Arial" w:hAnsi="Arial"/>
                <w:sz w:val="14"/>
                <w:szCs w:val="14"/>
                <w:color w:val="auto"/>
              </w:rPr>
              <w:t>The PSUs include a one-year post-vest mandatory holding period.</w:t>
            </w:r>
          </w:p>
        </w:tc>
        <w:tc>
          <w:tcPr>
            <w:tcW w:w="0" w:type="dxa"/>
            <w:vAlign w:val="bottom"/>
          </w:tcPr>
          <w:p>
            <w:pPr>
              <w:spacing w:after="0"/>
              <w:rPr>
                <w:sz w:val="1"/>
                <w:szCs w:val="1"/>
                <w:color w:val="auto"/>
              </w:rPr>
            </w:pPr>
          </w:p>
        </w:tc>
      </w:tr>
      <w:tr>
        <w:trPr>
          <w:trHeight w:val="204"/>
        </w:trPr>
        <w:tc>
          <w:tcPr>
            <w:tcW w:w="260" w:type="dxa"/>
            <w:vAlign w:val="bottom"/>
            <w:tcBorders>
              <w:bottom w:val="single" w:sz="8" w:color="00A798"/>
            </w:tcBorders>
            <w:shd w:val="clear" w:color="auto" w:fill="00A798"/>
          </w:tcPr>
          <w:p>
            <w:pPr>
              <w:spacing w:after="0"/>
              <w:rPr>
                <w:sz w:val="17"/>
                <w:szCs w:val="17"/>
                <w:color w:val="auto"/>
              </w:rPr>
            </w:pPr>
          </w:p>
        </w:tc>
        <w:tc>
          <w:tcPr>
            <w:tcW w:w="940" w:type="dxa"/>
            <w:vAlign w:val="bottom"/>
            <w:tcBorders>
              <w:bottom w:val="single" w:sz="8" w:color="00A798"/>
            </w:tcBorders>
            <w:vMerge w:val="restart"/>
            <w:shd w:val="clear" w:color="auto" w:fill="00A798"/>
          </w:tcPr>
          <w:p>
            <w:pPr>
              <w:ind w:left="180"/>
              <w:spacing w:after="0"/>
              <w:rPr>
                <w:sz w:val="20"/>
                <w:szCs w:val="20"/>
                <w:color w:val="auto"/>
              </w:rPr>
            </w:pPr>
            <w:r>
              <w:rPr>
                <w:rFonts w:ascii="Arial" w:cs="Arial" w:eastAsia="Arial" w:hAnsi="Arial"/>
                <w:sz w:val="22"/>
                <w:szCs w:val="22"/>
                <w:b w:val="1"/>
                <w:bCs w:val="1"/>
                <w:color w:val="auto"/>
              </w:rPr>
              <w:t>PSOs</w:t>
            </w:r>
          </w:p>
        </w:tc>
        <w:tc>
          <w:tcPr>
            <w:tcW w:w="260" w:type="dxa"/>
            <w:vAlign w:val="bottom"/>
            <w:tcBorders>
              <w:bottom w:val="single" w:sz="8" w:color="00A798"/>
            </w:tcBorders>
            <w:shd w:val="clear" w:color="auto" w:fill="00A798"/>
          </w:tcPr>
          <w:p>
            <w:pPr>
              <w:spacing w:after="0"/>
              <w:rPr>
                <w:sz w:val="17"/>
                <w:szCs w:val="17"/>
                <w:color w:val="auto"/>
              </w:rPr>
            </w:pPr>
          </w:p>
        </w:tc>
        <w:tc>
          <w:tcPr>
            <w:tcW w:w="240" w:type="dxa"/>
            <w:vAlign w:val="bottom"/>
            <w:tcBorders>
              <w:bottom w:val="single" w:sz="8" w:color="E6E7E8"/>
            </w:tcBorders>
          </w:tcPr>
          <w:p>
            <w:pPr>
              <w:spacing w:after="0"/>
              <w:rPr>
                <w:sz w:val="17"/>
                <w:szCs w:val="17"/>
                <w:color w:val="auto"/>
              </w:rPr>
            </w:pPr>
          </w:p>
        </w:tc>
        <w:tc>
          <w:tcPr>
            <w:tcW w:w="9540" w:type="dxa"/>
            <w:vAlign w:val="bottom"/>
            <w:tcBorders>
              <w:bottom w:val="single" w:sz="8" w:color="E6E7E8"/>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260" w:type="dxa"/>
            <w:vAlign w:val="bottom"/>
            <w:shd w:val="clear" w:color="auto" w:fill="00A798"/>
          </w:tcPr>
          <w:p>
            <w:pPr>
              <w:spacing w:after="0"/>
              <w:rPr>
                <w:sz w:val="24"/>
                <w:szCs w:val="24"/>
                <w:color w:val="auto"/>
              </w:rPr>
            </w:pPr>
          </w:p>
        </w:tc>
        <w:tc>
          <w:tcPr>
            <w:tcW w:w="940" w:type="dxa"/>
            <w:vAlign w:val="bottom"/>
            <w:vMerge w:val="continue"/>
            <w:shd w:val="clear" w:color="auto" w:fill="00A798"/>
          </w:tcPr>
          <w:p>
            <w:pPr>
              <w:spacing w:after="0"/>
              <w:rPr>
                <w:sz w:val="24"/>
                <w:szCs w:val="24"/>
                <w:color w:val="auto"/>
              </w:rPr>
            </w:pPr>
          </w:p>
        </w:tc>
        <w:tc>
          <w:tcPr>
            <w:tcW w:w="260" w:type="dxa"/>
            <w:vAlign w:val="bottom"/>
            <w:shd w:val="clear" w:color="auto" w:fill="00A798"/>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Pr>
          <w:p>
            <w:pPr>
              <w:ind w:left="60"/>
              <w:spacing w:after="0"/>
              <w:rPr>
                <w:sz w:val="20"/>
                <w:szCs w:val="20"/>
                <w:color w:val="auto"/>
              </w:rPr>
            </w:pPr>
            <w:r>
              <w:rPr>
                <w:rFonts w:ascii="Arial" w:cs="Arial" w:eastAsia="Arial" w:hAnsi="Arial"/>
                <w:sz w:val="14"/>
                <w:szCs w:val="14"/>
                <w:color w:val="auto"/>
              </w:rPr>
              <w:t>Annual grant of PSOs which cover a cumulative three-year performance period.</w:t>
            </w:r>
          </w:p>
        </w:tc>
        <w:tc>
          <w:tcPr>
            <w:tcW w:w="0" w:type="dxa"/>
            <w:vAlign w:val="bottom"/>
          </w:tcPr>
          <w:p>
            <w:pPr>
              <w:spacing w:after="0"/>
              <w:rPr>
                <w:sz w:val="1"/>
                <w:szCs w:val="1"/>
                <w:color w:val="auto"/>
              </w:rPr>
            </w:pPr>
          </w:p>
        </w:tc>
      </w:tr>
      <w:tr>
        <w:trPr>
          <w:trHeight w:val="207"/>
        </w:trPr>
        <w:tc>
          <w:tcPr>
            <w:tcW w:w="260" w:type="dxa"/>
            <w:vAlign w:val="bottom"/>
            <w:shd w:val="clear" w:color="auto" w:fill="00A798"/>
          </w:tcPr>
          <w:p>
            <w:pPr>
              <w:spacing w:after="0"/>
              <w:rPr>
                <w:sz w:val="18"/>
                <w:szCs w:val="18"/>
                <w:color w:val="auto"/>
              </w:rPr>
            </w:pPr>
          </w:p>
        </w:tc>
        <w:tc>
          <w:tcPr>
            <w:tcW w:w="940" w:type="dxa"/>
            <w:vAlign w:val="bottom"/>
            <w:shd w:val="clear" w:color="auto" w:fill="00A798"/>
          </w:tcPr>
          <w:p>
            <w:pPr>
              <w:spacing w:after="0"/>
              <w:rPr>
                <w:sz w:val="18"/>
                <w:szCs w:val="18"/>
                <w:color w:val="auto"/>
              </w:rPr>
            </w:pPr>
          </w:p>
        </w:tc>
        <w:tc>
          <w:tcPr>
            <w:tcW w:w="260" w:type="dxa"/>
            <w:vAlign w:val="bottom"/>
            <w:shd w:val="clear" w:color="auto" w:fill="00A798"/>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Pr>
          <w:p>
            <w:pPr>
              <w:ind w:left="60"/>
              <w:spacing w:after="0"/>
              <w:rPr>
                <w:sz w:val="20"/>
                <w:szCs w:val="20"/>
                <w:color w:val="auto"/>
              </w:rPr>
            </w:pPr>
            <w:r>
              <w:rPr>
                <w:rFonts w:ascii="Arial" w:cs="Arial" w:eastAsia="Arial" w:hAnsi="Arial"/>
                <w:sz w:val="14"/>
                <w:szCs w:val="14"/>
                <w:color w:val="auto"/>
              </w:rPr>
              <w:t>The PSOs are eligible to vest between 0% and 200% based on the combined level of achievement of (i) a cumulative revenue performance goal and</w:t>
            </w:r>
          </w:p>
        </w:tc>
        <w:tc>
          <w:tcPr>
            <w:tcW w:w="0" w:type="dxa"/>
            <w:vAlign w:val="bottom"/>
          </w:tcPr>
          <w:p>
            <w:pPr>
              <w:spacing w:after="0"/>
              <w:rPr>
                <w:sz w:val="1"/>
                <w:szCs w:val="1"/>
                <w:color w:val="auto"/>
              </w:rPr>
            </w:pPr>
          </w:p>
        </w:tc>
      </w:tr>
      <w:tr>
        <w:trPr>
          <w:trHeight w:val="190"/>
        </w:trPr>
        <w:tc>
          <w:tcPr>
            <w:tcW w:w="260" w:type="dxa"/>
            <w:vAlign w:val="bottom"/>
            <w:shd w:val="clear" w:color="auto" w:fill="00A798"/>
          </w:tcPr>
          <w:p>
            <w:pPr>
              <w:spacing w:after="0"/>
              <w:rPr>
                <w:sz w:val="16"/>
                <w:szCs w:val="16"/>
                <w:color w:val="auto"/>
              </w:rPr>
            </w:pPr>
          </w:p>
        </w:tc>
        <w:tc>
          <w:tcPr>
            <w:tcW w:w="940" w:type="dxa"/>
            <w:vAlign w:val="bottom"/>
            <w:shd w:val="clear" w:color="auto" w:fill="00A798"/>
          </w:tcPr>
          <w:p>
            <w:pPr>
              <w:spacing w:after="0"/>
              <w:rPr>
                <w:sz w:val="16"/>
                <w:szCs w:val="16"/>
                <w:color w:val="auto"/>
              </w:rPr>
            </w:pPr>
          </w:p>
        </w:tc>
        <w:tc>
          <w:tcPr>
            <w:tcW w:w="260" w:type="dxa"/>
            <w:vAlign w:val="bottom"/>
            <w:shd w:val="clear" w:color="auto" w:fill="00A798"/>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tcPr>
          <w:p>
            <w:pPr>
              <w:ind w:left="100"/>
              <w:spacing w:after="0"/>
              <w:rPr>
                <w:sz w:val="20"/>
                <w:szCs w:val="20"/>
                <w:color w:val="auto"/>
              </w:rPr>
            </w:pPr>
            <w:r>
              <w:rPr>
                <w:rFonts w:ascii="Arial" w:cs="Arial" w:eastAsia="Arial" w:hAnsi="Arial"/>
                <w:sz w:val="14"/>
                <w:szCs w:val="14"/>
                <w:color w:val="auto"/>
              </w:rPr>
              <w:t>(ii) a cumulative adjusted EPS performance goal (each weighted equally).</w:t>
            </w:r>
          </w:p>
        </w:tc>
        <w:tc>
          <w:tcPr>
            <w:tcW w:w="0" w:type="dxa"/>
            <w:vAlign w:val="bottom"/>
          </w:tcPr>
          <w:p>
            <w:pPr>
              <w:spacing w:after="0"/>
              <w:rPr>
                <w:sz w:val="1"/>
                <w:szCs w:val="1"/>
                <w:color w:val="auto"/>
              </w:rPr>
            </w:pPr>
          </w:p>
        </w:tc>
      </w:tr>
      <w:tr>
        <w:trPr>
          <w:trHeight w:val="276"/>
        </w:trPr>
        <w:tc>
          <w:tcPr>
            <w:tcW w:w="260" w:type="dxa"/>
            <w:vAlign w:val="bottom"/>
            <w:shd w:val="clear" w:color="auto" w:fill="00A798"/>
          </w:tcPr>
          <w:p>
            <w:pPr>
              <w:spacing w:after="0"/>
              <w:rPr>
                <w:sz w:val="24"/>
                <w:szCs w:val="24"/>
                <w:color w:val="auto"/>
              </w:rPr>
            </w:pPr>
          </w:p>
        </w:tc>
        <w:tc>
          <w:tcPr>
            <w:tcW w:w="940" w:type="dxa"/>
            <w:vAlign w:val="bottom"/>
            <w:shd w:val="clear" w:color="auto" w:fill="00A798"/>
          </w:tcPr>
          <w:p>
            <w:pPr>
              <w:spacing w:after="0"/>
              <w:rPr>
                <w:sz w:val="24"/>
                <w:szCs w:val="24"/>
                <w:color w:val="auto"/>
              </w:rPr>
            </w:pPr>
          </w:p>
        </w:tc>
        <w:tc>
          <w:tcPr>
            <w:tcW w:w="260" w:type="dxa"/>
            <w:vAlign w:val="bottom"/>
            <w:shd w:val="clear" w:color="auto" w:fill="00A798"/>
          </w:tcPr>
          <w:p>
            <w:pPr>
              <w:spacing w:after="0"/>
              <w:rPr>
                <w:sz w:val="24"/>
                <w:szCs w:val="24"/>
                <w:color w:val="auto"/>
              </w:rPr>
            </w:pPr>
          </w:p>
        </w:tc>
        <w:tc>
          <w:tcPr>
            <w:tcW w:w="9780" w:type="dxa"/>
            <w:vAlign w:val="bottom"/>
            <w:gridSpan w:val="2"/>
          </w:tcPr>
          <w:p>
            <w:pPr>
              <w:ind w:left="140"/>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4"/>
                <w:szCs w:val="14"/>
                <w:color w:val="000000"/>
              </w:rPr>
              <w:t>Share price of MSCI common stock must exceed exercise price for a participant to realize value.</w:t>
            </w:r>
          </w:p>
        </w:tc>
        <w:tc>
          <w:tcPr>
            <w:tcW w:w="0" w:type="dxa"/>
            <w:vAlign w:val="bottom"/>
          </w:tcPr>
          <w:p>
            <w:pPr>
              <w:spacing w:after="0"/>
              <w:rPr>
                <w:sz w:val="1"/>
                <w:szCs w:val="1"/>
                <w:color w:val="auto"/>
              </w:rPr>
            </w:pPr>
          </w:p>
        </w:tc>
      </w:tr>
      <w:tr>
        <w:trPr>
          <w:trHeight w:val="218"/>
        </w:trPr>
        <w:tc>
          <w:tcPr>
            <w:tcW w:w="260" w:type="dxa"/>
            <w:vAlign w:val="bottom"/>
            <w:tcBorders>
              <w:bottom w:val="single" w:sz="8" w:color="00A798"/>
            </w:tcBorders>
            <w:shd w:val="clear" w:color="auto" w:fill="00A798"/>
          </w:tcPr>
          <w:p>
            <w:pPr>
              <w:spacing w:after="0"/>
              <w:rPr>
                <w:sz w:val="18"/>
                <w:szCs w:val="18"/>
                <w:color w:val="auto"/>
              </w:rPr>
            </w:pPr>
          </w:p>
        </w:tc>
        <w:tc>
          <w:tcPr>
            <w:tcW w:w="940" w:type="dxa"/>
            <w:vAlign w:val="bottom"/>
            <w:tcBorders>
              <w:bottom w:val="single" w:sz="8" w:color="00A798"/>
            </w:tcBorders>
            <w:vMerge w:val="restart"/>
            <w:shd w:val="clear" w:color="auto" w:fill="00A798"/>
          </w:tcPr>
          <w:p>
            <w:pPr>
              <w:ind w:left="180"/>
              <w:spacing w:after="0"/>
              <w:rPr>
                <w:sz w:val="20"/>
                <w:szCs w:val="20"/>
                <w:color w:val="auto"/>
              </w:rPr>
            </w:pPr>
            <w:r>
              <w:rPr>
                <w:rFonts w:ascii="Arial" w:cs="Arial" w:eastAsia="Arial" w:hAnsi="Arial"/>
                <w:sz w:val="22"/>
                <w:szCs w:val="22"/>
                <w:b w:val="1"/>
                <w:bCs w:val="1"/>
                <w:color w:val="auto"/>
              </w:rPr>
              <w:t>RSUs</w:t>
            </w:r>
          </w:p>
        </w:tc>
        <w:tc>
          <w:tcPr>
            <w:tcW w:w="260" w:type="dxa"/>
            <w:vAlign w:val="bottom"/>
            <w:tcBorders>
              <w:bottom w:val="single" w:sz="8" w:color="00A798"/>
            </w:tcBorders>
            <w:shd w:val="clear" w:color="auto" w:fill="00A798"/>
          </w:tcPr>
          <w:p>
            <w:pPr>
              <w:spacing w:after="0"/>
              <w:rPr>
                <w:sz w:val="18"/>
                <w:szCs w:val="18"/>
                <w:color w:val="auto"/>
              </w:rPr>
            </w:pPr>
          </w:p>
        </w:tc>
        <w:tc>
          <w:tcPr>
            <w:tcW w:w="240" w:type="dxa"/>
            <w:vAlign w:val="bottom"/>
            <w:tcBorders>
              <w:bottom w:val="single" w:sz="8" w:color="E6E7E8"/>
            </w:tcBorders>
          </w:tcPr>
          <w:p>
            <w:pPr>
              <w:spacing w:after="0"/>
              <w:rPr>
                <w:sz w:val="18"/>
                <w:szCs w:val="18"/>
                <w:color w:val="auto"/>
              </w:rPr>
            </w:pPr>
          </w:p>
        </w:tc>
        <w:tc>
          <w:tcPr>
            <w:tcW w:w="9540" w:type="dxa"/>
            <w:vAlign w:val="bottom"/>
            <w:tcBorders>
              <w:bottom w:val="single" w:sz="8" w:color="E6E7E8"/>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60" w:type="dxa"/>
            <w:vAlign w:val="bottom"/>
            <w:shd w:val="clear" w:color="auto" w:fill="00A798"/>
          </w:tcPr>
          <w:p>
            <w:pPr>
              <w:spacing w:after="0"/>
              <w:rPr>
                <w:sz w:val="24"/>
                <w:szCs w:val="24"/>
                <w:color w:val="auto"/>
              </w:rPr>
            </w:pPr>
          </w:p>
        </w:tc>
        <w:tc>
          <w:tcPr>
            <w:tcW w:w="940" w:type="dxa"/>
            <w:vAlign w:val="bottom"/>
            <w:vMerge w:val="continue"/>
            <w:shd w:val="clear" w:color="auto" w:fill="00A798"/>
          </w:tcPr>
          <w:p>
            <w:pPr>
              <w:spacing w:after="0"/>
              <w:rPr>
                <w:sz w:val="24"/>
                <w:szCs w:val="24"/>
                <w:color w:val="auto"/>
              </w:rPr>
            </w:pPr>
          </w:p>
        </w:tc>
        <w:tc>
          <w:tcPr>
            <w:tcW w:w="260" w:type="dxa"/>
            <w:vAlign w:val="bottom"/>
            <w:shd w:val="clear" w:color="auto" w:fill="00A798"/>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Pr>
          <w:p>
            <w:pPr>
              <w:ind w:left="60"/>
              <w:spacing w:after="0"/>
              <w:rPr>
                <w:sz w:val="20"/>
                <w:szCs w:val="20"/>
                <w:color w:val="auto"/>
              </w:rPr>
            </w:pPr>
            <w:r>
              <w:rPr>
                <w:rFonts w:ascii="Arial" w:cs="Arial" w:eastAsia="Arial" w:hAnsi="Arial"/>
                <w:sz w:val="14"/>
                <w:szCs w:val="14"/>
                <w:color w:val="auto"/>
              </w:rPr>
              <w:t>Annual grant of RSUs to our NEOs (other than Messrs. Fernandez and Pettit) that cliff-vest at the end of a three-year service period.</w:t>
            </w:r>
          </w:p>
        </w:tc>
        <w:tc>
          <w:tcPr>
            <w:tcW w:w="0" w:type="dxa"/>
            <w:vAlign w:val="bottom"/>
          </w:tcPr>
          <w:p>
            <w:pPr>
              <w:spacing w:after="0"/>
              <w:rPr>
                <w:sz w:val="1"/>
                <w:szCs w:val="1"/>
                <w:color w:val="auto"/>
              </w:rPr>
            </w:pPr>
          </w:p>
        </w:tc>
      </w:tr>
      <w:tr>
        <w:trPr>
          <w:trHeight w:val="207"/>
        </w:trPr>
        <w:tc>
          <w:tcPr>
            <w:tcW w:w="260" w:type="dxa"/>
            <w:vAlign w:val="bottom"/>
            <w:shd w:val="clear" w:color="auto" w:fill="00A798"/>
          </w:tcPr>
          <w:p>
            <w:pPr>
              <w:spacing w:after="0"/>
              <w:rPr>
                <w:sz w:val="18"/>
                <w:szCs w:val="18"/>
                <w:color w:val="auto"/>
              </w:rPr>
            </w:pPr>
          </w:p>
        </w:tc>
        <w:tc>
          <w:tcPr>
            <w:tcW w:w="940" w:type="dxa"/>
            <w:vAlign w:val="bottom"/>
            <w:shd w:val="clear" w:color="auto" w:fill="00A798"/>
          </w:tcPr>
          <w:p>
            <w:pPr>
              <w:spacing w:after="0"/>
              <w:rPr>
                <w:sz w:val="18"/>
                <w:szCs w:val="18"/>
                <w:color w:val="auto"/>
              </w:rPr>
            </w:pPr>
          </w:p>
        </w:tc>
        <w:tc>
          <w:tcPr>
            <w:tcW w:w="260" w:type="dxa"/>
            <w:vAlign w:val="bottom"/>
            <w:shd w:val="clear" w:color="auto" w:fill="00A798"/>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00A798"/>
              </w:rPr>
              <w:t>•</w:t>
            </w:r>
          </w:p>
        </w:tc>
        <w:tc>
          <w:tcPr>
            <w:tcW w:w="9540" w:type="dxa"/>
            <w:vAlign w:val="bottom"/>
          </w:tcPr>
          <w:p>
            <w:pPr>
              <w:ind w:left="60"/>
              <w:spacing w:after="0"/>
              <w:rPr>
                <w:sz w:val="20"/>
                <w:szCs w:val="20"/>
                <w:color w:val="auto"/>
              </w:rPr>
            </w:pPr>
            <w:r>
              <w:rPr>
                <w:rFonts w:ascii="Arial" w:cs="Arial" w:eastAsia="Arial" w:hAnsi="Arial"/>
                <w:sz w:val="14"/>
                <w:szCs w:val="14"/>
                <w:color w:val="auto"/>
              </w:rPr>
              <w:t>Commencing with grants made in 2026, RSUs are subject to an upside-only RNN performance modifier that may adjust the number of shares</w:t>
            </w:r>
          </w:p>
        </w:tc>
        <w:tc>
          <w:tcPr>
            <w:tcW w:w="0" w:type="dxa"/>
            <w:vAlign w:val="bottom"/>
          </w:tcPr>
          <w:p>
            <w:pPr>
              <w:spacing w:after="0"/>
              <w:rPr>
                <w:sz w:val="1"/>
                <w:szCs w:val="1"/>
                <w:color w:val="auto"/>
              </w:rPr>
            </w:pPr>
          </w:p>
        </w:tc>
      </w:tr>
      <w:tr>
        <w:trPr>
          <w:trHeight w:val="190"/>
        </w:trPr>
        <w:tc>
          <w:tcPr>
            <w:tcW w:w="260" w:type="dxa"/>
            <w:vAlign w:val="bottom"/>
            <w:shd w:val="clear" w:color="auto" w:fill="00A798"/>
          </w:tcPr>
          <w:p>
            <w:pPr>
              <w:spacing w:after="0"/>
              <w:rPr>
                <w:sz w:val="16"/>
                <w:szCs w:val="16"/>
                <w:color w:val="auto"/>
              </w:rPr>
            </w:pPr>
          </w:p>
        </w:tc>
        <w:tc>
          <w:tcPr>
            <w:tcW w:w="940" w:type="dxa"/>
            <w:vAlign w:val="bottom"/>
            <w:shd w:val="clear" w:color="auto" w:fill="00A798"/>
          </w:tcPr>
          <w:p>
            <w:pPr>
              <w:spacing w:after="0"/>
              <w:rPr>
                <w:sz w:val="16"/>
                <w:szCs w:val="16"/>
                <w:color w:val="auto"/>
              </w:rPr>
            </w:pPr>
          </w:p>
        </w:tc>
        <w:tc>
          <w:tcPr>
            <w:tcW w:w="260" w:type="dxa"/>
            <w:vAlign w:val="bottom"/>
            <w:shd w:val="clear" w:color="auto" w:fill="00A798"/>
          </w:tcPr>
          <w:p>
            <w:pPr>
              <w:spacing w:after="0"/>
              <w:rPr>
                <w:sz w:val="16"/>
                <w:szCs w:val="16"/>
                <w:color w:val="auto"/>
              </w:rPr>
            </w:pPr>
          </w:p>
        </w:tc>
        <w:tc>
          <w:tcPr>
            <w:tcW w:w="240" w:type="dxa"/>
            <w:vAlign w:val="bottom"/>
          </w:tcPr>
          <w:p>
            <w:pPr>
              <w:spacing w:after="0"/>
              <w:rPr>
                <w:sz w:val="16"/>
                <w:szCs w:val="16"/>
                <w:color w:val="auto"/>
              </w:rPr>
            </w:pPr>
          </w:p>
        </w:tc>
        <w:tc>
          <w:tcPr>
            <w:tcW w:w="9540" w:type="dxa"/>
            <w:vAlign w:val="bottom"/>
          </w:tcPr>
          <w:p>
            <w:pPr>
              <w:ind w:left="100"/>
              <w:spacing w:after="0"/>
              <w:rPr>
                <w:sz w:val="20"/>
                <w:szCs w:val="20"/>
                <w:color w:val="auto"/>
              </w:rPr>
            </w:pPr>
            <w:r>
              <w:rPr>
                <w:rFonts w:ascii="Arial" w:cs="Arial" w:eastAsia="Arial" w:hAnsi="Arial"/>
                <w:sz w:val="14"/>
                <w:szCs w:val="14"/>
                <w:color w:val="auto"/>
              </w:rPr>
              <w:t>earned, within a range of 100% to 130% of the target number based on performance.</w:t>
            </w:r>
          </w:p>
        </w:tc>
        <w:tc>
          <w:tcPr>
            <w:tcW w:w="0" w:type="dxa"/>
            <w:vAlign w:val="bottom"/>
          </w:tcPr>
          <w:p>
            <w:pPr>
              <w:spacing w:after="0"/>
              <w:rPr>
                <w:sz w:val="1"/>
                <w:szCs w:val="1"/>
                <w:color w:val="auto"/>
              </w:rPr>
            </w:pPr>
          </w:p>
        </w:tc>
      </w:tr>
      <w:tr>
        <w:trPr>
          <w:trHeight w:val="211"/>
        </w:trPr>
        <w:tc>
          <w:tcPr>
            <w:tcW w:w="260" w:type="dxa"/>
            <w:vAlign w:val="bottom"/>
            <w:shd w:val="clear" w:color="auto" w:fill="00A798"/>
          </w:tcPr>
          <w:p>
            <w:pPr>
              <w:spacing w:after="0"/>
              <w:rPr>
                <w:sz w:val="18"/>
                <w:szCs w:val="18"/>
                <w:color w:val="auto"/>
              </w:rPr>
            </w:pPr>
          </w:p>
        </w:tc>
        <w:tc>
          <w:tcPr>
            <w:tcW w:w="940" w:type="dxa"/>
            <w:vAlign w:val="bottom"/>
            <w:shd w:val="clear" w:color="auto" w:fill="00A798"/>
          </w:tcPr>
          <w:p>
            <w:pPr>
              <w:spacing w:after="0"/>
              <w:rPr>
                <w:sz w:val="18"/>
                <w:szCs w:val="18"/>
                <w:color w:val="auto"/>
              </w:rPr>
            </w:pPr>
          </w:p>
        </w:tc>
        <w:tc>
          <w:tcPr>
            <w:tcW w:w="260" w:type="dxa"/>
            <w:vAlign w:val="bottom"/>
            <w:shd w:val="clear" w:color="auto" w:fill="00A798"/>
          </w:tcPr>
          <w:p>
            <w:pPr>
              <w:spacing w:after="0"/>
              <w:rPr>
                <w:sz w:val="18"/>
                <w:szCs w:val="18"/>
                <w:color w:val="auto"/>
              </w:rPr>
            </w:pPr>
          </w:p>
        </w:tc>
        <w:tc>
          <w:tcPr>
            <w:tcW w:w="2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-633730</wp:posOffset>
            </wp:positionV>
            <wp:extent cx="762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-1448435</wp:posOffset>
            </wp:positionV>
            <wp:extent cx="7626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LTIP, please see the discussion beginning on page 77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457835</wp:posOffset>
            </wp:positionV>
            <wp:extent cx="55689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2025 Say-on-Pay Vote Results</w:t>
      </w:r>
    </w:p>
    <w:p>
      <w:pPr>
        <w:spacing w:after="0" w:line="114"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recent years, our shareholders have expressed support for our executive compensation program, including at our 2025 annual meeting at which approximately 94.0% of the votes cast approved our “Say on Pay” advisory proposal. This represents the eighth consecutive year of “Say on Pay” approval of 94% or higher.</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To read more about shareholder feedback relating to our Executive Compensation program, see the discussion on page 68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226695</wp:posOffset>
            </wp:positionV>
            <wp:extent cx="5554980" cy="13544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00C4B3"/>
        </w:rPr>
        <w:t>PROPOSAL 3</w:t>
      </w:r>
    </w:p>
    <w:p>
      <w:pPr>
        <w:spacing w:after="0" w:line="87" w:lineRule="exact"/>
        <w:rPr>
          <w:sz w:val="20"/>
          <w:szCs w:val="20"/>
          <w:color w:val="auto"/>
        </w:rPr>
      </w:pPr>
    </w:p>
    <w:tbl>
      <w:tblPr>
        <w:tblLayout w:type="fixed"/>
        <w:tblInd w:w="1680" w:type="dxa"/>
        <w:tblCellMar>
          <w:top w:w="0" w:type="dxa"/>
          <w:left w:w="0" w:type="dxa"/>
          <w:bottom w:w="0" w:type="dxa"/>
          <w:right w:w="0" w:type="dxa"/>
        </w:tblCellMar>
      </w:tblPr>
      <w:tr>
        <w:trPr>
          <w:trHeight w:val="378"/>
        </w:trPr>
        <w:tc>
          <w:tcPr>
            <w:tcW w:w="4780" w:type="dxa"/>
            <w:vAlign w:val="bottom"/>
          </w:tcPr>
          <w:p>
            <w:pPr>
              <w:spacing w:after="0"/>
              <w:rPr>
                <w:sz w:val="20"/>
                <w:szCs w:val="20"/>
                <w:color w:val="auto"/>
              </w:rPr>
            </w:pPr>
            <w:r>
              <w:rPr>
                <w:rFonts w:ascii="Arial" w:cs="Arial" w:eastAsia="Arial" w:hAnsi="Arial"/>
                <w:sz w:val="32"/>
                <w:szCs w:val="32"/>
                <w:b w:val="1"/>
                <w:bCs w:val="1"/>
                <w:color w:val="FFFFFF"/>
              </w:rPr>
              <w:t>Ratification of the</w:t>
            </w:r>
          </w:p>
        </w:tc>
        <w:tc>
          <w:tcPr>
            <w:tcW w:w="2900" w:type="dxa"/>
            <w:vAlign w:val="bottom"/>
          </w:tcPr>
          <w:p>
            <w:pPr>
              <w:ind w:left="1240"/>
              <w:spacing w:after="0"/>
              <w:rPr>
                <w:sz w:val="20"/>
                <w:szCs w:val="20"/>
                <w:color w:val="auto"/>
              </w:rPr>
            </w:pPr>
            <w:r>
              <w:rPr>
                <w:rFonts w:ascii="Arial" w:cs="Arial" w:eastAsia="Arial" w:hAnsi="Arial"/>
                <w:sz w:val="19"/>
                <w:szCs w:val="19"/>
                <w:color w:val="auto"/>
              </w:rPr>
              <w:t>The Board</w:t>
            </w:r>
          </w:p>
        </w:tc>
      </w:tr>
      <w:tr>
        <w:trPr>
          <w:trHeight w:val="35"/>
        </w:trPr>
        <w:tc>
          <w:tcPr>
            <w:tcW w:w="4780" w:type="dxa"/>
            <w:vAlign w:val="bottom"/>
          </w:tcPr>
          <w:p>
            <w:pPr>
              <w:spacing w:after="0" w:line="35" w:lineRule="exact"/>
              <w:rPr>
                <w:sz w:val="20"/>
                <w:szCs w:val="20"/>
                <w:color w:val="auto"/>
              </w:rPr>
            </w:pPr>
            <w:r>
              <w:rPr>
                <w:rFonts w:ascii="Arial" w:cs="Arial" w:eastAsia="Arial" w:hAnsi="Arial"/>
                <w:sz w:val="4"/>
                <w:szCs w:val="4"/>
                <w:b w:val="1"/>
                <w:bCs w:val="1"/>
                <w:color w:val="FFFFFF"/>
              </w:rPr>
              <w:t>Appointment of MSCI’s</w:t>
            </w:r>
          </w:p>
        </w:tc>
        <w:tc>
          <w:tcPr>
            <w:tcW w:w="2900" w:type="dxa"/>
            <w:vAlign w:val="bottom"/>
          </w:tcPr>
          <w:p>
            <w:pPr>
              <w:ind w:left="1240"/>
              <w:spacing w:after="0" w:line="35" w:lineRule="exact"/>
              <w:rPr>
                <w:sz w:val="20"/>
                <w:szCs w:val="20"/>
                <w:color w:val="auto"/>
              </w:rPr>
            </w:pPr>
            <w:r>
              <w:rPr>
                <w:rFonts w:ascii="Arial" w:cs="Arial" w:eastAsia="Arial" w:hAnsi="Arial"/>
                <w:sz w:val="4"/>
                <w:szCs w:val="4"/>
                <w:b w:val="1"/>
                <w:bCs w:val="1"/>
                <w:color w:val="auto"/>
              </w:rPr>
              <w:t xml:space="preserve">FOR </w:t>
            </w:r>
            <w:r>
              <w:rPr>
                <w:rFonts w:ascii="Arial" w:cs="Arial" w:eastAsia="Arial" w:hAnsi="Arial"/>
                <w:sz w:val="4"/>
                <w:szCs w:val="4"/>
                <w:color w:val="auto"/>
              </w:rPr>
              <w:t>this proposal.</w:t>
            </w:r>
          </w:p>
        </w:tc>
      </w:tr>
      <w:tr>
        <w:trPr>
          <w:trHeight w:val="249"/>
        </w:trPr>
        <w:tc>
          <w:tcPr>
            <w:tcW w:w="4780" w:type="dxa"/>
            <w:vAlign w:val="bottom"/>
          </w:tcPr>
          <w:p>
            <w:pPr>
              <w:spacing w:after="0"/>
              <w:rPr>
                <w:sz w:val="21"/>
                <w:szCs w:val="21"/>
                <w:color w:val="auto"/>
              </w:rPr>
            </w:pPr>
          </w:p>
        </w:tc>
        <w:tc>
          <w:tcPr>
            <w:tcW w:w="2900" w:type="dxa"/>
            <w:vAlign w:val="bottom"/>
          </w:tcPr>
          <w:p>
            <w:pPr>
              <w:ind w:left="1240"/>
              <w:spacing w:after="0"/>
              <w:rPr>
                <w:sz w:val="20"/>
                <w:szCs w:val="20"/>
                <w:color w:val="auto"/>
              </w:rPr>
            </w:pPr>
            <w:r>
              <w:rPr>
                <w:rFonts w:ascii="Arial" w:cs="Arial" w:eastAsia="Arial" w:hAnsi="Arial"/>
                <w:sz w:val="19"/>
                <w:szCs w:val="19"/>
                <w:color w:val="auto"/>
                <w:w w:val="98"/>
              </w:rPr>
              <w:t>recommends a vote</w:t>
            </w:r>
          </w:p>
        </w:tc>
      </w:tr>
      <w:tr>
        <w:trPr>
          <w:trHeight w:val="555"/>
        </w:trPr>
        <w:tc>
          <w:tcPr>
            <w:tcW w:w="4780" w:type="dxa"/>
            <w:vAlign w:val="bottom"/>
          </w:tcPr>
          <w:p>
            <w:pPr>
              <w:spacing w:after="0"/>
              <w:rPr>
                <w:sz w:val="20"/>
                <w:szCs w:val="20"/>
                <w:color w:val="auto"/>
              </w:rPr>
            </w:pPr>
            <w:r>
              <w:rPr>
                <w:rFonts w:ascii="Arial" w:cs="Arial" w:eastAsia="Arial" w:hAnsi="Arial"/>
                <w:sz w:val="32"/>
                <w:szCs w:val="32"/>
                <w:b w:val="1"/>
                <w:bCs w:val="1"/>
                <w:color w:val="FFFFFF"/>
              </w:rPr>
              <w:t>Independent Auditor</w:t>
            </w:r>
          </w:p>
        </w:tc>
        <w:tc>
          <w:tcPr>
            <w:tcW w:w="2900" w:type="dxa"/>
            <w:vAlign w:val="bottom"/>
          </w:tcPr>
          <w:p>
            <w:pPr>
              <w:ind w:left="124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page</w:t>
            </w:r>
            <w:r>
              <w:rPr>
                <w:rFonts w:ascii="Arial" w:cs="Arial" w:eastAsia="Arial" w:hAnsi="Arial"/>
                <w:sz w:val="14"/>
                <w:szCs w:val="14"/>
                <w:color w:val="auto"/>
              </w:rPr>
              <w:t xml:space="preserve"> 105</w:t>
            </w:r>
          </w:p>
        </w:tc>
      </w:tr>
    </w:tbl>
    <w:p>
      <w:pPr>
        <w:spacing w:after="0" w:line="200" w:lineRule="exact"/>
        <w:rPr>
          <w:sz w:val="20"/>
          <w:szCs w:val="20"/>
          <w:color w:val="auto"/>
        </w:rPr>
      </w:pPr>
    </w:p>
    <w:p>
      <w:pPr>
        <w:spacing w:after="0" w:line="35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Audit and Risk Committee periodically reviews the engagement of the independent auditor to assess, among other things, the skills, experience, service levels and costs associated with conducting the annual audit of the Company’s financial statements. PwC has served as our independent auditor since March 2014. The Audit Committee believes PwC’s tenure since 2014 enhances audit quality, providing deep institutional knowledge, operational expertise and efficiencies that support reliable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817880</wp:posOffset>
            </wp:positionV>
            <wp:extent cx="3865880" cy="17316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65880" cy="173164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20"/>
          <w:szCs w:val="20"/>
          <w:color w:val="00C4B3"/>
        </w:rPr>
        <w:t>PROPOSAL 1</w:t>
      </w:r>
    </w:p>
    <w:p>
      <w:pPr>
        <w:spacing w:after="0" w:line="74" w:lineRule="exact"/>
        <w:rPr>
          <w:sz w:val="20"/>
          <w:szCs w:val="20"/>
          <w:color w:val="auto"/>
        </w:rPr>
      </w:pPr>
    </w:p>
    <w:p>
      <w:pPr>
        <w:ind w:left="1680"/>
        <w:spacing w:after="0"/>
        <w:rPr>
          <w:sz w:val="20"/>
          <w:szCs w:val="20"/>
          <w:color w:val="auto"/>
        </w:rPr>
      </w:pPr>
      <w:r>
        <w:rPr>
          <w:rFonts w:ascii="Arial" w:cs="Arial" w:eastAsia="Arial" w:hAnsi="Arial"/>
          <w:sz w:val="32"/>
          <w:szCs w:val="32"/>
          <w:color w:val="FFFFFF"/>
        </w:rPr>
        <w:t>Election of</w:t>
      </w:r>
    </w:p>
    <w:p>
      <w:pPr>
        <w:spacing w:after="0" w:line="56" w:lineRule="exact"/>
        <w:rPr>
          <w:sz w:val="20"/>
          <w:szCs w:val="20"/>
          <w:color w:val="auto"/>
        </w:rPr>
      </w:pPr>
    </w:p>
    <w:p>
      <w:pPr>
        <w:ind w:left="1680"/>
        <w:spacing w:after="0"/>
        <w:rPr>
          <w:sz w:val="20"/>
          <w:szCs w:val="20"/>
          <w:color w:val="auto"/>
        </w:rPr>
      </w:pPr>
      <w:r>
        <w:rPr>
          <w:rFonts w:ascii="Arial" w:cs="Arial" w:eastAsia="Arial" w:hAnsi="Arial"/>
          <w:sz w:val="32"/>
          <w:szCs w:val="32"/>
          <w:color w:val="FFFFFF"/>
        </w:rPr>
        <w:t>Directors</w:t>
      </w:r>
    </w:p>
    <w:p>
      <w:pPr>
        <w:spacing w:after="0" w:line="384" w:lineRule="exact"/>
        <w:rPr>
          <w:sz w:val="20"/>
          <w:szCs w:val="20"/>
          <w:color w:val="auto"/>
        </w:rPr>
      </w:pPr>
    </w:p>
    <w:p>
      <w:pPr>
        <w:ind w:left="1680" w:right="1360"/>
        <w:spacing w:after="0" w:line="304" w:lineRule="auto"/>
        <w:rPr>
          <w:sz w:val="20"/>
          <w:szCs w:val="20"/>
          <w:color w:val="auto"/>
        </w:rPr>
      </w:pPr>
      <w:r>
        <w:rPr>
          <w:rFonts w:ascii="Arial" w:cs="Arial" w:eastAsia="Arial" w:hAnsi="Arial"/>
          <w:sz w:val="16"/>
          <w:szCs w:val="16"/>
          <w:color w:val="FFFFFF"/>
        </w:rPr>
        <w:t xml:space="preserve">Proxies solicited by our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these nominees unless otherwise instructed.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-821690</wp:posOffset>
            </wp:positionV>
            <wp:extent cx="1689100" cy="17316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89100" cy="17316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election of all 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nominees named below.</w:t>
      </w:r>
    </w:p>
    <w:p>
      <w:pPr>
        <w:spacing w:after="0" w:line="524" w:lineRule="exact"/>
        <w:rPr>
          <w:sz w:val="20"/>
          <w:szCs w:val="20"/>
          <w:color w:val="auto"/>
        </w:rPr>
      </w:pPr>
    </w:p>
    <w:p>
      <w:pPr>
        <w:sectPr>
          <w:pgSz w:w="11900" w:h="16838" w:orient="portrait"/>
          <w:cols w:equalWidth="0" w:num="2">
            <w:col w:w="6960" w:space="720"/>
            <w:col w:w="354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Board currently has 11 directors. Each director stands for election at each annual meeting of shareholders and holds office until his or her successor has been duly elected and qualified or the director’s earlier retirement, resignation, death or removal. In connection with his planned retirement, C.D. Baer Pettit ceased serving on the Board, effective March 1, 2026. All of the nominees presented beginning on page 21 of this Proxy Statement are directors of MSCI as of March 11, 2026. All directors were elected at the 2025 annual meeting of shareholders. The Board believes that each of the nominees brings strong skills and experience to the Board, giving the Board, as a group, the appropriate skills needed to exercise its oversight responsibilities and advise management with respect to the Company’s strategy, risks and opportunities. Our balanced director tenure distribution shown below is also part of our thoughtful Board succession planning that provides institutional continuity and deep knowledge of the Company, while also representing new perspectives.</w:t>
      </w:r>
    </w:p>
    <w:p>
      <w:pPr>
        <w:spacing w:after="0" w:line="109"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Each nominee has indicated that he or she is willing and able to serve if elected. We do not anticipate that any nominee will be unable or unwilling to stand for election, but if that happens, your proxy vote authorizes the people named as proxies to vote for another person nominated by the Board, or the Board may elect to reduce its size.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and Recommendation</w:t>
      </w:r>
    </w:p>
    <w:p>
      <w:pPr>
        <w:spacing w:after="0" w:line="1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affirmative vote of a majority of the votes cast with respect to each director’s election at our 2026 Annual Meeting, at which a quorum is present, is required to approve Proposal No. 1. Abstentions and broker non-votes shall not be treated as votes cast. For additional information on the consequences for directors who do not receive a majority of votes cast, please refer to “What happens if a director does not receive a majority of the votes required for his or her re-election?”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406400</wp:posOffset>
            </wp:positionV>
            <wp:extent cx="55689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4"/>
          <w:szCs w:val="14"/>
          <w:color w:val="auto"/>
        </w:rPr>
        <w:t>Proposal No. 1: Election of Directors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Director Core Competencies</w:t>
      </w:r>
    </w:p>
    <w:p>
      <w:pPr>
        <w:spacing w:after="0" w:line="172" w:lineRule="exact"/>
        <w:rPr>
          <w:sz w:val="20"/>
          <w:szCs w:val="20"/>
          <w:color w:val="auto"/>
        </w:rPr>
      </w:pPr>
    </w:p>
    <w:p>
      <w:pPr>
        <w:jc w:val="both"/>
        <w:ind w:right="360"/>
        <w:spacing w:after="0" w:line="303" w:lineRule="auto"/>
        <w:rPr>
          <w:sz w:val="20"/>
          <w:szCs w:val="20"/>
          <w:color w:val="auto"/>
        </w:rPr>
      </w:pPr>
      <w:r>
        <w:rPr>
          <w:rFonts w:ascii="Arial" w:cs="Arial" w:eastAsia="Arial" w:hAnsi="Arial"/>
          <w:sz w:val="14"/>
          <w:szCs w:val="14"/>
          <w:color w:val="auto"/>
        </w:rPr>
        <w:t>The following tables provide an overview of the skills, experiences, and attributes of our director nominees that the Board considers most relevant to its oversight of MSCI’s strategy, risks, and opportunities. Effective oversight requires a Board with a broad range of skills, backgrounds and perspectives to ensure robust discussion, independent thinking, strong governance and informed decision-making.</w:t>
      </w:r>
    </w:p>
    <w:p>
      <w:pPr>
        <w:spacing w:after="0" w:line="92" w:lineRule="exact"/>
        <w:rPr>
          <w:sz w:val="20"/>
          <w:szCs w:val="20"/>
          <w:color w:val="auto"/>
        </w:rPr>
      </w:pPr>
    </w:p>
    <w:p>
      <w:pPr>
        <w:ind w:right="180"/>
        <w:spacing w:after="0" w:line="325" w:lineRule="auto"/>
        <w:rPr>
          <w:sz w:val="20"/>
          <w:szCs w:val="20"/>
          <w:color w:val="auto"/>
        </w:rPr>
      </w:pPr>
      <w:r>
        <w:rPr>
          <w:rFonts w:ascii="Arial" w:cs="Arial" w:eastAsia="Arial" w:hAnsi="Arial"/>
          <w:sz w:val="14"/>
          <w:szCs w:val="14"/>
          <w:color w:val="auto"/>
        </w:rPr>
        <w:t>The below list of director competencies focus on those that the Governance Committee believes are most relevant to the current needs of the Board. Additional detail on each director nominee’s experiences and qualifications follows their biographies beginning on page 21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71755</wp:posOffset>
            </wp:positionV>
            <wp:extent cx="7166610" cy="4894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6610" cy="4894580"/>
                    </a:xfrm>
                    <a:prstGeom prst="rect">
                      <a:avLst/>
                    </a:prstGeom>
                    <a:noFill/>
                  </pic:spPr>
                </pic:pic>
              </a:graphicData>
            </a:graphic>
          </wp:anchor>
        </w:drawing>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Executive Leadership</w:t>
      </w:r>
    </w:p>
    <w:p>
      <w:pPr>
        <w:spacing w:after="0" w:line="29" w:lineRule="exact"/>
        <w:rPr>
          <w:sz w:val="20"/>
          <w:szCs w:val="20"/>
          <w:color w:val="auto"/>
        </w:rPr>
      </w:pPr>
    </w:p>
    <w:p>
      <w:pPr>
        <w:ind w:left="100" w:right="1280"/>
        <w:spacing w:after="0" w:line="244" w:lineRule="auto"/>
        <w:rPr>
          <w:sz w:val="20"/>
          <w:szCs w:val="20"/>
          <w:color w:val="auto"/>
        </w:rPr>
      </w:pPr>
      <w:r>
        <w:rPr>
          <w:rFonts w:ascii="Arial" w:cs="Arial" w:eastAsia="Arial" w:hAnsi="Arial"/>
          <w:sz w:val="14"/>
          <w:szCs w:val="14"/>
          <w:color w:val="auto"/>
        </w:rPr>
        <w:t>Directors who have served as CEOs, COOs or other senior executives possess critical experience setting and executing strategic priorities across complex organizations, which are necessary skills to help support our growth and the creation of shareholder value.</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Investment Industry Expertise</w:t>
      </w:r>
    </w:p>
    <w:p>
      <w:pPr>
        <w:spacing w:after="0" w:line="15" w:lineRule="exact"/>
        <w:rPr>
          <w:sz w:val="20"/>
          <w:szCs w:val="20"/>
          <w:color w:val="auto"/>
        </w:rPr>
      </w:pPr>
    </w:p>
    <w:p>
      <w:pPr>
        <w:ind w:left="100" w:right="720"/>
        <w:spacing w:after="0" w:line="235" w:lineRule="auto"/>
        <w:rPr>
          <w:sz w:val="20"/>
          <w:szCs w:val="20"/>
          <w:color w:val="auto"/>
        </w:rPr>
      </w:pPr>
      <w:r>
        <w:rPr>
          <w:rFonts w:ascii="Arial" w:cs="Arial" w:eastAsia="Arial" w:hAnsi="Arial"/>
          <w:sz w:val="14"/>
          <w:szCs w:val="14"/>
          <w:color w:val="auto"/>
        </w:rPr>
        <w:t>Directors with expertise in the investment industry have a deep understanding of our key clients (e.g., asset managers, banks and brokerages, asset owners, hedge fund managers, wealth managers, private assets investment professionals, insurance companies and corporates) and the use-cases for our product offerings, which provides us with valuable market and client insights.</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Global Perspective</w:t>
      </w:r>
    </w:p>
    <w:p>
      <w:pPr>
        <w:spacing w:after="0" w:line="29" w:lineRule="exact"/>
        <w:rPr>
          <w:sz w:val="20"/>
          <w:szCs w:val="20"/>
          <w:color w:val="auto"/>
        </w:rPr>
      </w:pPr>
    </w:p>
    <w:p>
      <w:pPr>
        <w:jc w:val="both"/>
        <w:ind w:left="100" w:right="720"/>
        <w:spacing w:after="0" w:line="235" w:lineRule="auto"/>
        <w:rPr>
          <w:sz w:val="20"/>
          <w:szCs w:val="20"/>
          <w:color w:val="auto"/>
        </w:rPr>
      </w:pPr>
      <w:r>
        <w:rPr>
          <w:rFonts w:ascii="Arial" w:cs="Arial" w:eastAsia="Arial" w:hAnsi="Arial"/>
          <w:sz w:val="14"/>
          <w:szCs w:val="14"/>
          <w:color w:val="auto"/>
        </w:rPr>
        <w:t>As a company with significant global operations, with businesses tied to the global capital markets and with global client and employee bases, we value directors on the MSCI Board with a global perspective who have worked outside of the United States or who have other substantial management or operational experience with international teams or organizations.</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Regulatory, Government and Public Policy Engagement</w:t>
      </w:r>
    </w:p>
    <w:p>
      <w:pPr>
        <w:spacing w:after="0" w:line="29" w:lineRule="exact"/>
        <w:rPr>
          <w:sz w:val="20"/>
          <w:szCs w:val="20"/>
          <w:color w:val="auto"/>
        </w:rPr>
      </w:pPr>
    </w:p>
    <w:p>
      <w:pPr>
        <w:jc w:val="both"/>
        <w:ind w:left="100" w:right="740"/>
        <w:spacing w:after="0" w:line="244" w:lineRule="auto"/>
        <w:rPr>
          <w:sz w:val="20"/>
          <w:szCs w:val="20"/>
          <w:color w:val="auto"/>
        </w:rPr>
      </w:pPr>
      <w:r>
        <w:rPr>
          <w:rFonts w:ascii="Arial" w:cs="Arial" w:eastAsia="Arial" w:hAnsi="Arial"/>
          <w:sz w:val="14"/>
          <w:szCs w:val="14"/>
          <w:color w:val="auto"/>
        </w:rPr>
        <w:t>Directors who have significantly interacted with, or who have served as, government officials, regulators or policymakers, provide important guidance and insight on managing complex regulatory and public policy issues affecting MSCI around the world.</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Corporate Development</w:t>
      </w:r>
    </w:p>
    <w:p>
      <w:pPr>
        <w:spacing w:after="0" w:line="29" w:lineRule="exact"/>
        <w:rPr>
          <w:sz w:val="20"/>
          <w:szCs w:val="20"/>
          <w:color w:val="auto"/>
        </w:rPr>
      </w:pPr>
    </w:p>
    <w:p>
      <w:pPr>
        <w:jc w:val="both"/>
        <w:ind w:left="100" w:right="820"/>
        <w:spacing w:after="0" w:line="235" w:lineRule="auto"/>
        <w:rPr>
          <w:sz w:val="20"/>
          <w:szCs w:val="20"/>
          <w:color w:val="auto"/>
        </w:rPr>
      </w:pPr>
      <w:r>
        <w:rPr>
          <w:rFonts w:ascii="Arial" w:cs="Arial" w:eastAsia="Arial" w:hAnsi="Arial"/>
          <w:sz w:val="14"/>
          <w:szCs w:val="14"/>
          <w:color w:val="auto"/>
        </w:rPr>
        <w:t>Directors with relevant experience identifying, assessing and executing corporate development opportunities provide insight to us as we define priorities to expand our business through mergers, partnerships and acquisitions. We believe expertise in these areas allows our Board to oversee our corporate opportunities and our efforts to grow our business and maximize return for our shareholders.</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Financial Reporting and Capital Allocation</w:t>
      </w:r>
    </w:p>
    <w:p>
      <w:pPr>
        <w:spacing w:after="0" w:line="29" w:lineRule="exact"/>
        <w:rPr>
          <w:sz w:val="20"/>
          <w:szCs w:val="20"/>
          <w:color w:val="auto"/>
        </w:rPr>
      </w:pPr>
    </w:p>
    <w:p>
      <w:pPr>
        <w:jc w:val="both"/>
        <w:ind w:left="100" w:right="940"/>
        <w:spacing w:after="0" w:line="235" w:lineRule="auto"/>
        <w:rPr>
          <w:sz w:val="20"/>
          <w:szCs w:val="20"/>
          <w:color w:val="auto"/>
        </w:rPr>
      </w:pPr>
      <w:r>
        <w:rPr>
          <w:rFonts w:ascii="Arial" w:cs="Arial" w:eastAsia="Arial" w:hAnsi="Arial"/>
          <w:sz w:val="14"/>
          <w:szCs w:val="14"/>
          <w:color w:val="auto"/>
        </w:rPr>
        <w:t>We utilize a variety of financial targets and metrics, and an understanding of accounting, financial planning, financial reporting and financial controls structures is critical to how we measure our performance and report to our investors. Additionally, we value directors who have significant experience with corporate financing activities and equity and debt markets to support appropriate oversight of our capital structure.</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Corporate/Enterprise Risk Management</w:t>
      </w:r>
    </w:p>
    <w:p>
      <w:pPr>
        <w:spacing w:after="0" w:line="29" w:lineRule="exact"/>
        <w:rPr>
          <w:sz w:val="20"/>
          <w:szCs w:val="20"/>
          <w:color w:val="auto"/>
        </w:rPr>
      </w:pPr>
    </w:p>
    <w:p>
      <w:pPr>
        <w:ind w:left="100" w:right="840"/>
        <w:spacing w:after="0" w:line="244" w:lineRule="auto"/>
        <w:rPr>
          <w:sz w:val="20"/>
          <w:szCs w:val="20"/>
          <w:color w:val="auto"/>
        </w:rPr>
      </w:pPr>
      <w:r>
        <w:rPr>
          <w:rFonts w:ascii="Arial" w:cs="Arial" w:eastAsia="Arial" w:hAnsi="Arial"/>
          <w:sz w:val="14"/>
          <w:szCs w:val="14"/>
          <w:color w:val="auto"/>
        </w:rPr>
        <w:t>In light of the Board’s role overseeing corporate/enterprise risk management and understanding the most significant risks facing MSCI, including strategic, market, operational, financial, legal, regulatory and reputational risks, we seek directors with experience in corporate/enterprise risk management and oversight.</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Client Relations, Marketing and Brand Development</w:t>
      </w:r>
    </w:p>
    <w:p>
      <w:pPr>
        <w:spacing w:after="0" w:line="29" w:lineRule="exact"/>
        <w:rPr>
          <w:sz w:val="20"/>
          <w:szCs w:val="20"/>
          <w:color w:val="auto"/>
        </w:rPr>
      </w:pPr>
    </w:p>
    <w:p>
      <w:pPr>
        <w:ind w:left="100" w:right="720"/>
        <w:spacing w:after="0" w:line="235" w:lineRule="auto"/>
        <w:rPr>
          <w:sz w:val="20"/>
          <w:szCs w:val="20"/>
          <w:color w:val="auto"/>
        </w:rPr>
      </w:pPr>
      <w:r>
        <w:rPr>
          <w:rFonts w:ascii="Arial" w:cs="Arial" w:eastAsia="Arial" w:hAnsi="Arial"/>
          <w:sz w:val="14"/>
          <w:szCs w:val="14"/>
          <w:color w:val="auto"/>
        </w:rPr>
        <w:t>Client-centricity is essential for us to understand and support our clients’ needs. In addition, marketing and brand development are increasingly important to growing our client relationships and footprint. Experience in these areas contributes to the Board’s understanding of changing market conditions and trends and helps us better deploy our innovative tools and solutions to our clients.</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Technology, Data and Cybersecurity Expertise</w:t>
      </w:r>
    </w:p>
    <w:p>
      <w:pPr>
        <w:spacing w:after="0" w:line="29" w:lineRule="exact"/>
        <w:rPr>
          <w:sz w:val="20"/>
          <w:szCs w:val="20"/>
          <w:color w:val="auto"/>
        </w:rPr>
      </w:pPr>
    </w:p>
    <w:p>
      <w:pPr>
        <w:ind w:left="100" w:right="740"/>
        <w:spacing w:after="0" w:line="235" w:lineRule="auto"/>
        <w:rPr>
          <w:sz w:val="20"/>
          <w:szCs w:val="20"/>
          <w:color w:val="auto"/>
        </w:rPr>
      </w:pPr>
      <w:r>
        <w:rPr>
          <w:rFonts w:ascii="Arial" w:cs="Arial" w:eastAsia="Arial" w:hAnsi="Arial"/>
          <w:sz w:val="14"/>
          <w:szCs w:val="14"/>
          <w:color w:val="auto"/>
        </w:rPr>
        <w:t>Directors with expertise in current relevant technology and data issues, including artificial intelligence (AI), machine learning, cybersecurity, digital transformation, data security and privacy, big data and analytics, enterprise software and emerging technologies, provide important insights and oversight with respect to the use of technology to optimize and secure our operations, drive efficiencies and product development, and deliver our solutions more effectively to our clients.</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Sustainability and Climate Practices</w:t>
      </w:r>
    </w:p>
    <w:p>
      <w:pPr>
        <w:spacing w:after="0" w:line="29" w:lineRule="exact"/>
        <w:rPr>
          <w:sz w:val="20"/>
          <w:szCs w:val="20"/>
          <w:color w:val="auto"/>
        </w:rPr>
      </w:pPr>
    </w:p>
    <w:p>
      <w:pPr>
        <w:ind w:left="100" w:right="700"/>
        <w:spacing w:after="0" w:line="235" w:lineRule="auto"/>
        <w:rPr>
          <w:sz w:val="20"/>
          <w:szCs w:val="20"/>
          <w:color w:val="auto"/>
        </w:rPr>
      </w:pPr>
      <w:r>
        <w:rPr>
          <w:rFonts w:ascii="Arial" w:cs="Arial" w:eastAsia="Arial" w:hAnsi="Arial"/>
          <w:sz w:val="14"/>
          <w:szCs w:val="14"/>
          <w:color w:val="auto"/>
        </w:rPr>
        <w:t>Experience with sustainability or climate practices, goals, tools and strategies used by investors helps us support the needs of our clients, as we enable their efforts to integrate financially material sustainability and climate considerations into their investment processes. Additionally, experience with corporate sustainability or climate practices, including initiatives such as carbon reduction or social practices, contributes to the Board’s oversight of MSCI’s corporate practices in these areas.</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A3FD6"/>
        </w:rPr>
        <w:t>Human Capital Management</w:t>
      </w:r>
    </w:p>
    <w:p>
      <w:pPr>
        <w:spacing w:after="0" w:line="29" w:lineRule="exact"/>
        <w:rPr>
          <w:sz w:val="20"/>
          <w:szCs w:val="20"/>
          <w:color w:val="auto"/>
        </w:rPr>
      </w:pPr>
    </w:p>
    <w:p>
      <w:pPr>
        <w:ind w:left="100" w:right="760"/>
        <w:spacing w:after="0" w:line="244" w:lineRule="auto"/>
        <w:rPr>
          <w:sz w:val="20"/>
          <w:szCs w:val="20"/>
          <w:color w:val="auto"/>
        </w:rPr>
      </w:pPr>
      <w:r>
        <w:rPr>
          <w:rFonts w:ascii="Arial" w:cs="Arial" w:eastAsia="Arial" w:hAnsi="Arial"/>
          <w:sz w:val="14"/>
          <w:szCs w:val="14"/>
          <w:color w:val="auto"/>
        </w:rPr>
        <w:t>MSCI is committed to maintaining a performance culture and a high level of employee engagement. Experience in talent management (attraction, development and retention), executive compensation, succession planning and culture are important areas of Board oversight.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4123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Tenure/Age/Independence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Tenure</w:t>
            </w:r>
          </w:p>
        </w:tc>
        <w:tc>
          <w:tcPr>
            <w:tcW w:w="860" w:type="dxa"/>
            <w:vAlign w:val="bottom"/>
          </w:tcPr>
          <w:p>
            <w:pPr>
              <w:ind w:left="460"/>
              <w:spacing w:after="0"/>
              <w:rPr>
                <w:sz w:val="20"/>
                <w:szCs w:val="20"/>
                <w:color w:val="auto"/>
              </w:rPr>
            </w:pPr>
            <w:r>
              <w:rPr>
                <w:rFonts w:ascii="Arial" w:cs="Arial" w:eastAsia="Arial" w:hAnsi="Arial"/>
                <w:sz w:val="14"/>
                <w:szCs w:val="14"/>
                <w:color w:val="auto"/>
              </w:rPr>
              <w:t>12</w:t>
            </w:r>
          </w:p>
        </w:tc>
        <w:tc>
          <w:tcPr>
            <w:tcW w:w="620" w:type="dxa"/>
            <w:vAlign w:val="bottom"/>
          </w:tcPr>
          <w:p>
            <w:pPr>
              <w:ind w:left="240"/>
              <w:spacing w:after="0"/>
              <w:rPr>
                <w:sz w:val="20"/>
                <w:szCs w:val="20"/>
                <w:color w:val="auto"/>
              </w:rPr>
            </w:pPr>
            <w:r>
              <w:rPr>
                <w:rFonts w:ascii="Arial" w:cs="Arial" w:eastAsia="Arial" w:hAnsi="Arial"/>
                <w:sz w:val="14"/>
                <w:szCs w:val="14"/>
                <w:color w:val="auto"/>
              </w:rPr>
              <w:t>18</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4</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9</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6</w:t>
            </w:r>
          </w:p>
        </w:tc>
        <w:tc>
          <w:tcPr>
            <w:tcW w:w="620" w:type="dxa"/>
            <w:vAlign w:val="bottom"/>
          </w:tcPr>
          <w:p>
            <w:pPr>
              <w:ind w:left="240"/>
              <w:spacing w:after="0"/>
              <w:rPr>
                <w:sz w:val="20"/>
                <w:szCs w:val="20"/>
                <w:color w:val="auto"/>
              </w:rPr>
            </w:pPr>
            <w:r>
              <w:rPr>
                <w:rFonts w:ascii="Arial" w:cs="Arial" w:eastAsia="Arial" w:hAnsi="Arial"/>
                <w:sz w:val="14"/>
                <w:szCs w:val="14"/>
                <w:color w:val="auto"/>
              </w:rPr>
              <w:t>18</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2</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8</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5</w:t>
            </w:r>
          </w:p>
        </w:tc>
        <w:tc>
          <w:tcPr>
            <w:tcW w:w="620" w:type="dxa"/>
            <w:vAlign w:val="bottom"/>
          </w:tcPr>
          <w:p>
            <w:pPr>
              <w:jc w:val="right"/>
              <w:ind w:right="216"/>
              <w:spacing w:after="0"/>
              <w:rPr>
                <w:sz w:val="20"/>
                <w:szCs w:val="20"/>
                <w:color w:val="auto"/>
              </w:rPr>
            </w:pPr>
            <w:r>
              <w:rPr>
                <w:rFonts w:ascii="Arial" w:cs="Arial" w:eastAsia="Arial" w:hAnsi="Arial"/>
                <w:sz w:val="14"/>
                <w:szCs w:val="14"/>
                <w:color w:val="auto"/>
              </w:rPr>
              <w:t>6</w:t>
            </w:r>
          </w:p>
        </w:tc>
        <w:tc>
          <w:tcPr>
            <w:tcW w:w="640" w:type="dxa"/>
            <w:vAlign w:val="bottom"/>
          </w:tcPr>
          <w:p>
            <w:pPr>
              <w:jc w:val="right"/>
              <w:ind w:right="216"/>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9"/>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4"/>
                <w:szCs w:val="14"/>
                <w:color w:val="auto"/>
              </w:rPr>
              <w:t>Age</w:t>
            </w:r>
          </w:p>
        </w:tc>
        <w:tc>
          <w:tcPr>
            <w:tcW w:w="860" w:type="dxa"/>
            <w:vAlign w:val="bottom"/>
          </w:tcPr>
          <w:p>
            <w:pPr>
              <w:ind w:left="460"/>
              <w:spacing w:after="0"/>
              <w:rPr>
                <w:sz w:val="20"/>
                <w:szCs w:val="20"/>
                <w:color w:val="auto"/>
              </w:rPr>
            </w:pPr>
            <w:r>
              <w:rPr>
                <w:rFonts w:ascii="Arial" w:cs="Arial" w:eastAsia="Arial" w:hAnsi="Arial"/>
                <w:sz w:val="14"/>
                <w:szCs w:val="14"/>
                <w:color w:val="auto"/>
              </w:rPr>
              <w:t>66</w:t>
            </w:r>
          </w:p>
        </w:tc>
        <w:tc>
          <w:tcPr>
            <w:tcW w:w="620" w:type="dxa"/>
            <w:vAlign w:val="bottom"/>
          </w:tcPr>
          <w:p>
            <w:pPr>
              <w:ind w:left="240"/>
              <w:spacing w:after="0"/>
              <w:rPr>
                <w:sz w:val="20"/>
                <w:szCs w:val="20"/>
                <w:color w:val="auto"/>
              </w:rPr>
            </w:pPr>
            <w:r>
              <w:rPr>
                <w:rFonts w:ascii="Arial" w:cs="Arial" w:eastAsia="Arial" w:hAnsi="Arial"/>
                <w:sz w:val="14"/>
                <w:szCs w:val="14"/>
                <w:color w:val="auto"/>
              </w:rPr>
              <w:t>67</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60</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67</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56</w:t>
            </w:r>
          </w:p>
        </w:tc>
        <w:tc>
          <w:tcPr>
            <w:tcW w:w="620" w:type="dxa"/>
            <w:vAlign w:val="bottom"/>
          </w:tcPr>
          <w:p>
            <w:pPr>
              <w:ind w:left="240"/>
              <w:spacing w:after="0"/>
              <w:rPr>
                <w:sz w:val="20"/>
                <w:szCs w:val="20"/>
                <w:color w:val="auto"/>
              </w:rPr>
            </w:pPr>
            <w:r>
              <w:rPr>
                <w:rFonts w:ascii="Arial" w:cs="Arial" w:eastAsia="Arial" w:hAnsi="Arial"/>
                <w:sz w:val="14"/>
                <w:szCs w:val="14"/>
                <w:color w:val="auto"/>
              </w:rPr>
              <w:t>65</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60</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59</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61</w:t>
            </w:r>
          </w:p>
        </w:tc>
        <w:tc>
          <w:tcPr>
            <w:tcW w:w="620" w:type="dxa"/>
            <w:vAlign w:val="bottom"/>
          </w:tcPr>
          <w:p>
            <w:pPr>
              <w:jc w:val="right"/>
              <w:ind w:right="176"/>
              <w:spacing w:after="0"/>
              <w:rPr>
                <w:sz w:val="20"/>
                <w:szCs w:val="20"/>
                <w:color w:val="auto"/>
              </w:rPr>
            </w:pPr>
            <w:r>
              <w:rPr>
                <w:rFonts w:ascii="Arial" w:cs="Arial" w:eastAsia="Arial" w:hAnsi="Arial"/>
                <w:sz w:val="14"/>
                <w:szCs w:val="14"/>
                <w:color w:val="auto"/>
              </w:rPr>
              <w:t>69</w:t>
            </w: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89"/>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4040" w:type="dxa"/>
            <w:vAlign w:val="bottom"/>
          </w:tcPr>
          <w:p>
            <w:pPr>
              <w:ind w:left="20"/>
              <w:spacing w:after="0"/>
              <w:rPr>
                <w:sz w:val="20"/>
                <w:szCs w:val="20"/>
                <w:color w:val="auto"/>
              </w:rPr>
            </w:pPr>
            <w:r>
              <w:rPr>
                <w:rFonts w:ascii="Arial" w:cs="Arial" w:eastAsia="Arial" w:hAnsi="Arial"/>
                <w:sz w:val="14"/>
                <w:szCs w:val="14"/>
                <w:color w:val="auto"/>
              </w:rPr>
              <w:t>Independence</w:t>
            </w:r>
          </w:p>
        </w:tc>
        <w:tc>
          <w:tcPr>
            <w:tcW w:w="860" w:type="dxa"/>
            <w:vAlign w:val="bottom"/>
          </w:tcPr>
          <w:p>
            <w:pPr>
              <w:ind w:left="500"/>
              <w:spacing w:after="0"/>
              <w:rPr>
                <w:sz w:val="20"/>
                <w:szCs w:val="20"/>
                <w:color w:val="auto"/>
              </w:rPr>
            </w:pPr>
            <w:r>
              <w:rPr>
                <w:rFonts w:ascii="Webdings" w:cs="Webdings" w:eastAsia="Webdings" w:hAnsi="Webdings"/>
                <w:sz w:val="11"/>
                <w:szCs w:val="11"/>
                <w:b w:val="1"/>
                <w:bCs w:val="1"/>
                <w:color w:val="0626A9"/>
              </w:rPr>
              <w:t>n</w:t>
            </w:r>
          </w:p>
        </w:tc>
        <w:tc>
          <w:tcPr>
            <w:tcW w:w="620" w:type="dxa"/>
            <w:vAlign w:val="bottom"/>
          </w:tcPr>
          <w:p>
            <w:pPr>
              <w:spacing w:after="0"/>
              <w:rPr>
                <w:sz w:val="21"/>
                <w:szCs w:val="21"/>
                <w:color w:val="auto"/>
              </w:rPr>
            </w:pPr>
          </w:p>
        </w:tc>
        <w:tc>
          <w:tcPr>
            <w:tcW w:w="640" w:type="dxa"/>
            <w:vAlign w:val="bottom"/>
          </w:tcPr>
          <w:p>
            <w:pPr>
              <w:ind w:left="280"/>
              <w:spacing w:after="0"/>
              <w:rPr>
                <w:sz w:val="20"/>
                <w:szCs w:val="20"/>
                <w:color w:val="auto"/>
              </w:rPr>
            </w:pPr>
            <w:r>
              <w:rPr>
                <w:rFonts w:ascii="Webdings" w:cs="Webdings" w:eastAsia="Webdings" w:hAnsi="Webdings"/>
                <w:sz w:val="11"/>
                <w:szCs w:val="11"/>
                <w:b w:val="1"/>
                <w:bCs w:val="1"/>
                <w:color w:val="0626A9"/>
              </w:rPr>
              <w:t>n</w:t>
            </w:r>
          </w:p>
        </w:tc>
        <w:tc>
          <w:tcPr>
            <w:tcW w:w="64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64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62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640" w:type="dxa"/>
            <w:vAlign w:val="bottom"/>
          </w:tcPr>
          <w:p>
            <w:pPr>
              <w:ind w:left="280"/>
              <w:spacing w:after="0"/>
              <w:rPr>
                <w:sz w:val="20"/>
                <w:szCs w:val="20"/>
                <w:color w:val="auto"/>
              </w:rPr>
            </w:pPr>
            <w:r>
              <w:rPr>
                <w:rFonts w:ascii="Webdings" w:cs="Webdings" w:eastAsia="Webdings" w:hAnsi="Webdings"/>
                <w:sz w:val="11"/>
                <w:szCs w:val="11"/>
                <w:b w:val="1"/>
                <w:bCs w:val="1"/>
                <w:color w:val="0626A9"/>
              </w:rPr>
              <w:t>n</w:t>
            </w:r>
          </w:p>
        </w:tc>
        <w:tc>
          <w:tcPr>
            <w:tcW w:w="64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64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62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640" w:type="dxa"/>
            <w:vAlign w:val="bottom"/>
          </w:tcPr>
          <w:p>
            <w:pPr>
              <w:ind w:left="26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89"/>
        </w:trPr>
        <w:tc>
          <w:tcPr>
            <w:tcW w:w="4040" w:type="dxa"/>
            <w:vAlign w:val="bottom"/>
            <w:tcBorders>
              <w:bottom w:val="single" w:sz="8" w:color="1A3FD6"/>
            </w:tcBorders>
          </w:tcPr>
          <w:p>
            <w:pPr>
              <w:spacing w:after="0"/>
              <w:rPr>
                <w:sz w:val="7"/>
                <w:szCs w:val="7"/>
                <w:color w:val="auto"/>
              </w:rPr>
            </w:pPr>
          </w:p>
        </w:tc>
        <w:tc>
          <w:tcPr>
            <w:tcW w:w="86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Director Core Competencies</w:t>
            </w: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1A3FD6"/>
            </w:tcBorders>
          </w:tcPr>
          <w:p>
            <w:pPr>
              <w:spacing w:after="0"/>
              <w:rPr>
                <w:sz w:val="7"/>
                <w:szCs w:val="7"/>
                <w:color w:val="auto"/>
              </w:rPr>
            </w:pPr>
          </w:p>
        </w:tc>
        <w:tc>
          <w:tcPr>
            <w:tcW w:w="86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Executive Leadership</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Investment Industry Expertise</w:t>
            </w:r>
          </w:p>
        </w:tc>
        <w:tc>
          <w:tcPr>
            <w:tcW w:w="86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Global Perspective</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Regulatory, Government and</w:t>
            </w:r>
          </w:p>
        </w:tc>
        <w:tc>
          <w:tcPr>
            <w:tcW w:w="860" w:type="dxa"/>
            <w:vAlign w:val="bottom"/>
          </w:tcPr>
          <w:p>
            <w:pPr>
              <w:spacing w:after="0"/>
              <w:rPr>
                <w:sz w:val="20"/>
                <w:szCs w:val="20"/>
                <w:color w:val="auto"/>
              </w:rPr>
            </w:pPr>
          </w:p>
        </w:tc>
        <w:tc>
          <w:tcPr>
            <w:tcW w:w="620" w:type="dxa"/>
            <w:vAlign w:val="bottom"/>
            <w:vMerge w:val="restart"/>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vMerge w:val="restart"/>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1A3FD6"/>
              </w:rPr>
              <w:t>Public Policy Engagement</w:t>
            </w:r>
          </w:p>
        </w:tc>
        <w:tc>
          <w:tcPr>
            <w:tcW w:w="8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Corporate Development</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Financial Reporting and Capital Allocation</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Corporate/Enterprise Risk Management</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Client Relations, Marketing and Brand Development</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Technology, Data and</w:t>
            </w: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vMerge w:val="restart"/>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vMerge w:val="restart"/>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vMerge w:val="restart"/>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vMerge w:val="restart"/>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spacing w:after="0"/>
              <w:rPr>
                <w:sz w:val="20"/>
                <w:szCs w:val="20"/>
                <w:color w:val="auto"/>
              </w:rPr>
            </w:pPr>
          </w:p>
        </w:tc>
        <w:tc>
          <w:tcPr>
            <w:tcW w:w="640" w:type="dxa"/>
            <w:vAlign w:val="bottom"/>
            <w:vMerge w:val="restart"/>
          </w:tcPr>
          <w:p>
            <w:pPr>
              <w:ind w:left="260"/>
              <w:spacing w:after="0"/>
              <w:rPr>
                <w:sz w:val="20"/>
                <w:szCs w:val="20"/>
                <w:color w:val="auto"/>
              </w:rPr>
            </w:pPr>
            <w:r>
              <w:rPr>
                <w:rFonts w:ascii="Webdings" w:cs="Webdings" w:eastAsia="Webdings" w:hAnsi="Webdings"/>
                <w:sz w:val="13"/>
                <w:szCs w:val="13"/>
                <w:b w:val="1"/>
                <w:bCs w:val="1"/>
                <w:color w:val="1A3FD6"/>
              </w:rPr>
              <w:t>n</w:t>
            </w:r>
          </w:p>
        </w:tc>
        <w:tc>
          <w:tcPr>
            <w:tcW w:w="0" w:type="dxa"/>
            <w:vAlign w:val="bottom"/>
          </w:tcPr>
          <w:p>
            <w:pPr>
              <w:spacing w:after="0"/>
              <w:rPr>
                <w:sz w:val="1"/>
                <w:szCs w:val="1"/>
                <w:color w:val="auto"/>
              </w:rPr>
            </w:pPr>
          </w:p>
        </w:tc>
      </w:tr>
      <w:tr>
        <w:trPr>
          <w:trHeight w:val="60"/>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1A3FD6"/>
              </w:rPr>
              <w:t>Cybersecurity Expertise</w:t>
            </w:r>
          </w:p>
        </w:tc>
        <w:tc>
          <w:tcPr>
            <w:tcW w:w="8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Sustainability and Climate Practices</w:t>
            </w:r>
          </w:p>
        </w:tc>
        <w:tc>
          <w:tcPr>
            <w:tcW w:w="86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040" w:type="dxa"/>
            <w:vAlign w:val="bottom"/>
            <w:tcBorders>
              <w:bottom w:val="single" w:sz="8" w:color="E6E7E8"/>
            </w:tcBorders>
          </w:tcPr>
          <w:p>
            <w:pPr>
              <w:spacing w:after="0"/>
              <w:rPr>
                <w:sz w:val="7"/>
                <w:szCs w:val="7"/>
                <w:color w:val="auto"/>
              </w:rPr>
            </w:pPr>
          </w:p>
        </w:tc>
        <w:tc>
          <w:tcPr>
            <w:tcW w:w="86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620" w:type="dxa"/>
            <w:vAlign w:val="bottom"/>
            <w:tcBorders>
              <w:bottom w:val="single" w:sz="8" w:color="E6E7E8"/>
            </w:tcBorders>
          </w:tcPr>
          <w:p>
            <w:pPr>
              <w:spacing w:after="0"/>
              <w:rPr>
                <w:sz w:val="7"/>
                <w:szCs w:val="7"/>
                <w:color w:val="auto"/>
              </w:rPr>
            </w:pPr>
          </w:p>
        </w:tc>
        <w:tc>
          <w:tcPr>
            <w:tcW w:w="64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40" w:type="dxa"/>
            <w:vAlign w:val="bottom"/>
          </w:tcPr>
          <w:p>
            <w:pPr>
              <w:ind w:left="20"/>
              <w:spacing w:after="0"/>
              <w:rPr>
                <w:sz w:val="20"/>
                <w:szCs w:val="20"/>
                <w:color w:val="auto"/>
              </w:rPr>
            </w:pPr>
            <w:r>
              <w:rPr>
                <w:rFonts w:ascii="Arial" w:cs="Arial" w:eastAsia="Arial" w:hAnsi="Arial"/>
                <w:sz w:val="14"/>
                <w:szCs w:val="14"/>
                <w:b w:val="1"/>
                <w:bCs w:val="1"/>
                <w:color w:val="1A3FD6"/>
              </w:rPr>
              <w:t>Human Capital Management</w:t>
            </w:r>
          </w:p>
        </w:tc>
        <w:tc>
          <w:tcPr>
            <w:tcW w:w="860" w:type="dxa"/>
            <w:vAlign w:val="bottom"/>
          </w:tcPr>
          <w:p>
            <w:pPr>
              <w:ind w:left="48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spacing w:after="0"/>
              <w:rPr>
                <w:sz w:val="21"/>
                <w:szCs w:val="21"/>
                <w:color w:val="auto"/>
              </w:rPr>
            </w:pPr>
          </w:p>
        </w:tc>
        <w:tc>
          <w:tcPr>
            <w:tcW w:w="620" w:type="dxa"/>
            <w:vAlign w:val="bottom"/>
          </w:tcPr>
          <w:p>
            <w:pPr>
              <w:ind w:left="24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620" w:type="dxa"/>
            <w:vAlign w:val="bottom"/>
          </w:tcPr>
          <w:p>
            <w:pPr>
              <w:spacing w:after="0"/>
              <w:rPr>
                <w:sz w:val="21"/>
                <w:szCs w:val="21"/>
                <w:color w:val="auto"/>
              </w:rPr>
            </w:pPr>
          </w:p>
        </w:tc>
        <w:tc>
          <w:tcPr>
            <w:tcW w:w="640" w:type="dxa"/>
            <w:vAlign w:val="bottom"/>
          </w:tcPr>
          <w:p>
            <w:pPr>
              <w:ind w:left="260"/>
              <w:spacing w:after="0"/>
              <w:rPr>
                <w:sz w:val="20"/>
                <w:szCs w:val="20"/>
                <w:color w:val="auto"/>
              </w:rPr>
            </w:pPr>
            <w:r>
              <w:rPr>
                <w:rFonts w:ascii="Webdings" w:cs="Webdings" w:eastAsia="Webdings" w:hAnsi="Webdings"/>
                <w:sz w:val="13"/>
                <w:szCs w:val="13"/>
                <w:b w:val="1"/>
                <w:bCs w:val="1"/>
                <w:color w:val="1A3FD6"/>
              </w:rPr>
              <w:t>n</w:t>
            </w:r>
          </w:p>
        </w:tc>
        <w:tc>
          <w:tcPr>
            <w:tcW w:w="0" w:type="dxa"/>
            <w:vAlign w:val="bottom"/>
          </w:tcPr>
          <w:p>
            <w:pPr>
              <w:spacing w:after="0"/>
              <w:rPr>
                <w:sz w:val="1"/>
                <w:szCs w:val="1"/>
                <w:color w:val="auto"/>
              </w:rPr>
            </w:pPr>
          </w:p>
        </w:tc>
      </w:tr>
      <w:tr>
        <w:trPr>
          <w:trHeight w:val="83"/>
        </w:trPr>
        <w:tc>
          <w:tcPr>
            <w:tcW w:w="4040" w:type="dxa"/>
            <w:vAlign w:val="bottom"/>
            <w:tcBorders>
              <w:bottom w:val="single" w:sz="8" w:color="1A3FD6"/>
            </w:tcBorders>
          </w:tcPr>
          <w:p>
            <w:pPr>
              <w:spacing w:after="0"/>
              <w:rPr>
                <w:sz w:val="7"/>
                <w:szCs w:val="7"/>
                <w:color w:val="auto"/>
              </w:rPr>
            </w:pPr>
          </w:p>
        </w:tc>
        <w:tc>
          <w:tcPr>
            <w:tcW w:w="86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620" w:type="dxa"/>
            <w:vAlign w:val="bottom"/>
            <w:tcBorders>
              <w:bottom w:val="single" w:sz="8" w:color="1A3FD6"/>
            </w:tcBorders>
          </w:tcPr>
          <w:p>
            <w:pPr>
              <w:spacing w:after="0"/>
              <w:rPr>
                <w:sz w:val="7"/>
                <w:szCs w:val="7"/>
                <w:color w:val="auto"/>
              </w:rPr>
            </w:pPr>
          </w:p>
        </w:tc>
        <w:tc>
          <w:tcPr>
            <w:tcW w:w="640" w:type="dxa"/>
            <w:vAlign w:val="bottom"/>
            <w:tcBorders>
              <w:bottom w:val="single" w:sz="8" w:color="1A3FD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Demographics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071245" cy="1071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71245" cy="1071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234440" cy="12344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234440" cy="12344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1234440" cy="1234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240" w:space="720"/>
            <w:col w:w="2240" w:space="720"/>
            <w:col w:w="2040" w:space="720"/>
            <w:col w:w="25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2380" w:type="dxa"/>
            <w:vAlign w:val="bottom"/>
          </w:tcPr>
          <w:p>
            <w:pPr>
              <w:spacing w:after="0"/>
              <w:rPr>
                <w:sz w:val="20"/>
                <w:szCs w:val="20"/>
                <w:color w:val="auto"/>
              </w:rPr>
            </w:pPr>
            <w:r>
              <w:rPr>
                <w:rFonts w:ascii="Wingdings" w:cs="Wingdings" w:eastAsia="Wingdings" w:hAnsi="Wingdings"/>
                <w:sz w:val="20"/>
                <w:szCs w:val="20"/>
                <w:b w:val="1"/>
                <w:bCs w:val="1"/>
                <w:color w:val="16A3B6"/>
              </w:rPr>
              <w:t xml:space="preserve">l </w:t>
            </w:r>
            <w:r>
              <w:rPr>
                <w:rFonts w:ascii="Arial" w:cs="Arial" w:eastAsia="Arial" w:hAnsi="Arial"/>
                <w:sz w:val="14"/>
                <w:szCs w:val="14"/>
                <w:color w:val="000000"/>
              </w:rPr>
              <w:t>Women</w:t>
            </w:r>
          </w:p>
        </w:tc>
        <w:tc>
          <w:tcPr>
            <w:tcW w:w="2740" w:type="dxa"/>
            <w:vAlign w:val="bottom"/>
          </w:tcPr>
          <w:p>
            <w:pPr>
              <w:ind w:left="580"/>
              <w:spacing w:after="0"/>
              <w:rPr>
                <w:sz w:val="20"/>
                <w:szCs w:val="20"/>
                <w:color w:val="auto"/>
              </w:rPr>
            </w:pPr>
            <w:r>
              <w:rPr>
                <w:rFonts w:ascii="Wingdings" w:cs="Wingdings" w:eastAsia="Wingdings" w:hAnsi="Wingdings"/>
                <w:sz w:val="20"/>
                <w:szCs w:val="20"/>
                <w:b w:val="1"/>
                <w:bCs w:val="1"/>
                <w:color w:val="16A3B6"/>
              </w:rPr>
              <w:t xml:space="preserve">l </w:t>
            </w:r>
            <w:r>
              <w:rPr>
                <w:rFonts w:ascii="Arial" w:cs="Arial" w:eastAsia="Arial" w:hAnsi="Arial"/>
                <w:sz w:val="14"/>
                <w:szCs w:val="14"/>
                <w:color w:val="000000"/>
              </w:rPr>
              <w:t>Independent</w:t>
            </w:r>
          </w:p>
        </w:tc>
        <w:tc>
          <w:tcPr>
            <w:tcW w:w="2680" w:type="dxa"/>
            <w:vAlign w:val="bottom"/>
          </w:tcPr>
          <w:p>
            <w:pPr>
              <w:ind w:left="780"/>
              <w:spacing w:after="0"/>
              <w:rPr>
                <w:sz w:val="20"/>
                <w:szCs w:val="20"/>
                <w:color w:val="auto"/>
              </w:rPr>
            </w:pPr>
            <w:r>
              <w:rPr>
                <w:rFonts w:ascii="Wingdings" w:cs="Wingdings" w:eastAsia="Wingdings" w:hAnsi="Wingdings"/>
                <w:sz w:val="20"/>
                <w:szCs w:val="20"/>
                <w:b w:val="1"/>
                <w:bCs w:val="1"/>
                <w:color w:val="16A3B6"/>
              </w:rPr>
              <w:t xml:space="preserve">l </w:t>
            </w:r>
            <w:r>
              <w:rPr>
                <w:rFonts w:ascii="Arial" w:cs="Arial" w:eastAsia="Arial" w:hAnsi="Arial"/>
                <w:sz w:val="14"/>
                <w:szCs w:val="14"/>
                <w:color w:val="000000"/>
              </w:rPr>
              <w:t>0 - 5 years</w:t>
            </w:r>
          </w:p>
        </w:tc>
        <w:tc>
          <w:tcPr>
            <w:tcW w:w="1960" w:type="dxa"/>
            <w:vAlign w:val="bottom"/>
          </w:tcPr>
          <w:p>
            <w:pPr>
              <w:ind w:left="860"/>
              <w:spacing w:after="0"/>
              <w:rPr>
                <w:sz w:val="20"/>
                <w:szCs w:val="20"/>
                <w:color w:val="auto"/>
              </w:rPr>
            </w:pPr>
            <w:r>
              <w:rPr>
                <w:rFonts w:ascii="Wingdings" w:cs="Wingdings" w:eastAsia="Wingdings" w:hAnsi="Wingdings"/>
                <w:sz w:val="20"/>
                <w:szCs w:val="20"/>
                <w:b w:val="1"/>
                <w:bCs w:val="1"/>
                <w:color w:val="16A3B6"/>
                <w:w w:val="92"/>
              </w:rPr>
              <w:t xml:space="preserve">l </w:t>
            </w:r>
            <w:r>
              <w:rPr>
                <w:rFonts w:ascii="Arial" w:cs="Arial" w:eastAsia="Arial" w:hAnsi="Arial"/>
                <w:sz w:val="14"/>
                <w:szCs w:val="14"/>
                <w:color w:val="000000"/>
                <w:w w:val="92"/>
              </w:rPr>
              <w:t>50 - 56 years</w:t>
            </w:r>
          </w:p>
        </w:tc>
      </w:tr>
      <w:tr>
        <w:trPr>
          <w:trHeight w:val="310"/>
        </w:trPr>
        <w:tc>
          <w:tcPr>
            <w:tcW w:w="2380" w:type="dxa"/>
            <w:vAlign w:val="bottom"/>
          </w:tcPr>
          <w:p>
            <w:pPr>
              <w:spacing w:after="0"/>
              <w:rPr>
                <w:sz w:val="20"/>
                <w:szCs w:val="20"/>
                <w:color w:val="auto"/>
              </w:rPr>
            </w:pPr>
            <w:r>
              <w:rPr>
                <w:rFonts w:ascii="Wingdings" w:cs="Wingdings" w:eastAsia="Wingdings" w:hAnsi="Wingdings"/>
                <w:sz w:val="20"/>
                <w:szCs w:val="20"/>
                <w:b w:val="1"/>
                <w:bCs w:val="1"/>
                <w:color w:val="529200"/>
              </w:rPr>
              <w:t xml:space="preserve">l </w:t>
            </w:r>
            <w:r>
              <w:rPr>
                <w:rFonts w:ascii="Arial" w:cs="Arial" w:eastAsia="Arial" w:hAnsi="Arial"/>
                <w:sz w:val="14"/>
                <w:szCs w:val="14"/>
                <w:color w:val="000000"/>
              </w:rPr>
              <w:t>Men</w:t>
            </w:r>
          </w:p>
        </w:tc>
        <w:tc>
          <w:tcPr>
            <w:tcW w:w="2740" w:type="dxa"/>
            <w:vAlign w:val="bottom"/>
          </w:tcPr>
          <w:p>
            <w:pPr>
              <w:ind w:left="580"/>
              <w:spacing w:after="0"/>
              <w:rPr>
                <w:sz w:val="20"/>
                <w:szCs w:val="20"/>
                <w:color w:val="auto"/>
              </w:rPr>
            </w:pPr>
            <w:r>
              <w:rPr>
                <w:rFonts w:ascii="Wingdings" w:cs="Wingdings" w:eastAsia="Wingdings" w:hAnsi="Wingdings"/>
                <w:sz w:val="20"/>
                <w:szCs w:val="20"/>
                <w:b w:val="1"/>
                <w:bCs w:val="1"/>
                <w:color w:val="529200"/>
              </w:rPr>
              <w:t xml:space="preserve">l </w:t>
            </w:r>
            <w:r>
              <w:rPr>
                <w:rFonts w:ascii="Arial" w:cs="Arial" w:eastAsia="Arial" w:hAnsi="Arial"/>
                <w:sz w:val="14"/>
                <w:szCs w:val="14"/>
                <w:color w:val="000000"/>
              </w:rPr>
              <w:t>Non-Independent</w:t>
            </w:r>
          </w:p>
        </w:tc>
        <w:tc>
          <w:tcPr>
            <w:tcW w:w="2680" w:type="dxa"/>
            <w:vAlign w:val="bottom"/>
          </w:tcPr>
          <w:p>
            <w:pPr>
              <w:ind w:left="780"/>
              <w:spacing w:after="0"/>
              <w:rPr>
                <w:sz w:val="20"/>
                <w:szCs w:val="20"/>
                <w:color w:val="auto"/>
              </w:rPr>
            </w:pPr>
            <w:r>
              <w:rPr>
                <w:rFonts w:ascii="Wingdings" w:cs="Wingdings" w:eastAsia="Wingdings" w:hAnsi="Wingdings"/>
                <w:sz w:val="20"/>
                <w:szCs w:val="20"/>
                <w:b w:val="1"/>
                <w:bCs w:val="1"/>
                <w:color w:val="529200"/>
              </w:rPr>
              <w:t xml:space="preserve">l </w:t>
            </w:r>
            <w:r>
              <w:rPr>
                <w:rFonts w:ascii="Arial" w:cs="Arial" w:eastAsia="Arial" w:hAnsi="Arial"/>
                <w:sz w:val="14"/>
                <w:szCs w:val="14"/>
                <w:color w:val="000000"/>
              </w:rPr>
              <w:t>&gt;5 - 9 years</w:t>
            </w:r>
          </w:p>
        </w:tc>
        <w:tc>
          <w:tcPr>
            <w:tcW w:w="1960" w:type="dxa"/>
            <w:vAlign w:val="bottom"/>
          </w:tcPr>
          <w:p>
            <w:pPr>
              <w:ind w:left="860"/>
              <w:spacing w:after="0"/>
              <w:rPr>
                <w:sz w:val="20"/>
                <w:szCs w:val="20"/>
                <w:color w:val="auto"/>
              </w:rPr>
            </w:pPr>
            <w:r>
              <w:rPr>
                <w:rFonts w:ascii="Wingdings" w:cs="Wingdings" w:eastAsia="Wingdings" w:hAnsi="Wingdings"/>
                <w:sz w:val="20"/>
                <w:szCs w:val="20"/>
                <w:b w:val="1"/>
                <w:bCs w:val="1"/>
                <w:color w:val="529200"/>
                <w:w w:val="92"/>
              </w:rPr>
              <w:t xml:space="preserve">l </w:t>
            </w:r>
            <w:r>
              <w:rPr>
                <w:rFonts w:ascii="Arial" w:cs="Arial" w:eastAsia="Arial" w:hAnsi="Arial"/>
                <w:sz w:val="14"/>
                <w:szCs w:val="14"/>
                <w:color w:val="000000"/>
                <w:w w:val="92"/>
              </w:rPr>
              <w:t>57 - 63 years</w:t>
            </w:r>
          </w:p>
        </w:tc>
      </w:tr>
      <w:tr>
        <w:trPr>
          <w:trHeight w:val="310"/>
        </w:trPr>
        <w:tc>
          <w:tcPr>
            <w:tcW w:w="2380" w:type="dxa"/>
            <w:vAlign w:val="bottom"/>
          </w:tcPr>
          <w:p>
            <w:pPr>
              <w:spacing w:after="0"/>
              <w:rPr>
                <w:sz w:val="20"/>
                <w:szCs w:val="20"/>
                <w:color w:val="auto"/>
              </w:rPr>
            </w:pPr>
            <w:r>
              <w:rPr>
                <w:rFonts w:ascii="Wingdings" w:cs="Wingdings" w:eastAsia="Wingdings" w:hAnsi="Wingdings"/>
                <w:sz w:val="20"/>
                <w:szCs w:val="20"/>
                <w:b w:val="1"/>
                <w:bCs w:val="1"/>
                <w:color w:val="D61A69"/>
              </w:rPr>
              <w:t xml:space="preserve">l </w:t>
            </w:r>
            <w:r>
              <w:rPr>
                <w:rFonts w:ascii="Arial" w:cs="Arial" w:eastAsia="Arial" w:hAnsi="Arial"/>
                <w:sz w:val="14"/>
                <w:szCs w:val="14"/>
                <w:color w:val="000000"/>
              </w:rPr>
              <w:t>African American/ Black</w:t>
            </w:r>
          </w:p>
        </w:tc>
        <w:tc>
          <w:tcPr>
            <w:tcW w:w="274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Wingdings" w:cs="Wingdings" w:eastAsia="Wingdings" w:hAnsi="Wingdings"/>
                <w:sz w:val="20"/>
                <w:szCs w:val="20"/>
                <w:b w:val="1"/>
                <w:bCs w:val="1"/>
                <w:color w:val="D61A69"/>
              </w:rPr>
              <w:t xml:space="preserve">l </w:t>
            </w:r>
            <w:r>
              <w:rPr>
                <w:rFonts w:ascii="Arial" w:cs="Arial" w:eastAsia="Arial" w:hAnsi="Arial"/>
                <w:sz w:val="14"/>
                <w:szCs w:val="14"/>
                <w:color w:val="000000"/>
              </w:rPr>
              <w:t>&gt;9 years</w:t>
            </w:r>
          </w:p>
        </w:tc>
        <w:tc>
          <w:tcPr>
            <w:tcW w:w="1960" w:type="dxa"/>
            <w:vAlign w:val="bottom"/>
          </w:tcPr>
          <w:p>
            <w:pPr>
              <w:ind w:left="860"/>
              <w:spacing w:after="0"/>
              <w:rPr>
                <w:sz w:val="20"/>
                <w:szCs w:val="20"/>
                <w:color w:val="auto"/>
              </w:rPr>
            </w:pPr>
            <w:r>
              <w:rPr>
                <w:rFonts w:ascii="Wingdings" w:cs="Wingdings" w:eastAsia="Wingdings" w:hAnsi="Wingdings"/>
                <w:sz w:val="20"/>
                <w:szCs w:val="20"/>
                <w:b w:val="1"/>
                <w:bCs w:val="1"/>
                <w:color w:val="D61A69"/>
              </w:rPr>
              <w:t xml:space="preserve">l </w:t>
            </w:r>
            <w:r>
              <w:rPr>
                <w:rFonts w:ascii="Arial" w:cs="Arial" w:eastAsia="Arial" w:hAnsi="Arial"/>
                <w:sz w:val="14"/>
                <w:szCs w:val="14"/>
                <w:color w:val="000000"/>
              </w:rPr>
              <w:t>&gt;63 years</w:t>
            </w:r>
          </w:p>
        </w:tc>
      </w:tr>
      <w:tr>
        <w:trPr>
          <w:trHeight w:val="270"/>
        </w:trPr>
        <w:tc>
          <w:tcPr>
            <w:tcW w:w="2380" w:type="dxa"/>
            <w:vAlign w:val="bottom"/>
          </w:tcPr>
          <w:p>
            <w:pPr>
              <w:spacing w:after="0"/>
              <w:rPr>
                <w:sz w:val="20"/>
                <w:szCs w:val="20"/>
                <w:color w:val="auto"/>
              </w:rPr>
            </w:pPr>
            <w:r>
              <w:rPr>
                <w:rFonts w:ascii="Wingdings" w:cs="Wingdings" w:eastAsia="Wingdings" w:hAnsi="Wingdings"/>
                <w:sz w:val="20"/>
                <w:szCs w:val="20"/>
                <w:b w:val="1"/>
                <w:bCs w:val="1"/>
                <w:color w:val="F7620E"/>
              </w:rPr>
              <w:t xml:space="preserve">l </w:t>
            </w:r>
            <w:r>
              <w:rPr>
                <w:rFonts w:ascii="Arial" w:cs="Arial" w:eastAsia="Arial" w:hAnsi="Arial"/>
                <w:sz w:val="14"/>
                <w:szCs w:val="14"/>
                <w:color w:val="000000"/>
              </w:rPr>
              <w:t>Asian/South Asian</w:t>
            </w:r>
          </w:p>
        </w:tc>
        <w:tc>
          <w:tcPr>
            <w:tcW w:w="27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310"/>
        </w:trPr>
        <w:tc>
          <w:tcPr>
            <w:tcW w:w="2380" w:type="dxa"/>
            <w:vAlign w:val="bottom"/>
          </w:tcPr>
          <w:p>
            <w:pPr>
              <w:spacing w:after="0"/>
              <w:rPr>
                <w:sz w:val="20"/>
                <w:szCs w:val="20"/>
                <w:color w:val="auto"/>
              </w:rPr>
            </w:pPr>
            <w:r>
              <w:rPr>
                <w:rFonts w:ascii="Wingdings" w:cs="Wingdings" w:eastAsia="Wingdings" w:hAnsi="Wingdings"/>
                <w:sz w:val="20"/>
                <w:szCs w:val="20"/>
                <w:b w:val="1"/>
                <w:bCs w:val="1"/>
                <w:color w:val="DB7C00"/>
              </w:rPr>
              <w:t xml:space="preserve">l </w:t>
            </w:r>
            <w:r>
              <w:rPr>
                <w:rFonts w:ascii="Arial" w:cs="Arial" w:eastAsia="Arial" w:hAnsi="Arial"/>
                <w:sz w:val="14"/>
                <w:szCs w:val="14"/>
                <w:color w:val="000000"/>
              </w:rPr>
              <w:t>Hispanic/Latino</w:t>
            </w:r>
          </w:p>
        </w:tc>
        <w:tc>
          <w:tcPr>
            <w:tcW w:w="2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11"/>
        </w:trPr>
        <w:tc>
          <w:tcPr>
            <w:tcW w:w="2380" w:type="dxa"/>
            <w:vAlign w:val="bottom"/>
          </w:tcPr>
          <w:p>
            <w:pPr>
              <w:spacing w:after="0"/>
              <w:rPr>
                <w:sz w:val="20"/>
                <w:szCs w:val="20"/>
                <w:color w:val="auto"/>
              </w:rPr>
            </w:pPr>
            <w:r>
              <w:rPr>
                <w:rFonts w:ascii="Wingdings" w:cs="Wingdings" w:eastAsia="Wingdings" w:hAnsi="Wingdings"/>
                <w:sz w:val="20"/>
                <w:szCs w:val="20"/>
                <w:b w:val="1"/>
                <w:bCs w:val="1"/>
                <w:color w:val="E8ECFB"/>
              </w:rPr>
              <w:t xml:space="preserve">l </w:t>
            </w:r>
            <w:r>
              <w:rPr>
                <w:rFonts w:ascii="Arial" w:cs="Arial" w:eastAsia="Arial" w:hAnsi="Arial"/>
                <w:sz w:val="14"/>
                <w:szCs w:val="14"/>
                <w:color w:val="000000"/>
              </w:rPr>
              <w:t>Caucasian/White</w:t>
            </w:r>
          </w:p>
        </w:tc>
        <w:tc>
          <w:tcPr>
            <w:tcW w:w="2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351790</wp:posOffset>
            </wp:positionV>
            <wp:extent cx="556895"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3463290" cy="27774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63290" cy="2777490"/>
                    </a:xfrm>
                    <a:prstGeom prst="rect">
                      <a:avLst/>
                    </a:prstGeom>
                    <a:noFill/>
                  </pic:spPr>
                </pic:pic>
              </a:graphicData>
            </a:graphic>
          </wp:anchor>
        </w:drawing>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Robert G. Ashe, 66</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00C4B3"/>
        </w:rPr>
        <w:t>INDEPENDENT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Lead Director</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2013</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Committees: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Audit Committee</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Governance Committee</w:t>
      </w:r>
    </w:p>
    <w:p>
      <w:pPr>
        <w:spacing w:after="0" w:line="131" w:lineRule="exact"/>
        <w:rPr>
          <w:sz w:val="20"/>
          <w:szCs w:val="20"/>
          <w:color w:val="auto"/>
        </w:rPr>
      </w:pPr>
    </w:p>
    <w:tbl>
      <w:tblPr>
        <w:tblLayout w:type="fixed"/>
        <w:tblInd w:w="240" w:type="dxa"/>
        <w:tblCellMar>
          <w:top w:w="0" w:type="dxa"/>
          <w:left w:w="0" w:type="dxa"/>
          <w:bottom w:w="0" w:type="dxa"/>
          <w:right w:w="0" w:type="dxa"/>
        </w:tblCellMar>
      </w:tblPr>
      <w:tr>
        <w:trPr>
          <w:trHeight w:val="108"/>
        </w:trPr>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shd w:val="clear" w:color="auto" w:fill="1A3FD6"/>
          </w:tcPr>
          <w:p>
            <w:pPr>
              <w:spacing w:after="0"/>
              <w:rPr>
                <w:sz w:val="9"/>
                <w:szCs w:val="9"/>
                <w:color w:val="auto"/>
              </w:rPr>
            </w:pPr>
          </w:p>
        </w:tc>
        <w:tc>
          <w:tcPr>
            <w:tcW w:w="2580" w:type="dxa"/>
            <w:vAlign w:val="bottom"/>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20" w:type="dxa"/>
            <w:vAlign w:val="bottom"/>
            <w:gridSpan w:val="2"/>
            <w:shd w:val="clear" w:color="auto" w:fill="1A3FD6"/>
          </w:tcPr>
          <w:p>
            <w:pPr>
              <w:ind w:left="20"/>
              <w:spacing w:after="0"/>
              <w:rPr>
                <w:sz w:val="20"/>
                <w:szCs w:val="20"/>
                <w:color w:val="auto"/>
              </w:rPr>
            </w:pPr>
            <w:r>
              <w:rPr>
                <w:rFonts w:ascii="Arial" w:cs="Arial" w:eastAsia="Arial" w:hAnsi="Arial"/>
                <w:sz w:val="14"/>
                <w:szCs w:val="14"/>
                <w:b w:val="1"/>
                <w:bCs w:val="1"/>
                <w:color w:val="00C4B3"/>
              </w:rPr>
              <w:t>Core Competencies:</w:t>
            </w:r>
          </w:p>
        </w:tc>
        <w:tc>
          <w:tcPr>
            <w:tcW w:w="120" w:type="dxa"/>
            <w:vAlign w:val="bottom"/>
            <w:shd w:val="clear" w:color="auto" w:fill="1A3FD6"/>
          </w:tcPr>
          <w:p>
            <w:pPr>
              <w:spacing w:after="0"/>
              <w:rPr>
                <w:sz w:val="18"/>
                <w:szCs w:val="18"/>
                <w:color w:val="auto"/>
              </w:rPr>
            </w:pPr>
          </w:p>
        </w:tc>
        <w:tc>
          <w:tcPr>
            <w:tcW w:w="2580" w:type="dxa"/>
            <w:vAlign w:val="bottom"/>
            <w:shd w:val="clear" w:color="auto" w:fill="1A3FD6"/>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120" w:type="dxa"/>
            <w:vAlign w:val="bottom"/>
            <w:shd w:val="clear" w:color="auto" w:fill="1A3FD6"/>
          </w:tcPr>
          <w:p>
            <w:pPr>
              <w:ind w:left="20"/>
              <w:spacing w:after="0"/>
              <w:rPr>
                <w:sz w:val="20"/>
                <w:szCs w:val="20"/>
                <w:color w:val="auto"/>
              </w:rPr>
            </w:pPr>
            <w:r>
              <w:rPr>
                <w:rFonts w:ascii="Arial" w:cs="Arial" w:eastAsia="Arial" w:hAnsi="Arial"/>
                <w:sz w:val="14"/>
                <w:szCs w:val="14"/>
                <w:b w:val="1"/>
                <w:bCs w:val="1"/>
                <w:color w:val="00A798"/>
              </w:rPr>
              <w:t>•</w:t>
            </w:r>
          </w:p>
        </w:tc>
        <w:tc>
          <w:tcPr>
            <w:tcW w:w="258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Corporate/Enterprise</w:t>
            </w:r>
          </w:p>
        </w:tc>
        <w:tc>
          <w:tcPr>
            <w:tcW w:w="0" w:type="dxa"/>
            <w:vAlign w:val="bottom"/>
          </w:tcPr>
          <w:p>
            <w:pPr>
              <w:spacing w:after="0"/>
              <w:rPr>
                <w:sz w:val="1"/>
                <w:szCs w:val="1"/>
                <w:color w:val="auto"/>
              </w:rPr>
            </w:pPr>
          </w:p>
        </w:tc>
      </w:tr>
      <w:tr>
        <w:trPr>
          <w:trHeight w:val="196"/>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120" w:type="dxa"/>
            <w:vAlign w:val="bottom"/>
            <w:shd w:val="clear" w:color="auto" w:fill="1A3FD6"/>
          </w:tcPr>
          <w:p>
            <w:pPr>
              <w:spacing w:after="0"/>
              <w:rPr>
                <w:sz w:val="17"/>
                <w:szCs w:val="17"/>
                <w:color w:val="auto"/>
              </w:rPr>
            </w:pPr>
          </w:p>
        </w:tc>
        <w:tc>
          <w:tcPr>
            <w:tcW w:w="2580" w:type="dxa"/>
            <w:vAlign w:val="bottom"/>
            <w:shd w:val="clear" w:color="auto" w:fill="1A3FD6"/>
          </w:tcPr>
          <w:p>
            <w:pPr>
              <w:ind w:left="100"/>
              <w:spacing w:after="0"/>
              <w:rPr>
                <w:sz w:val="20"/>
                <w:szCs w:val="20"/>
                <w:color w:val="auto"/>
              </w:rPr>
            </w:pPr>
            <w:r>
              <w:rPr>
                <w:rFonts w:ascii="Arial" w:cs="Arial" w:eastAsia="Arial" w:hAnsi="Arial"/>
                <w:sz w:val="14"/>
                <w:szCs w:val="14"/>
                <w:b w:val="1"/>
                <w:bCs w:val="1"/>
                <w:color w:val="FFFFFF"/>
              </w:rPr>
              <w:t>Risk Management</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400" w:type="dxa"/>
            <w:vAlign w:val="bottom"/>
            <w:vMerge w:val="continue"/>
            <w:shd w:val="clear" w:color="auto" w:fill="1A3FD6"/>
          </w:tcPr>
          <w:p>
            <w:pPr>
              <w:spacing w:after="0"/>
              <w:rPr>
                <w:sz w:val="5"/>
                <w:szCs w:val="5"/>
                <w:color w:val="auto"/>
              </w:rPr>
            </w:pPr>
          </w:p>
        </w:tc>
        <w:tc>
          <w:tcPr>
            <w:tcW w:w="2700" w:type="dxa"/>
            <w:vAlign w:val="bottom"/>
            <w:gridSpan w:val="2"/>
            <w:vMerge w:val="restart"/>
            <w:shd w:val="clear" w:color="auto" w:fill="1A3FD6"/>
          </w:tcPr>
          <w:p>
            <w:pPr>
              <w:ind w:left="20"/>
              <w:spacing w:after="0"/>
              <w:rPr>
                <w:sz w:val="20"/>
                <w:szCs w:val="20"/>
                <w:color w:val="auto"/>
              </w:rPr>
            </w:pPr>
            <w:r>
              <w:rPr>
                <w:rFonts w:ascii="Arial" w:cs="Arial" w:eastAsia="Arial" w:hAnsi="Arial"/>
                <w:sz w:val="14"/>
                <w:szCs w:val="14"/>
                <w:b w:val="1"/>
                <w:bCs w:val="1"/>
                <w:color w:val="00A798"/>
              </w:rPr>
              <w:t xml:space="preserve">•  </w:t>
            </w:r>
            <w:r>
              <w:rPr>
                <w:rFonts w:ascii="Arial" w:cs="Arial" w:eastAsia="Arial" w:hAnsi="Arial"/>
                <w:sz w:val="14"/>
                <w:szCs w:val="14"/>
                <w:b w:val="1"/>
                <w:bCs w:val="1"/>
                <w:color w:val="FFFFFF"/>
              </w:rPr>
              <w:t>Client Relations, Marketing and</w:t>
            </w:r>
          </w:p>
        </w:tc>
        <w:tc>
          <w:tcPr>
            <w:tcW w:w="0" w:type="dxa"/>
            <w:vAlign w:val="bottom"/>
          </w:tcPr>
          <w:p>
            <w:pPr>
              <w:spacing w:after="0"/>
              <w:rPr>
                <w:sz w:val="1"/>
                <w:szCs w:val="1"/>
                <w:color w:val="auto"/>
              </w:rPr>
            </w:pPr>
          </w:p>
        </w:tc>
      </w:tr>
      <w:tr>
        <w:trPr>
          <w:trHeight w:val="182"/>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 Development</w:t>
            </w:r>
          </w:p>
        </w:tc>
        <w:tc>
          <w:tcPr>
            <w:tcW w:w="2700" w:type="dxa"/>
            <w:vAlign w:val="bottom"/>
            <w:gridSpan w:val="2"/>
            <w:vMerge w:val="continue"/>
            <w:shd w:val="clear" w:color="auto" w:fill="1A3FD6"/>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20" w:type="dxa"/>
            <w:vAlign w:val="bottom"/>
            <w:vMerge w:val="continue"/>
            <w:shd w:val="clear" w:color="auto" w:fill="1A3FD6"/>
          </w:tcPr>
          <w:p>
            <w:pPr>
              <w:spacing w:after="0"/>
              <w:rPr>
                <w:sz w:val="7"/>
                <w:szCs w:val="7"/>
                <w:color w:val="auto"/>
              </w:rPr>
            </w:pPr>
          </w:p>
        </w:tc>
        <w:tc>
          <w:tcPr>
            <w:tcW w:w="2400" w:type="dxa"/>
            <w:vAlign w:val="bottom"/>
            <w:vMerge w:val="continue"/>
            <w:shd w:val="clear" w:color="auto" w:fill="1A3FD6"/>
          </w:tcPr>
          <w:p>
            <w:pPr>
              <w:spacing w:after="0"/>
              <w:rPr>
                <w:sz w:val="7"/>
                <w:szCs w:val="7"/>
                <w:color w:val="auto"/>
              </w:rPr>
            </w:pPr>
          </w:p>
        </w:tc>
        <w:tc>
          <w:tcPr>
            <w:tcW w:w="120" w:type="dxa"/>
            <w:vAlign w:val="bottom"/>
            <w:shd w:val="clear" w:color="auto" w:fill="1A3FD6"/>
          </w:tcPr>
          <w:p>
            <w:pPr>
              <w:spacing w:after="0"/>
              <w:rPr>
                <w:sz w:val="7"/>
                <w:szCs w:val="7"/>
                <w:color w:val="auto"/>
              </w:rPr>
            </w:pPr>
          </w:p>
        </w:tc>
        <w:tc>
          <w:tcPr>
            <w:tcW w:w="2580" w:type="dxa"/>
            <w:vAlign w:val="bottom"/>
            <w:vMerge w:val="restart"/>
            <w:shd w:val="clear" w:color="auto" w:fill="1A3FD6"/>
          </w:tcPr>
          <w:p>
            <w:pPr>
              <w:ind w:left="100"/>
              <w:spacing w:after="0"/>
              <w:rPr>
                <w:sz w:val="20"/>
                <w:szCs w:val="20"/>
                <w:color w:val="auto"/>
              </w:rPr>
            </w:pPr>
            <w:r>
              <w:rPr>
                <w:rFonts w:ascii="Arial" w:cs="Arial" w:eastAsia="Arial" w:hAnsi="Arial"/>
                <w:sz w:val="14"/>
                <w:szCs w:val="14"/>
                <w:b w:val="1"/>
                <w:bCs w:val="1"/>
                <w:color w:val="FFFFFF"/>
              </w:rPr>
              <w:t>Brand Development</w:t>
            </w:r>
          </w:p>
        </w:tc>
        <w:tc>
          <w:tcPr>
            <w:tcW w:w="0" w:type="dxa"/>
            <w:vAlign w:val="bottom"/>
          </w:tcPr>
          <w:p>
            <w:pPr>
              <w:spacing w:after="0"/>
              <w:rPr>
                <w:sz w:val="1"/>
                <w:szCs w:val="1"/>
                <w:color w:val="auto"/>
              </w:rPr>
            </w:pPr>
          </w:p>
        </w:tc>
      </w:tr>
      <w:tr>
        <w:trPr>
          <w:trHeight w:val="108"/>
        </w:trPr>
        <w:tc>
          <w:tcPr>
            <w:tcW w:w="2520" w:type="dxa"/>
            <w:vAlign w:val="bottom"/>
            <w:gridSpan w:val="2"/>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Financial Reporting and Capital</w:t>
            </w:r>
          </w:p>
        </w:tc>
        <w:tc>
          <w:tcPr>
            <w:tcW w:w="120" w:type="dxa"/>
            <w:vAlign w:val="bottom"/>
            <w:shd w:val="clear" w:color="auto" w:fill="1A3FD6"/>
          </w:tcPr>
          <w:p>
            <w:pPr>
              <w:spacing w:after="0"/>
              <w:rPr>
                <w:sz w:val="9"/>
                <w:szCs w:val="9"/>
                <w:color w:val="auto"/>
              </w:rPr>
            </w:pPr>
          </w:p>
        </w:tc>
        <w:tc>
          <w:tcPr>
            <w:tcW w:w="2580" w:type="dxa"/>
            <w:vAlign w:val="bottom"/>
            <w:vMerge w:val="continue"/>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520" w:type="dxa"/>
            <w:vAlign w:val="bottom"/>
            <w:gridSpan w:val="2"/>
            <w:vMerge w:val="continue"/>
            <w:shd w:val="clear" w:color="auto" w:fill="1A3FD6"/>
          </w:tcPr>
          <w:p>
            <w:pPr>
              <w:spacing w:after="0"/>
              <w:rPr>
                <w:sz w:val="12"/>
                <w:szCs w:val="12"/>
                <w:color w:val="auto"/>
              </w:rPr>
            </w:pPr>
          </w:p>
        </w:tc>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4"/>
                <w:szCs w:val="14"/>
                <w:b w:val="1"/>
                <w:bCs w:val="1"/>
                <w:color w:val="00A798"/>
              </w:rPr>
              <w:t>•</w:t>
            </w:r>
          </w:p>
        </w:tc>
        <w:tc>
          <w:tcPr>
            <w:tcW w:w="25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15"/>
        </w:trPr>
        <w:tc>
          <w:tcPr>
            <w:tcW w:w="120" w:type="dxa"/>
            <w:vAlign w:val="bottom"/>
            <w:shd w:val="clear" w:color="auto" w:fill="1A3FD6"/>
          </w:tcPr>
          <w:p>
            <w:pPr>
              <w:spacing w:after="0"/>
              <w:rPr>
                <w:sz w:val="10"/>
                <w:szCs w:val="10"/>
                <w:color w:val="auto"/>
              </w:rPr>
            </w:pPr>
          </w:p>
        </w:tc>
        <w:tc>
          <w:tcPr>
            <w:tcW w:w="240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Allocation</w:t>
            </w:r>
          </w:p>
        </w:tc>
        <w:tc>
          <w:tcPr>
            <w:tcW w:w="120" w:type="dxa"/>
            <w:vAlign w:val="bottom"/>
            <w:vMerge w:val="continue"/>
            <w:shd w:val="clear" w:color="auto" w:fill="1A3FD6"/>
          </w:tcPr>
          <w:p>
            <w:pPr>
              <w:spacing w:after="0"/>
              <w:rPr>
                <w:sz w:val="10"/>
                <w:szCs w:val="10"/>
                <w:color w:val="auto"/>
              </w:rPr>
            </w:pPr>
          </w:p>
        </w:tc>
        <w:tc>
          <w:tcPr>
            <w:tcW w:w="2580" w:type="dxa"/>
            <w:vAlign w:val="bottom"/>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1A3FD6"/>
          </w:tcPr>
          <w:p>
            <w:pPr>
              <w:spacing w:after="0"/>
              <w:rPr>
                <w:sz w:val="7"/>
                <w:szCs w:val="7"/>
                <w:color w:val="auto"/>
              </w:rPr>
            </w:pPr>
          </w:p>
        </w:tc>
        <w:tc>
          <w:tcPr>
            <w:tcW w:w="2400" w:type="dxa"/>
            <w:vAlign w:val="bottom"/>
            <w:vMerge w:val="continue"/>
            <w:shd w:val="clear" w:color="auto" w:fill="1A3FD6"/>
          </w:tcPr>
          <w:p>
            <w:pPr>
              <w:spacing w:after="0"/>
              <w:rPr>
                <w:sz w:val="7"/>
                <w:szCs w:val="7"/>
                <w:color w:val="auto"/>
              </w:rPr>
            </w:pPr>
          </w:p>
        </w:tc>
        <w:tc>
          <w:tcPr>
            <w:tcW w:w="120" w:type="dxa"/>
            <w:vAlign w:val="bottom"/>
            <w:shd w:val="clear" w:color="auto" w:fill="1A3FD6"/>
          </w:tcPr>
          <w:p>
            <w:pPr>
              <w:spacing w:after="0"/>
              <w:rPr>
                <w:sz w:val="7"/>
                <w:szCs w:val="7"/>
                <w:color w:val="auto"/>
              </w:rPr>
            </w:pPr>
          </w:p>
        </w:tc>
        <w:tc>
          <w:tcPr>
            <w:tcW w:w="2580" w:type="dxa"/>
            <w:vAlign w:val="bottom"/>
            <w:shd w:val="clear" w:color="auto" w:fill="1A3FD6"/>
          </w:tcPr>
          <w:p>
            <w:pPr>
              <w:spacing w:after="0"/>
              <w:rPr>
                <w:sz w:val="7"/>
                <w:szCs w:val="7"/>
                <w:color w:val="auto"/>
              </w:rPr>
            </w:pPr>
          </w:p>
        </w:tc>
        <w:tc>
          <w:tcPr>
            <w:tcW w:w="0" w:type="dxa"/>
            <w:vAlign w:val="bottom"/>
          </w:tcPr>
          <w:p>
            <w:pPr>
              <w:spacing w:after="0"/>
              <w:rPr>
                <w:sz w:val="1"/>
                <w:szCs w:val="1"/>
                <w:color w:val="auto"/>
              </w:rPr>
            </w:pPr>
          </w:p>
        </w:tc>
      </w:tr>
      <w:tr>
        <w:trPr>
          <w:trHeight w:val="974"/>
        </w:trPr>
        <w:tc>
          <w:tcPr>
            <w:tcW w:w="120" w:type="dxa"/>
            <w:vAlign w:val="bottom"/>
            <w:shd w:val="clear" w:color="auto" w:fill="1A3FD6"/>
          </w:tcPr>
          <w:p>
            <w:pPr>
              <w:spacing w:after="0"/>
              <w:rPr>
                <w:sz w:val="24"/>
                <w:szCs w:val="24"/>
                <w:color w:val="auto"/>
              </w:rPr>
            </w:pPr>
          </w:p>
        </w:tc>
        <w:tc>
          <w:tcPr>
            <w:tcW w:w="2400" w:type="dxa"/>
            <w:vAlign w:val="bottom"/>
            <w:shd w:val="clear" w:color="auto" w:fill="1A3FD6"/>
          </w:tcPr>
          <w:p>
            <w:pPr>
              <w:spacing w:after="0"/>
              <w:rPr>
                <w:sz w:val="24"/>
                <w:szCs w:val="24"/>
                <w:color w:val="auto"/>
              </w:rPr>
            </w:pPr>
          </w:p>
        </w:tc>
        <w:tc>
          <w:tcPr>
            <w:tcW w:w="120" w:type="dxa"/>
            <w:vAlign w:val="bottom"/>
            <w:shd w:val="clear" w:color="auto" w:fill="1A3FD6"/>
          </w:tcPr>
          <w:p>
            <w:pPr>
              <w:spacing w:after="0"/>
              <w:rPr>
                <w:sz w:val="24"/>
                <w:szCs w:val="24"/>
                <w:color w:val="auto"/>
              </w:rPr>
            </w:pPr>
          </w:p>
        </w:tc>
        <w:tc>
          <w:tcPr>
            <w:tcW w:w="2580" w:type="dxa"/>
            <w:vAlign w:val="bottom"/>
            <w:shd w:val="clear" w:color="auto" w:fill="1A3FD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890" cy="3308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3308985"/>
                    </a:xfrm>
                    <a:prstGeom prst="rect">
                      <a:avLst/>
                    </a:prstGeom>
                    <a:noFill/>
                  </pic:spPr>
                </pic:pic>
              </a:graphicData>
            </a:graphic>
          </wp:anchor>
        </w:drawing>
      </w:r>
    </w:p>
    <w:p>
      <w:pPr>
        <w:spacing w:after="0" w:line="146" w:lineRule="exact"/>
        <w:rPr>
          <w:sz w:val="20"/>
          <w:szCs w:val="20"/>
          <w:color w:val="auto"/>
        </w:rPr>
      </w:pPr>
    </w:p>
    <w:p>
      <w:pPr>
        <w:ind w:left="260" w:right="40"/>
        <w:spacing w:after="0" w:line="269" w:lineRule="auto"/>
        <w:rPr>
          <w:sz w:val="20"/>
          <w:szCs w:val="20"/>
          <w:color w:val="auto"/>
        </w:rPr>
      </w:pPr>
      <w:r>
        <w:rPr>
          <w:rFonts w:ascii="Arial" w:cs="Arial" w:eastAsia="Arial" w:hAnsi="Arial"/>
          <w:sz w:val="14"/>
          <w:szCs w:val="14"/>
          <w:color w:val="auto"/>
        </w:rPr>
        <w:t>Mr. Ashe previously served as General Manager of Business Analytics of IBM Corp. (“IBM”) from 2010 to 2012 and before that as General Manager of Business Intelligence and Performance Management since 2008, following IBM’s acquisition of Cognos Inc. (“Cognos”), a Canadian provider of business intelligence and performance management software. Mr. Ashe worked for Cognos from 1984 to 2008, holding various executive positions, including most recently President and Chief Executive Officer from 2004 to 2008, President and Chief Operating Officer from 2002 to 2004 and Chief Corporate Officer from 2001 to 2002, during a portion of which time he also served as Chief Financial Officer. Mr. Ashe holds an Honours Bachelor of Commerce with a major in Accounting from the University of Ottawa. Mr. Ashe is also a Certified Public Accountant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Canada.</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left="260" w:right="40"/>
        <w:spacing w:after="0" w:line="267" w:lineRule="auto"/>
        <w:rPr>
          <w:sz w:val="20"/>
          <w:szCs w:val="20"/>
          <w:color w:val="auto"/>
        </w:rPr>
      </w:pPr>
      <w:r>
        <w:rPr>
          <w:rFonts w:ascii="Arial" w:cs="Arial" w:eastAsia="Arial" w:hAnsi="Arial"/>
          <w:sz w:val="14"/>
          <w:szCs w:val="14"/>
          <w:color w:val="auto"/>
        </w:rPr>
        <w:t>We believe Mr. Ashe’s over 30 years of experience in finance, product marketing, software development, revenue growth and strategic transactions qualify him</w:t>
      </w:r>
    </w:p>
    <w:p>
      <w:pPr>
        <w:ind w:left="260" w:right="180"/>
        <w:spacing w:after="0" w:line="275" w:lineRule="auto"/>
        <w:rPr>
          <w:sz w:val="20"/>
          <w:szCs w:val="20"/>
          <w:color w:val="auto"/>
        </w:rPr>
      </w:pPr>
      <w:r>
        <w:rPr>
          <w:rFonts w:ascii="Arial" w:cs="Arial" w:eastAsia="Arial" w:hAnsi="Arial"/>
          <w:sz w:val="14"/>
          <w:szCs w:val="14"/>
          <w:color w:val="auto"/>
        </w:rPr>
        <w:t>to serve as a director. At Cognos, he executed strategic acquisitions and led its integration into IBM, providing valuable insight into investment, organic growth and M&amp;A strategies. His background as a former CFO brings expertise in corporate finance, accounting and internal controls. His experience in the technology sector also allows him to provide valuable insights on MSCI’s technology strategy. As a former public company CEO, lead director and board member, he also provides governance and leadership expertise.</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Prior Other Public Company Directorships:</w:t>
      </w:r>
    </w:p>
    <w:p>
      <w:pPr>
        <w:spacing w:after="0" w:line="15" w:lineRule="exact"/>
        <w:rPr>
          <w:sz w:val="20"/>
          <w:szCs w:val="20"/>
          <w:color w:val="auto"/>
        </w:rPr>
      </w:pPr>
    </w:p>
    <w:p>
      <w:pPr>
        <w:ind w:left="260" w:right="260"/>
        <w:spacing w:after="0" w:line="271" w:lineRule="auto"/>
        <w:rPr>
          <w:sz w:val="20"/>
          <w:szCs w:val="20"/>
          <w:color w:val="auto"/>
        </w:rPr>
      </w:pPr>
      <w:r>
        <w:rPr>
          <w:rFonts w:ascii="Arial" w:cs="Arial" w:eastAsia="Arial" w:hAnsi="Arial"/>
          <w:sz w:val="14"/>
          <w:szCs w:val="14"/>
          <w:color w:val="auto"/>
        </w:rPr>
        <w:t>Shopify Inc. (December 2014 to June 2025), ServiceSource International, Inc. (March 2013 to May 2020) and Halogen Software Inc. (February 2013</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 April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941070</wp:posOffset>
            </wp:positionV>
            <wp:extent cx="3488690" cy="27774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8869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FFFFFF"/>
        </w:rPr>
        <w:t xml:space="preserve">Henry A. Fernandez, </w:t>
      </w:r>
      <w:r>
        <w:rPr>
          <w:rFonts w:ascii="Arial" w:cs="Arial" w:eastAsia="Arial" w:hAnsi="Arial"/>
          <w:sz w:val="16"/>
          <w:szCs w:val="16"/>
          <w:b w:val="1"/>
          <w:bCs w:val="1"/>
          <w:color w:val="FFFFFF"/>
        </w:rPr>
        <w:t>67</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00C4B3"/>
        </w:rPr>
        <w:t>CHAIRMAN, CEO AND PRESIDENT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gridSpan w:val="2"/>
          </w:tcPr>
          <w:p>
            <w:pPr>
              <w:spacing w:after="0"/>
              <w:rPr>
                <w:sz w:val="20"/>
                <w:szCs w:val="20"/>
                <w:color w:val="auto"/>
              </w:rPr>
            </w:pPr>
            <w:r>
              <w:rPr>
                <w:rFonts w:ascii="Arial" w:cs="Arial" w:eastAsia="Arial" w:hAnsi="Arial"/>
                <w:sz w:val="14"/>
                <w:szCs w:val="14"/>
                <w:b w:val="1"/>
                <w:bCs w:val="1"/>
                <w:color w:val="00C4B3"/>
              </w:rPr>
              <w:t>Core Competencies:</w:t>
            </w:r>
          </w:p>
        </w:tc>
        <w:tc>
          <w:tcPr>
            <w:tcW w:w="2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Arial" w:cs="Arial" w:eastAsia="Arial" w:hAnsi="Arial"/>
                <w:sz w:val="14"/>
                <w:szCs w:val="14"/>
                <w:b w:val="1"/>
                <w:bCs w:val="1"/>
                <w:color w:val="00A798"/>
              </w:rPr>
              <w:t>•</w:t>
            </w:r>
          </w:p>
        </w:tc>
        <w:tc>
          <w:tcPr>
            <w:tcW w:w="2260" w:type="dxa"/>
            <w:vAlign w:val="bottom"/>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260" w:type="dxa"/>
            <w:vAlign w:val="bottom"/>
          </w:tcPr>
          <w:p>
            <w:pPr>
              <w:ind w:left="160"/>
              <w:spacing w:after="0"/>
              <w:rPr>
                <w:sz w:val="20"/>
                <w:szCs w:val="20"/>
                <w:color w:val="auto"/>
              </w:rPr>
            </w:pPr>
            <w:r>
              <w:rPr>
                <w:rFonts w:ascii="Arial" w:cs="Arial" w:eastAsia="Arial" w:hAnsi="Arial"/>
                <w:sz w:val="13"/>
                <w:szCs w:val="13"/>
                <w:b w:val="1"/>
                <w:bCs w:val="1"/>
                <w:color w:val="00A798"/>
              </w:rPr>
              <w:t>•</w:t>
            </w:r>
          </w:p>
        </w:tc>
        <w:tc>
          <w:tcPr>
            <w:tcW w:w="2200" w:type="dxa"/>
            <w:vAlign w:val="bottom"/>
          </w:tcPr>
          <w:p>
            <w:pPr>
              <w:ind w:left="60"/>
              <w:spacing w:after="0"/>
              <w:rPr>
                <w:sz w:val="20"/>
                <w:szCs w:val="20"/>
                <w:color w:val="auto"/>
              </w:rPr>
            </w:pPr>
            <w:r>
              <w:rPr>
                <w:rFonts w:ascii="Arial" w:cs="Arial" w:eastAsia="Arial" w:hAnsi="Arial"/>
                <w:sz w:val="14"/>
                <w:szCs w:val="14"/>
                <w:b w:val="1"/>
                <w:bCs w:val="1"/>
                <w:color w:val="FFFFFF"/>
              </w:rPr>
              <w:t>Corporate/Enterprise</w:t>
            </w:r>
          </w:p>
        </w:tc>
        <w:tc>
          <w:tcPr>
            <w:tcW w:w="0" w:type="dxa"/>
            <w:vAlign w:val="bottom"/>
          </w:tcPr>
          <w:p>
            <w:pPr>
              <w:spacing w:after="0"/>
              <w:rPr>
                <w:sz w:val="1"/>
                <w:szCs w:val="1"/>
                <w:color w:val="auto"/>
              </w:rPr>
            </w:pPr>
          </w:p>
        </w:tc>
      </w:tr>
      <w:tr>
        <w:trPr>
          <w:trHeight w:val="196"/>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00A798"/>
              </w:rPr>
              <w:t>•</w:t>
            </w:r>
          </w:p>
        </w:tc>
        <w:tc>
          <w:tcPr>
            <w:tcW w:w="226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Investment Industry Expertise</w:t>
            </w:r>
          </w:p>
        </w:tc>
        <w:tc>
          <w:tcPr>
            <w:tcW w:w="26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4"/>
                <w:szCs w:val="14"/>
                <w:b w:val="1"/>
                <w:bCs w:val="1"/>
                <w:color w:val="FFFFFF"/>
              </w:rPr>
              <w:t>Risk Management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260" w:type="dxa"/>
            <w:vAlign w:val="bottom"/>
            <w:vMerge w:val="continue"/>
          </w:tcPr>
          <w:p>
            <w:pPr>
              <w:spacing w:after="0"/>
              <w:rPr>
                <w:sz w:val="5"/>
                <w:szCs w:val="5"/>
                <w:color w:val="auto"/>
              </w:rPr>
            </w:pPr>
          </w:p>
        </w:tc>
        <w:tc>
          <w:tcPr>
            <w:tcW w:w="24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Client Relations, Marketing and</w:t>
            </w:r>
          </w:p>
        </w:tc>
        <w:tc>
          <w:tcPr>
            <w:tcW w:w="0" w:type="dxa"/>
            <w:vAlign w:val="bottom"/>
          </w:tcPr>
          <w:p>
            <w:pPr>
              <w:spacing w:after="0"/>
              <w:rPr>
                <w:sz w:val="1"/>
                <w:szCs w:val="1"/>
                <w:color w:val="auto"/>
              </w:rPr>
            </w:pPr>
          </w:p>
        </w:tc>
      </w:tr>
      <w:tr>
        <w:trPr>
          <w:trHeight w:val="182"/>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00A798"/>
              </w:rPr>
              <w:t>•</w:t>
            </w:r>
          </w:p>
        </w:tc>
        <w:tc>
          <w:tcPr>
            <w:tcW w:w="226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2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00" w:type="dxa"/>
            <w:vAlign w:val="bottom"/>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FFFFFF"/>
              </w:rPr>
              <w:t>Brand Development</w:t>
            </w:r>
          </w:p>
        </w:tc>
        <w:tc>
          <w:tcPr>
            <w:tcW w:w="0" w:type="dxa"/>
            <w:vAlign w:val="bottom"/>
          </w:tcPr>
          <w:p>
            <w:pPr>
              <w:spacing w:after="0"/>
              <w:rPr>
                <w:sz w:val="1"/>
                <w:szCs w:val="1"/>
                <w:color w:val="auto"/>
              </w:rPr>
            </w:pPr>
          </w:p>
        </w:tc>
      </w:tr>
      <w:tr>
        <w:trPr>
          <w:trHeight w:val="108"/>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00A798"/>
              </w:rPr>
              <w:t>•</w:t>
            </w:r>
          </w:p>
        </w:tc>
        <w:tc>
          <w:tcPr>
            <w:tcW w:w="226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Regulatory, Government and</w:t>
            </w:r>
          </w:p>
        </w:tc>
        <w:tc>
          <w:tcPr>
            <w:tcW w:w="26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0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260" w:type="dxa"/>
            <w:vAlign w:val="bottom"/>
            <w:vMerge w:val="restart"/>
          </w:tcPr>
          <w:p>
            <w:pPr>
              <w:ind w:left="160"/>
              <w:spacing w:after="0"/>
              <w:rPr>
                <w:sz w:val="20"/>
                <w:szCs w:val="20"/>
                <w:color w:val="auto"/>
              </w:rPr>
            </w:pPr>
            <w:r>
              <w:rPr>
                <w:rFonts w:ascii="Arial" w:cs="Arial" w:eastAsia="Arial" w:hAnsi="Arial"/>
                <w:sz w:val="13"/>
                <w:szCs w:val="13"/>
                <w:b w:val="1"/>
                <w:bCs w:val="1"/>
                <w:color w:val="00A798"/>
              </w:rPr>
              <w:t>•</w:t>
            </w:r>
          </w:p>
        </w:tc>
        <w:tc>
          <w:tcPr>
            <w:tcW w:w="220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Sustainability and Climate</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b w:val="1"/>
                <w:bCs w:val="1"/>
                <w:color w:val="FFFFFF"/>
              </w:rPr>
              <w:t>Public Policy Engagement</w:t>
            </w:r>
          </w:p>
        </w:tc>
        <w:tc>
          <w:tcPr>
            <w:tcW w:w="260" w:type="dxa"/>
            <w:vAlign w:val="bottom"/>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FFFFFF"/>
              </w:rPr>
              <w:t>Practices</w:t>
            </w:r>
          </w:p>
        </w:tc>
        <w:tc>
          <w:tcPr>
            <w:tcW w:w="0" w:type="dxa"/>
            <w:vAlign w:val="bottom"/>
          </w:tcPr>
          <w:p>
            <w:pPr>
              <w:spacing w:after="0"/>
              <w:rPr>
                <w:sz w:val="1"/>
                <w:szCs w:val="1"/>
                <w:color w:val="auto"/>
              </w:rPr>
            </w:pPr>
          </w:p>
        </w:tc>
      </w:tr>
      <w:tr>
        <w:trPr>
          <w:trHeight w:val="108"/>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00A798"/>
              </w:rPr>
              <w:t>•</w:t>
            </w:r>
          </w:p>
        </w:tc>
        <w:tc>
          <w:tcPr>
            <w:tcW w:w="226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Corporate Development</w:t>
            </w:r>
          </w:p>
        </w:tc>
        <w:tc>
          <w:tcPr>
            <w:tcW w:w="260" w:type="dxa"/>
            <w:vAlign w:val="bottom"/>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0" w:type="dxa"/>
            <w:vAlign w:val="bottom"/>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260" w:type="dxa"/>
            <w:vAlign w:val="bottom"/>
            <w:vMerge w:val="restart"/>
          </w:tcPr>
          <w:p>
            <w:pPr>
              <w:ind w:left="160"/>
              <w:spacing w:after="0"/>
              <w:rPr>
                <w:sz w:val="20"/>
                <w:szCs w:val="20"/>
                <w:color w:val="auto"/>
              </w:rPr>
            </w:pPr>
            <w:r>
              <w:rPr>
                <w:rFonts w:ascii="Arial" w:cs="Arial" w:eastAsia="Arial" w:hAnsi="Arial"/>
                <w:sz w:val="13"/>
                <w:szCs w:val="13"/>
                <w:b w:val="1"/>
                <w:bCs w:val="1"/>
                <w:color w:val="00A798"/>
              </w:rPr>
              <w:t>•</w:t>
            </w:r>
          </w:p>
        </w:tc>
        <w:tc>
          <w:tcPr>
            <w:tcW w:w="220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2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200" w:right="2920" w:hanging="200"/>
        <w:spacing w:after="0" w:line="320" w:lineRule="auto"/>
        <w:tabs>
          <w:tab w:leader="none" w:pos="157" w:val="left"/>
        </w:tabs>
        <w:numPr>
          <w:ilvl w:val="0"/>
          <w:numId w:val="17"/>
        </w:numPr>
        <w:rPr>
          <w:rFonts w:ascii="Arial" w:cs="Arial" w:eastAsia="Arial" w:hAnsi="Arial"/>
          <w:sz w:val="16"/>
          <w:szCs w:val="16"/>
          <w:b w:val="1"/>
          <w:bCs w:val="1"/>
          <w:color w:val="00A798"/>
        </w:rPr>
      </w:pPr>
      <w:r>
        <w:rPr>
          <w:rFonts w:ascii="Arial" w:cs="Arial" w:eastAsia="Arial" w:hAnsi="Arial"/>
          <w:sz w:val="14"/>
          <w:szCs w:val="14"/>
          <w:b w:val="1"/>
          <w:bCs w:val="1"/>
          <w:color w:val="FFFFFF"/>
        </w:rPr>
        <w:t>Financial Reporting and Capital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116840</wp:posOffset>
            </wp:positionV>
            <wp:extent cx="8255" cy="3308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3308985"/>
                    </a:xfrm>
                    <a:prstGeom prst="rect">
                      <a:avLst/>
                    </a:prstGeom>
                    <a:noFill/>
                  </pic:spPr>
                </pic:pic>
              </a:graphicData>
            </a:graphic>
          </wp:anchor>
        </w:drawing>
      </w:r>
    </w:p>
    <w:p>
      <w:pPr>
        <w:spacing w:after="0" w:line="330"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Mr. Fernandez has served as Chairman of our Board since 2007 and as our CEO and a director since 1998. In connection with the retirement of Mr. Pettit, he reassumed the role of President in March 2026, a role he previously held from 1998 to October 2017. MSCI was previously a business unit within</w:t>
      </w:r>
    </w:p>
    <w:p>
      <w:pPr>
        <w:ind w:right="100"/>
        <w:spacing w:after="0" w:line="273" w:lineRule="auto"/>
        <w:rPr>
          <w:sz w:val="20"/>
          <w:szCs w:val="20"/>
          <w:color w:val="auto"/>
        </w:rPr>
      </w:pPr>
      <w:r>
        <w:rPr>
          <w:rFonts w:ascii="Arial" w:cs="Arial" w:eastAsia="Arial" w:hAnsi="Arial"/>
          <w:sz w:val="14"/>
          <w:szCs w:val="14"/>
          <w:color w:val="auto"/>
        </w:rPr>
        <w:t>Morgan Stanley prior to its IPO in 2007. Mr. Fernandez assumed leadership of the MSCI business unit from 1996 and was appointed CEO and President in 1998. He commenced his career in 1983 at Morgan Stanley, where he worked in emerging markets business strategy, equity derivatives sales and trading, mergers and acquisitions, and corporate and mortgage finance. Mr. Fernandez holds a Bachelor of Arts in economics from Georgetown University, an M.B.A. from the Stanford University Graduate School of Business and pursued doctoral studies in economics at Princeton University.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auto"/>
        </w:rPr>
        <w:t>We believe that Mr. Fernandez’s extensive experience and leadership in the financial services industry, as well as his unparalleled knowledge of MSCI and its business, render him qualified to serve as one of our directors. As MSCI’s Chief Executive Officer, he brings senior leadership expertise and direct knowledge of the Company’s culture, business development, strategy, client base and the drivers of its long-term growth and success. In addition, as the former lead director of another public company, Mr. Fernandez also brings to the Board additional experience and insight with respect to corporate governance.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Prior Other Public Company Directorships: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Royalty Pharma plc (August 2020 to August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980" w:type="dxa"/>
        <w:tblCellMar>
          <w:top w:w="0" w:type="dxa"/>
          <w:left w:w="0" w:type="dxa"/>
          <w:bottom w:w="0" w:type="dxa"/>
          <w:right w:w="0" w:type="dxa"/>
        </w:tblCellMar>
      </w:tblPr>
      <w:tr>
        <w:trPr>
          <w:trHeight w:val="196"/>
        </w:trPr>
        <w:tc>
          <w:tcPr>
            <w:tcW w:w="1900" w:type="dxa"/>
            <w:vAlign w:val="bottom"/>
          </w:tcPr>
          <w:p>
            <w:pPr>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bl>
    <w:p>
      <w:pPr>
        <w:sectPr>
          <w:pgSz w:w="11900" w:h="16838" w:orient="portrait"/>
          <w:cols w:equalWidth="0" w:num="2">
            <w:col w:w="5460" w:space="560"/>
            <w:col w:w="522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3446145" cy="2434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4614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Robin L. Matlock, 60</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2022</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260" w:right="3400"/>
        <w:spacing w:after="0" w:line="334" w:lineRule="auto"/>
        <w:rPr>
          <w:sz w:val="20"/>
          <w:szCs w:val="20"/>
          <w:color w:val="auto"/>
        </w:rPr>
      </w:pPr>
      <w:r>
        <w:rPr>
          <w:rFonts w:ascii="Arial" w:cs="Arial" w:eastAsia="Arial" w:hAnsi="Arial"/>
          <w:sz w:val="14"/>
          <w:szCs w:val="14"/>
          <w:b w:val="1"/>
          <w:bCs w:val="1"/>
          <w:color w:val="FFFFFF"/>
        </w:rPr>
        <w:t>Compensation Committee Governance Committee</w:t>
      </w:r>
    </w:p>
    <w:p>
      <w:pPr>
        <w:spacing w:after="0" w:line="317" w:lineRule="exact"/>
        <w:rPr>
          <w:sz w:val="20"/>
          <w:szCs w:val="20"/>
          <w:color w:val="auto"/>
        </w:rPr>
      </w:pPr>
    </w:p>
    <w:tbl>
      <w:tblPr>
        <w:tblLayout w:type="fixed"/>
        <w:tblInd w:w="240" w:type="dxa"/>
        <w:tblCellMar>
          <w:top w:w="0" w:type="dxa"/>
          <w:left w:w="0" w:type="dxa"/>
          <w:bottom w:w="0" w:type="dxa"/>
          <w:right w:w="0" w:type="dxa"/>
        </w:tblCellMar>
      </w:tblPr>
      <w:tr>
        <w:trPr>
          <w:trHeight w:val="108"/>
        </w:trPr>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shd w:val="clear" w:color="auto" w:fill="1A3FD6"/>
          </w:tcPr>
          <w:p>
            <w:pPr>
              <w:spacing w:after="0"/>
              <w:rPr>
                <w:sz w:val="9"/>
                <w:szCs w:val="9"/>
                <w:color w:val="auto"/>
              </w:rPr>
            </w:pPr>
          </w:p>
        </w:tc>
        <w:tc>
          <w:tcPr>
            <w:tcW w:w="2580" w:type="dxa"/>
            <w:vAlign w:val="bottom"/>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00" w:type="dxa"/>
            <w:vAlign w:val="bottom"/>
            <w:gridSpan w:val="2"/>
            <w:shd w:val="clear" w:color="auto" w:fill="1A3FD6"/>
          </w:tcPr>
          <w:p>
            <w:pPr>
              <w:ind w:left="20"/>
              <w:spacing w:after="0"/>
              <w:rPr>
                <w:sz w:val="20"/>
                <w:szCs w:val="20"/>
                <w:color w:val="auto"/>
              </w:rPr>
            </w:pPr>
            <w:r>
              <w:rPr>
                <w:rFonts w:ascii="Arial" w:cs="Arial" w:eastAsia="Arial" w:hAnsi="Arial"/>
                <w:sz w:val="14"/>
                <w:szCs w:val="14"/>
                <w:b w:val="1"/>
                <w:bCs w:val="1"/>
                <w:color w:val="00C4B3"/>
              </w:rPr>
              <w:t>Core Competencies:</w:t>
            </w:r>
          </w:p>
        </w:tc>
        <w:tc>
          <w:tcPr>
            <w:tcW w:w="120" w:type="dxa"/>
            <w:vAlign w:val="bottom"/>
            <w:shd w:val="clear" w:color="auto" w:fill="1A3FD6"/>
          </w:tcPr>
          <w:p>
            <w:pPr>
              <w:spacing w:after="0"/>
              <w:rPr>
                <w:sz w:val="18"/>
                <w:szCs w:val="18"/>
                <w:color w:val="auto"/>
              </w:rPr>
            </w:pPr>
          </w:p>
        </w:tc>
        <w:tc>
          <w:tcPr>
            <w:tcW w:w="2580" w:type="dxa"/>
            <w:vAlign w:val="bottom"/>
            <w:shd w:val="clear" w:color="auto" w:fill="1A3FD6"/>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shd w:val="clear" w:color="auto" w:fill="1A3FD6"/>
          </w:tcPr>
          <w:p>
            <w:pPr>
              <w:ind w:left="40"/>
              <w:spacing w:after="0"/>
              <w:rPr>
                <w:sz w:val="20"/>
                <w:szCs w:val="20"/>
                <w:color w:val="auto"/>
              </w:rPr>
            </w:pPr>
            <w:r>
              <w:rPr>
                <w:rFonts w:ascii="Arial" w:cs="Arial" w:eastAsia="Arial" w:hAnsi="Arial"/>
                <w:sz w:val="14"/>
                <w:szCs w:val="14"/>
                <w:b w:val="1"/>
                <w:bCs w:val="1"/>
                <w:color w:val="FFFFFF"/>
              </w:rPr>
              <w:t>Technology, Data and</w:t>
            </w:r>
          </w:p>
        </w:tc>
        <w:tc>
          <w:tcPr>
            <w:tcW w:w="0" w:type="dxa"/>
            <w:vAlign w:val="bottom"/>
          </w:tcPr>
          <w:p>
            <w:pPr>
              <w:spacing w:after="0"/>
              <w:rPr>
                <w:sz w:val="1"/>
                <w:szCs w:val="1"/>
                <w:color w:val="auto"/>
              </w:rPr>
            </w:pPr>
          </w:p>
        </w:tc>
      </w:tr>
      <w:tr>
        <w:trPr>
          <w:trHeight w:val="196"/>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120" w:type="dxa"/>
            <w:vAlign w:val="bottom"/>
            <w:shd w:val="clear" w:color="auto" w:fill="1A3FD6"/>
          </w:tcPr>
          <w:p>
            <w:pPr>
              <w:spacing w:after="0"/>
              <w:rPr>
                <w:sz w:val="17"/>
                <w:szCs w:val="17"/>
                <w:color w:val="auto"/>
              </w:rPr>
            </w:pPr>
          </w:p>
        </w:tc>
        <w:tc>
          <w:tcPr>
            <w:tcW w:w="2580" w:type="dxa"/>
            <w:vAlign w:val="bottom"/>
            <w:shd w:val="clear" w:color="auto" w:fill="1A3FD6"/>
          </w:tcPr>
          <w:p>
            <w:pPr>
              <w:ind w:left="80"/>
              <w:spacing w:after="0"/>
              <w:rPr>
                <w:sz w:val="20"/>
                <w:szCs w:val="20"/>
                <w:color w:val="auto"/>
              </w:rPr>
            </w:pPr>
            <w:r>
              <w:rPr>
                <w:rFonts w:ascii="Arial" w:cs="Arial" w:eastAsia="Arial" w:hAnsi="Arial"/>
                <w:sz w:val="14"/>
                <w:szCs w:val="14"/>
                <w:b w:val="1"/>
                <w:bCs w:val="1"/>
                <w:color w:val="FFFFFF"/>
              </w:rPr>
              <w:t>Cybersecurity Expertise</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38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580" w:type="dxa"/>
            <w:vAlign w:val="bottom"/>
            <w:vMerge w:val="restart"/>
            <w:shd w:val="clear" w:color="auto" w:fill="1A3FD6"/>
          </w:tcPr>
          <w:p>
            <w:pPr>
              <w:ind w:left="40"/>
              <w:spacing w:after="0"/>
              <w:rPr>
                <w:sz w:val="20"/>
                <w:szCs w:val="20"/>
                <w:color w:val="auto"/>
              </w:rPr>
            </w:pPr>
            <w:r>
              <w:rPr>
                <w:rFonts w:ascii="Arial" w:cs="Arial" w:eastAsia="Arial" w:hAnsi="Arial"/>
                <w:sz w:val="14"/>
                <w:szCs w:val="14"/>
                <w:b w:val="1"/>
                <w:bCs w:val="1"/>
                <w:color w:val="FFFFFF"/>
              </w:rPr>
              <w:t>Sustainability and Climate</w:t>
            </w:r>
          </w:p>
        </w:tc>
        <w:tc>
          <w:tcPr>
            <w:tcW w:w="0" w:type="dxa"/>
            <w:vAlign w:val="bottom"/>
          </w:tcPr>
          <w:p>
            <w:pPr>
              <w:spacing w:after="0"/>
              <w:rPr>
                <w:sz w:val="1"/>
                <w:szCs w:val="1"/>
                <w:color w:val="auto"/>
              </w:rPr>
            </w:pPr>
          </w:p>
        </w:tc>
      </w:tr>
      <w:tr>
        <w:trPr>
          <w:trHeight w:val="182"/>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 Development</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vMerge w:val="continue"/>
            <w:shd w:val="clear" w:color="auto" w:fill="1A3FD6"/>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20" w:type="dxa"/>
            <w:vAlign w:val="bottom"/>
            <w:vMerge w:val="continue"/>
            <w:shd w:val="clear" w:color="auto" w:fill="1A3FD6"/>
          </w:tcPr>
          <w:p>
            <w:pPr>
              <w:spacing w:after="0"/>
              <w:rPr>
                <w:sz w:val="6"/>
                <w:szCs w:val="6"/>
                <w:color w:val="auto"/>
              </w:rPr>
            </w:pPr>
          </w:p>
        </w:tc>
        <w:tc>
          <w:tcPr>
            <w:tcW w:w="2380" w:type="dxa"/>
            <w:vAlign w:val="bottom"/>
            <w:vMerge w:val="continue"/>
            <w:shd w:val="clear" w:color="auto" w:fill="1A3FD6"/>
          </w:tcPr>
          <w:p>
            <w:pPr>
              <w:spacing w:after="0"/>
              <w:rPr>
                <w:sz w:val="6"/>
                <w:szCs w:val="6"/>
                <w:color w:val="auto"/>
              </w:rPr>
            </w:pPr>
          </w:p>
        </w:tc>
        <w:tc>
          <w:tcPr>
            <w:tcW w:w="120" w:type="dxa"/>
            <w:vAlign w:val="bottom"/>
            <w:shd w:val="clear" w:color="auto" w:fill="1A3FD6"/>
          </w:tcPr>
          <w:p>
            <w:pPr>
              <w:spacing w:after="0"/>
              <w:rPr>
                <w:sz w:val="6"/>
                <w:szCs w:val="6"/>
                <w:color w:val="auto"/>
              </w:rPr>
            </w:pPr>
          </w:p>
        </w:tc>
        <w:tc>
          <w:tcPr>
            <w:tcW w:w="25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Practices</w:t>
            </w:r>
          </w:p>
        </w:tc>
        <w:tc>
          <w:tcPr>
            <w:tcW w:w="0" w:type="dxa"/>
            <w:vAlign w:val="bottom"/>
          </w:tcPr>
          <w:p>
            <w:pPr>
              <w:spacing w:after="0"/>
              <w:rPr>
                <w:sz w:val="1"/>
                <w:szCs w:val="1"/>
                <w:color w:val="auto"/>
              </w:rPr>
            </w:pPr>
          </w:p>
        </w:tc>
      </w:tr>
      <w:tr>
        <w:trPr>
          <w:trHeight w:val="122"/>
        </w:trPr>
        <w:tc>
          <w:tcPr>
            <w:tcW w:w="2500" w:type="dxa"/>
            <w:vAlign w:val="bottom"/>
            <w:gridSpan w:val="2"/>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Client Relations, Marketing and</w:t>
            </w:r>
          </w:p>
        </w:tc>
        <w:tc>
          <w:tcPr>
            <w:tcW w:w="120" w:type="dxa"/>
            <w:vAlign w:val="bottom"/>
            <w:shd w:val="clear" w:color="auto" w:fill="1A3FD6"/>
          </w:tcPr>
          <w:p>
            <w:pPr>
              <w:spacing w:after="0"/>
              <w:rPr>
                <w:sz w:val="10"/>
                <w:szCs w:val="10"/>
                <w:color w:val="auto"/>
              </w:rPr>
            </w:pPr>
          </w:p>
        </w:tc>
        <w:tc>
          <w:tcPr>
            <w:tcW w:w="2580" w:type="dxa"/>
            <w:vAlign w:val="bottom"/>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00" w:type="dxa"/>
            <w:vAlign w:val="bottom"/>
            <w:gridSpan w:val="2"/>
            <w:vMerge w:val="continue"/>
            <w:shd w:val="clear" w:color="auto" w:fill="1A3FD6"/>
          </w:tcPr>
          <w:p>
            <w:pPr>
              <w:spacing w:after="0"/>
              <w:rPr>
                <w:sz w:val="11"/>
                <w:szCs w:val="11"/>
                <w:color w:val="auto"/>
              </w:rPr>
            </w:pPr>
          </w:p>
        </w:tc>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vMerge w:val="restart"/>
            <w:shd w:val="clear" w:color="auto" w:fill="1A3FD6"/>
          </w:tcPr>
          <w:p>
            <w:pPr>
              <w:ind w:left="4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29"/>
        </w:trPr>
        <w:tc>
          <w:tcPr>
            <w:tcW w:w="120" w:type="dxa"/>
            <w:vAlign w:val="bottom"/>
            <w:shd w:val="clear" w:color="auto" w:fill="1A3FD6"/>
          </w:tcPr>
          <w:p>
            <w:pPr>
              <w:spacing w:after="0"/>
              <w:rPr>
                <w:sz w:val="11"/>
                <w:szCs w:val="11"/>
                <w:color w:val="auto"/>
              </w:rPr>
            </w:pPr>
          </w:p>
        </w:tc>
        <w:tc>
          <w:tcPr>
            <w:tcW w:w="23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Brand Development</w:t>
            </w:r>
          </w:p>
        </w:tc>
        <w:tc>
          <w:tcPr>
            <w:tcW w:w="120" w:type="dxa"/>
            <w:vAlign w:val="bottom"/>
            <w:vMerge w:val="continue"/>
            <w:shd w:val="clear" w:color="auto" w:fill="1A3FD6"/>
          </w:tcPr>
          <w:p>
            <w:pPr>
              <w:spacing w:after="0"/>
              <w:rPr>
                <w:sz w:val="11"/>
                <w:szCs w:val="11"/>
                <w:color w:val="auto"/>
              </w:rPr>
            </w:pPr>
          </w:p>
        </w:tc>
        <w:tc>
          <w:tcPr>
            <w:tcW w:w="2580" w:type="dxa"/>
            <w:vAlign w:val="bottom"/>
            <w:vMerge w:val="continue"/>
            <w:shd w:val="clear" w:color="auto" w:fill="1A3FD6"/>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1A3FD6"/>
          </w:tcPr>
          <w:p>
            <w:pPr>
              <w:spacing w:after="0"/>
              <w:rPr>
                <w:sz w:val="5"/>
                <w:szCs w:val="5"/>
                <w:color w:val="auto"/>
              </w:rPr>
            </w:pPr>
          </w:p>
        </w:tc>
        <w:tc>
          <w:tcPr>
            <w:tcW w:w="238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580" w:type="dxa"/>
            <w:vAlign w:val="bottom"/>
            <w:shd w:val="clear" w:color="auto" w:fill="1A3FD6"/>
          </w:tcPr>
          <w:p>
            <w:pPr>
              <w:spacing w:after="0"/>
              <w:rPr>
                <w:sz w:val="5"/>
                <w:szCs w:val="5"/>
                <w:color w:val="auto"/>
              </w:rPr>
            </w:pPr>
          </w:p>
        </w:tc>
        <w:tc>
          <w:tcPr>
            <w:tcW w:w="0" w:type="dxa"/>
            <w:vAlign w:val="bottom"/>
          </w:tcPr>
          <w:p>
            <w:pPr>
              <w:spacing w:after="0"/>
              <w:rPr>
                <w:sz w:val="1"/>
                <w:szCs w:val="1"/>
                <w:color w:val="auto"/>
              </w:rPr>
            </w:pPr>
          </w:p>
        </w:tc>
      </w:tr>
      <w:tr>
        <w:trPr>
          <w:trHeight w:val="434"/>
        </w:trPr>
        <w:tc>
          <w:tcPr>
            <w:tcW w:w="120" w:type="dxa"/>
            <w:vAlign w:val="bottom"/>
            <w:shd w:val="clear" w:color="auto" w:fill="1A3FD6"/>
          </w:tcPr>
          <w:p>
            <w:pPr>
              <w:spacing w:after="0"/>
              <w:rPr>
                <w:sz w:val="24"/>
                <w:szCs w:val="24"/>
                <w:color w:val="auto"/>
              </w:rPr>
            </w:pPr>
          </w:p>
        </w:tc>
        <w:tc>
          <w:tcPr>
            <w:tcW w:w="2380" w:type="dxa"/>
            <w:vAlign w:val="bottom"/>
            <w:shd w:val="clear" w:color="auto" w:fill="1A3FD6"/>
          </w:tcPr>
          <w:p>
            <w:pPr>
              <w:spacing w:after="0"/>
              <w:rPr>
                <w:sz w:val="24"/>
                <w:szCs w:val="24"/>
                <w:color w:val="auto"/>
              </w:rPr>
            </w:pPr>
          </w:p>
        </w:tc>
        <w:tc>
          <w:tcPr>
            <w:tcW w:w="120" w:type="dxa"/>
            <w:vAlign w:val="bottom"/>
            <w:shd w:val="clear" w:color="auto" w:fill="1A3FD6"/>
          </w:tcPr>
          <w:p>
            <w:pPr>
              <w:spacing w:after="0"/>
              <w:rPr>
                <w:sz w:val="24"/>
                <w:szCs w:val="24"/>
                <w:color w:val="auto"/>
              </w:rPr>
            </w:pPr>
          </w:p>
        </w:tc>
        <w:tc>
          <w:tcPr>
            <w:tcW w:w="2580" w:type="dxa"/>
            <w:vAlign w:val="bottom"/>
            <w:shd w:val="clear" w:color="auto" w:fill="1A3FD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890" cy="30600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3060065"/>
                    </a:xfrm>
                    <a:prstGeom prst="rect">
                      <a:avLst/>
                    </a:prstGeom>
                    <a:noFill/>
                  </pic:spPr>
                </pic:pic>
              </a:graphicData>
            </a:graphic>
          </wp:anchor>
        </w:drawing>
      </w:r>
    </w:p>
    <w:p>
      <w:pPr>
        <w:spacing w:after="0" w:line="146" w:lineRule="exact"/>
        <w:rPr>
          <w:sz w:val="20"/>
          <w:szCs w:val="20"/>
          <w:color w:val="auto"/>
        </w:rPr>
      </w:pPr>
    </w:p>
    <w:p>
      <w:pPr>
        <w:ind w:left="260" w:right="80"/>
        <w:spacing w:after="0" w:line="284" w:lineRule="auto"/>
        <w:rPr>
          <w:sz w:val="20"/>
          <w:szCs w:val="20"/>
          <w:color w:val="auto"/>
        </w:rPr>
      </w:pPr>
      <w:r>
        <w:rPr>
          <w:rFonts w:ascii="Arial" w:cs="Arial" w:eastAsia="Arial" w:hAnsi="Arial"/>
          <w:sz w:val="14"/>
          <w:szCs w:val="14"/>
          <w:color w:val="auto"/>
        </w:rPr>
        <w:t>Ms. Matlock previously served as the Senior Vice President and Chief Marketing Officer of VMware, Inc. (“VMware”), a software virtualization company, a position she held from 2013 to 2020. Ms. Matlock previously served as Vice President, Corporate Marketing at VMware from 2009 to 2013. Before VMware, Ms. Matlock served as Executive Vice President and General Manager of Imperva Inc., a cybersecurity software and services company. Prior to that, she held executive positions in a number of technology companies, including McAfee, Entercept Security Technologies and Symantec Corporation. Ms. Matlock has also served as a director and advisor of private technology companies. She earned her Bachelor of Arts degree in Economics and Music from Rice University.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left="260" w:right="80"/>
        <w:spacing w:after="0" w:line="283" w:lineRule="auto"/>
        <w:rPr>
          <w:sz w:val="20"/>
          <w:szCs w:val="20"/>
          <w:color w:val="auto"/>
        </w:rPr>
      </w:pPr>
      <w:r>
        <w:rPr>
          <w:rFonts w:ascii="Arial" w:cs="Arial" w:eastAsia="Arial" w:hAnsi="Arial"/>
          <w:sz w:val="14"/>
          <w:szCs w:val="14"/>
          <w:color w:val="auto"/>
        </w:rPr>
        <w:t>We believe that Ms. Matlock’s extensive experience in the areas of go-to-market and marketing strategy, client insight and technological innovation render her qualified to serve as one of our directors. Her prior experience in marketing, digital solutions and business development in a leading technology company, and her current experience as a director and advisor to a number of private technology companies, add to her deep understanding of the technology sector and the importance of client centricity. Her public company board experience also enables her to contribute valuable insights into corporate governance and the Board’s role in risk oversight.</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4"/>
          <w:szCs w:val="14"/>
          <w:color w:val="1A3FD6"/>
        </w:rPr>
        <w:t>Current Other Public Company Directorships: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Iron Mountain Incorporated (July 2019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528955</wp:posOffset>
            </wp:positionV>
            <wp:extent cx="55689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FFFFFF"/>
        </w:rPr>
        <w:t xml:space="preserve">Jacques P. Perold, </w:t>
      </w:r>
      <w:r>
        <w:rPr>
          <w:rFonts w:ascii="Arial" w:cs="Arial" w:eastAsia="Arial" w:hAnsi="Arial"/>
          <w:sz w:val="16"/>
          <w:szCs w:val="16"/>
          <w:b w:val="1"/>
          <w:bCs w:val="1"/>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-227330</wp:posOffset>
            </wp:positionV>
            <wp:extent cx="3505835" cy="2434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05835" cy="24345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Compensation Committee (Chair)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Strategy Committee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gridSpan w:val="2"/>
          </w:tcPr>
          <w:p>
            <w:pPr>
              <w:spacing w:after="0"/>
              <w:rPr>
                <w:sz w:val="20"/>
                <w:szCs w:val="20"/>
                <w:color w:val="auto"/>
              </w:rPr>
            </w:pPr>
            <w:r>
              <w:rPr>
                <w:rFonts w:ascii="Arial" w:cs="Arial" w:eastAsia="Arial" w:hAnsi="Arial"/>
                <w:sz w:val="14"/>
                <w:szCs w:val="14"/>
                <w:b w:val="1"/>
                <w:bCs w:val="1"/>
                <w:color w:val="00C4B3"/>
              </w:rPr>
              <w:t>Core Competencies:</w:t>
            </w: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Arial" w:cs="Arial" w:eastAsia="Arial" w:hAnsi="Arial"/>
                <w:sz w:val="13"/>
                <w:szCs w:val="13"/>
                <w:b w:val="1"/>
                <w:bCs w:val="1"/>
                <w:color w:val="00A798"/>
              </w:rPr>
              <w:t>•</w:t>
            </w:r>
          </w:p>
        </w:tc>
        <w:tc>
          <w:tcPr>
            <w:tcW w:w="2320" w:type="dxa"/>
            <w:vAlign w:val="bottom"/>
          </w:tcPr>
          <w:p>
            <w:pPr>
              <w:ind w:left="40"/>
              <w:spacing w:after="0"/>
              <w:rPr>
                <w:sz w:val="20"/>
                <w:szCs w:val="20"/>
                <w:color w:val="auto"/>
              </w:rPr>
            </w:pPr>
            <w:r>
              <w:rPr>
                <w:rFonts w:ascii="Arial" w:cs="Arial" w:eastAsia="Arial" w:hAnsi="Arial"/>
                <w:sz w:val="14"/>
                <w:szCs w:val="14"/>
                <w:b w:val="1"/>
                <w:bCs w:val="1"/>
                <w:color w:val="FFFFFF"/>
              </w:rPr>
              <w:t>Executive Leadership</w:t>
            </w:r>
          </w:p>
        </w:tc>
        <w:tc>
          <w:tcPr>
            <w:tcW w:w="220" w:type="dxa"/>
            <w:vAlign w:val="bottom"/>
          </w:tcPr>
          <w:p>
            <w:pPr>
              <w:ind w:left="120"/>
              <w:spacing w:after="0"/>
              <w:rPr>
                <w:sz w:val="20"/>
                <w:szCs w:val="20"/>
                <w:color w:val="auto"/>
              </w:rPr>
            </w:pPr>
            <w:r>
              <w:rPr>
                <w:rFonts w:ascii="Arial" w:cs="Arial" w:eastAsia="Arial" w:hAnsi="Arial"/>
                <w:sz w:val="13"/>
                <w:szCs w:val="13"/>
                <w:b w:val="1"/>
                <w:bCs w:val="1"/>
                <w:color w:val="00A798"/>
              </w:rPr>
              <w:t>•</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FFFFFF"/>
              </w:rPr>
              <w:t>Technology, Data and</w:t>
            </w:r>
          </w:p>
        </w:tc>
        <w:tc>
          <w:tcPr>
            <w:tcW w:w="0" w:type="dxa"/>
            <w:vAlign w:val="bottom"/>
          </w:tcPr>
          <w:p>
            <w:pPr>
              <w:spacing w:after="0"/>
              <w:rPr>
                <w:sz w:val="1"/>
                <w:szCs w:val="1"/>
                <w:color w:val="auto"/>
              </w:rPr>
            </w:pPr>
          </w:p>
        </w:tc>
      </w:tr>
      <w:tr>
        <w:trPr>
          <w:trHeight w:val="196"/>
        </w:trPr>
        <w:tc>
          <w:tcPr>
            <w:tcW w:w="10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Investment Industry Expertise</w:t>
            </w:r>
          </w:p>
        </w:tc>
        <w:tc>
          <w:tcPr>
            <w:tcW w:w="220" w:type="dxa"/>
            <w:vAlign w:val="bottom"/>
          </w:tcPr>
          <w:p>
            <w:pPr>
              <w:spacing w:after="0"/>
              <w:rPr>
                <w:sz w:val="17"/>
                <w:szCs w:val="17"/>
                <w:color w:val="auto"/>
              </w:rPr>
            </w:pPr>
          </w:p>
        </w:tc>
        <w:tc>
          <w:tcPr>
            <w:tcW w:w="1980" w:type="dxa"/>
            <w:vAlign w:val="bottom"/>
          </w:tcPr>
          <w:p>
            <w:pPr>
              <w:ind w:left="100"/>
              <w:spacing w:after="0"/>
              <w:rPr>
                <w:sz w:val="20"/>
                <w:szCs w:val="20"/>
                <w:color w:val="auto"/>
              </w:rPr>
            </w:pPr>
            <w:r>
              <w:rPr>
                <w:rFonts w:ascii="Arial" w:cs="Arial" w:eastAsia="Arial" w:hAnsi="Arial"/>
                <w:sz w:val="14"/>
                <w:szCs w:val="14"/>
                <w:b w:val="1"/>
                <w:bCs w:val="1"/>
                <w:color w:val="FFFFFF"/>
              </w:rPr>
              <w:t>Cybersecurity Expertise</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Sustainability and Climate</w:t>
            </w:r>
          </w:p>
        </w:tc>
        <w:tc>
          <w:tcPr>
            <w:tcW w:w="0" w:type="dxa"/>
            <w:vAlign w:val="bottom"/>
          </w:tcPr>
          <w:p>
            <w:pPr>
              <w:spacing w:after="0"/>
              <w:rPr>
                <w:sz w:val="1"/>
                <w:szCs w:val="1"/>
                <w:color w:val="auto"/>
              </w:rPr>
            </w:pPr>
          </w:p>
        </w:tc>
      </w:tr>
      <w:tr>
        <w:trPr>
          <w:trHeight w:val="182"/>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Financial Reporting and Capital</w:t>
            </w:r>
          </w:p>
        </w:tc>
        <w:tc>
          <w:tcPr>
            <w:tcW w:w="220" w:type="dxa"/>
            <w:vAlign w:val="bottom"/>
          </w:tcPr>
          <w:p>
            <w:pPr>
              <w:ind w:left="120"/>
              <w:spacing w:after="0"/>
              <w:rPr>
                <w:sz w:val="20"/>
                <w:szCs w:val="20"/>
                <w:color w:val="auto"/>
              </w:rPr>
            </w:pPr>
            <w:r>
              <w:rPr>
                <w:rFonts w:ascii="Arial" w:cs="Arial" w:eastAsia="Arial" w:hAnsi="Arial"/>
                <w:sz w:val="13"/>
                <w:szCs w:val="13"/>
                <w:b w:val="1"/>
                <w:bCs w:val="1"/>
                <w:color w:val="00A798"/>
              </w:rPr>
              <w:t>•</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4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restart"/>
          </w:tcPr>
          <w:p>
            <w:pPr>
              <w:ind w:left="100"/>
              <w:spacing w:after="0"/>
              <w:rPr>
                <w:sz w:val="20"/>
                <w:szCs w:val="20"/>
                <w:color w:val="auto"/>
              </w:rPr>
            </w:pPr>
            <w:r>
              <w:rPr>
                <w:rFonts w:ascii="Arial" w:cs="Arial" w:eastAsia="Arial" w:hAnsi="Arial"/>
                <w:sz w:val="14"/>
                <w:szCs w:val="14"/>
                <w:b w:val="1"/>
                <w:bCs w:val="1"/>
                <w:color w:val="FFFFFF"/>
              </w:rPr>
              <w:t>Practices</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FFFFFF"/>
              </w:rPr>
              <w:t>Allocation</w:t>
            </w:r>
          </w:p>
        </w:tc>
        <w:tc>
          <w:tcPr>
            <w:tcW w:w="22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89"/>
        </w:trPr>
        <w:tc>
          <w:tcPr>
            <w:tcW w:w="10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Corporate/Enterprise</w:t>
            </w:r>
          </w:p>
        </w:tc>
        <w:tc>
          <w:tcPr>
            <w:tcW w:w="220" w:type="dxa"/>
            <w:vAlign w:val="bottom"/>
          </w:tcPr>
          <w:p>
            <w:pPr>
              <w:ind w:left="120"/>
              <w:spacing w:after="0"/>
              <w:rPr>
                <w:sz w:val="20"/>
                <w:szCs w:val="20"/>
                <w:color w:val="auto"/>
              </w:rPr>
            </w:pPr>
            <w:r>
              <w:rPr>
                <w:rFonts w:ascii="Arial" w:cs="Arial" w:eastAsia="Arial" w:hAnsi="Arial"/>
                <w:sz w:val="13"/>
                <w:szCs w:val="13"/>
                <w:b w:val="1"/>
                <w:bCs w:val="1"/>
                <w:color w:val="00A798"/>
              </w:rPr>
              <w:t>•</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4"/>
          <w:szCs w:val="14"/>
          <w:b w:val="1"/>
          <w:bCs w:val="1"/>
          <w:color w:val="FFFFFF"/>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173355</wp:posOffset>
            </wp:positionV>
            <wp:extent cx="8890" cy="3060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306006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Mr. Perold was President of Fidelity Management &amp; Research Company, the investment advisor for Fidelity’s family of mutual funds, until his retirement in 2014. From 2001 to 2009, Mr. Perold was President of Geode Capital Management, LLC, a sub-advisor to Fidelity. He is currently a trustee of New York Life Insurance Company’s NYLI mutual funds, a trustee of Partners in Health, and a co-founder and Chairman of CapShift, a company focused on enabling impact investments from donor-advised funds and foundations. Mr. Perold holds a Bachelor of Arts degree in economic history from the University of Cape Town and a post-graduate Bachelor of Arts Honors degree in sociology from the University of Cape Town.</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believe that Mr. Perold’s over 30 years of experience and leadership in strategy and operations at one of the world’s largest asset management firms render him qualified to serve as one of our directors. Mr. Perold’s role in leading investments and operations for a global investment firm as well as serving as the founder of an investment advisory firm also provides the Board with valuable insight into the Company’s asset management client segment. In addition, his role as a senior business leader who oversaw compensation programs and goals provides knowledge of the role and responsibilities of our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1A3FD6"/>
        </w:rPr>
        <w:t>Current Other Public Company Directorships: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Allstate Corporation (December 2015 to present)</w:t>
      </w:r>
    </w:p>
    <w:p>
      <w:pPr>
        <w:sectPr>
          <w:pgSz w:w="11900" w:h="16838" w:orient="portrait"/>
          <w:cols w:equalWidth="0" w:num="2">
            <w:col w:w="5440" w:space="560"/>
            <w:col w:w="5220"/>
          </w:cols>
          <w:pgMar w:left="320" w:top="130" w:right="35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446145" cy="2597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461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Sandy C. Rattray, 56</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2020</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20" w:right="3320"/>
        <w:spacing w:after="0" w:line="334" w:lineRule="auto"/>
        <w:rPr>
          <w:sz w:val="20"/>
          <w:szCs w:val="20"/>
          <w:color w:val="auto"/>
        </w:rPr>
      </w:pPr>
      <w:r>
        <w:rPr>
          <w:rFonts w:ascii="Arial" w:cs="Arial" w:eastAsia="Arial" w:hAnsi="Arial"/>
          <w:sz w:val="14"/>
          <w:szCs w:val="14"/>
          <w:b w:val="1"/>
          <w:bCs w:val="1"/>
          <w:color w:val="FFFFFF"/>
        </w:rPr>
        <w:t>Governance Committee Strategy Committee (Chair)</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shd w:val="clear" w:color="auto" w:fill="1A3FD6"/>
          </w:tcPr>
          <w:p>
            <w:pPr>
              <w:spacing w:after="0"/>
              <w:rPr>
                <w:sz w:val="9"/>
                <w:szCs w:val="9"/>
                <w:color w:val="auto"/>
              </w:rPr>
            </w:pPr>
          </w:p>
        </w:tc>
        <w:tc>
          <w:tcPr>
            <w:tcW w:w="2580" w:type="dxa"/>
            <w:vAlign w:val="bottom"/>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00" w:type="dxa"/>
            <w:vAlign w:val="bottom"/>
            <w:gridSpan w:val="2"/>
            <w:shd w:val="clear" w:color="auto" w:fill="1A3FD6"/>
          </w:tcPr>
          <w:p>
            <w:pPr>
              <w:ind w:left="20"/>
              <w:spacing w:after="0"/>
              <w:rPr>
                <w:sz w:val="20"/>
                <w:szCs w:val="20"/>
                <w:color w:val="auto"/>
              </w:rPr>
            </w:pPr>
            <w:r>
              <w:rPr>
                <w:rFonts w:ascii="Arial" w:cs="Arial" w:eastAsia="Arial" w:hAnsi="Arial"/>
                <w:sz w:val="14"/>
                <w:szCs w:val="14"/>
                <w:b w:val="1"/>
                <w:bCs w:val="1"/>
                <w:color w:val="00C4B3"/>
              </w:rPr>
              <w:t>Core Competencies:</w:t>
            </w:r>
          </w:p>
        </w:tc>
        <w:tc>
          <w:tcPr>
            <w:tcW w:w="120" w:type="dxa"/>
            <w:vAlign w:val="bottom"/>
            <w:shd w:val="clear" w:color="auto" w:fill="1A3FD6"/>
          </w:tcPr>
          <w:p>
            <w:pPr>
              <w:spacing w:after="0"/>
              <w:rPr>
                <w:sz w:val="18"/>
                <w:szCs w:val="18"/>
                <w:color w:val="auto"/>
              </w:rPr>
            </w:pPr>
          </w:p>
        </w:tc>
        <w:tc>
          <w:tcPr>
            <w:tcW w:w="2580" w:type="dxa"/>
            <w:vAlign w:val="bottom"/>
            <w:shd w:val="clear" w:color="auto" w:fill="1A3FD6"/>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shd w:val="clear" w:color="auto" w:fill="1A3FD6"/>
          </w:tcPr>
          <w:p>
            <w:pPr>
              <w:ind w:left="40"/>
              <w:spacing w:after="0"/>
              <w:rPr>
                <w:sz w:val="20"/>
                <w:szCs w:val="20"/>
                <w:color w:val="auto"/>
              </w:rPr>
            </w:pPr>
            <w:r>
              <w:rPr>
                <w:rFonts w:ascii="Arial" w:cs="Arial" w:eastAsia="Arial" w:hAnsi="Arial"/>
                <w:sz w:val="14"/>
                <w:szCs w:val="14"/>
                <w:b w:val="1"/>
                <w:bCs w:val="1"/>
                <w:color w:val="FFFFFF"/>
              </w:rPr>
              <w:t>Corporate/Enterprise</w:t>
            </w:r>
          </w:p>
        </w:tc>
        <w:tc>
          <w:tcPr>
            <w:tcW w:w="0" w:type="dxa"/>
            <w:vAlign w:val="bottom"/>
          </w:tcPr>
          <w:p>
            <w:pPr>
              <w:spacing w:after="0"/>
              <w:rPr>
                <w:sz w:val="1"/>
                <w:szCs w:val="1"/>
                <w:color w:val="auto"/>
              </w:rPr>
            </w:pPr>
          </w:p>
        </w:tc>
      </w:tr>
      <w:tr>
        <w:trPr>
          <w:trHeight w:val="196"/>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Investment Industry Expertise</w:t>
            </w:r>
          </w:p>
        </w:tc>
        <w:tc>
          <w:tcPr>
            <w:tcW w:w="120" w:type="dxa"/>
            <w:vAlign w:val="bottom"/>
            <w:shd w:val="clear" w:color="auto" w:fill="1A3FD6"/>
          </w:tcPr>
          <w:p>
            <w:pPr>
              <w:spacing w:after="0"/>
              <w:rPr>
                <w:sz w:val="17"/>
                <w:szCs w:val="17"/>
                <w:color w:val="auto"/>
              </w:rPr>
            </w:pPr>
          </w:p>
        </w:tc>
        <w:tc>
          <w:tcPr>
            <w:tcW w:w="2580" w:type="dxa"/>
            <w:vAlign w:val="bottom"/>
            <w:shd w:val="clear" w:color="auto" w:fill="1A3FD6"/>
          </w:tcPr>
          <w:p>
            <w:pPr>
              <w:ind w:left="80"/>
              <w:spacing w:after="0"/>
              <w:rPr>
                <w:sz w:val="20"/>
                <w:szCs w:val="20"/>
                <w:color w:val="auto"/>
              </w:rPr>
            </w:pPr>
            <w:r>
              <w:rPr>
                <w:rFonts w:ascii="Arial" w:cs="Arial" w:eastAsia="Arial" w:hAnsi="Arial"/>
                <w:sz w:val="14"/>
                <w:szCs w:val="14"/>
                <w:b w:val="1"/>
                <w:bCs w:val="1"/>
                <w:color w:val="FFFFFF"/>
              </w:rPr>
              <w:t>Risk Management</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380" w:type="dxa"/>
            <w:vAlign w:val="bottom"/>
            <w:vMerge w:val="continue"/>
            <w:shd w:val="clear" w:color="auto" w:fill="1A3FD6"/>
          </w:tcPr>
          <w:p>
            <w:pPr>
              <w:spacing w:after="0"/>
              <w:rPr>
                <w:sz w:val="5"/>
                <w:szCs w:val="5"/>
                <w:color w:val="auto"/>
              </w:rPr>
            </w:pPr>
          </w:p>
        </w:tc>
        <w:tc>
          <w:tcPr>
            <w:tcW w:w="2700" w:type="dxa"/>
            <w:vAlign w:val="bottom"/>
            <w:gridSpan w:val="2"/>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Client Relations, Marketing and</w:t>
            </w:r>
          </w:p>
        </w:tc>
        <w:tc>
          <w:tcPr>
            <w:tcW w:w="0" w:type="dxa"/>
            <w:vAlign w:val="bottom"/>
          </w:tcPr>
          <w:p>
            <w:pPr>
              <w:spacing w:after="0"/>
              <w:rPr>
                <w:sz w:val="1"/>
                <w:szCs w:val="1"/>
                <w:color w:val="auto"/>
              </w:rPr>
            </w:pPr>
          </w:p>
        </w:tc>
      </w:tr>
      <w:tr>
        <w:trPr>
          <w:trHeight w:val="182"/>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2700" w:type="dxa"/>
            <w:vAlign w:val="bottom"/>
            <w:gridSpan w:val="2"/>
            <w:vMerge w:val="continue"/>
            <w:shd w:val="clear" w:color="auto" w:fill="1A3FD6"/>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20" w:type="dxa"/>
            <w:vAlign w:val="bottom"/>
            <w:vMerge w:val="continue"/>
            <w:shd w:val="clear" w:color="auto" w:fill="1A3FD6"/>
          </w:tcPr>
          <w:p>
            <w:pPr>
              <w:spacing w:after="0"/>
              <w:rPr>
                <w:sz w:val="6"/>
                <w:szCs w:val="6"/>
                <w:color w:val="auto"/>
              </w:rPr>
            </w:pPr>
          </w:p>
        </w:tc>
        <w:tc>
          <w:tcPr>
            <w:tcW w:w="2380" w:type="dxa"/>
            <w:vAlign w:val="bottom"/>
            <w:vMerge w:val="continue"/>
            <w:shd w:val="clear" w:color="auto" w:fill="1A3FD6"/>
          </w:tcPr>
          <w:p>
            <w:pPr>
              <w:spacing w:after="0"/>
              <w:rPr>
                <w:sz w:val="6"/>
                <w:szCs w:val="6"/>
                <w:color w:val="auto"/>
              </w:rPr>
            </w:pPr>
          </w:p>
        </w:tc>
        <w:tc>
          <w:tcPr>
            <w:tcW w:w="120" w:type="dxa"/>
            <w:vAlign w:val="bottom"/>
            <w:shd w:val="clear" w:color="auto" w:fill="1A3FD6"/>
          </w:tcPr>
          <w:p>
            <w:pPr>
              <w:spacing w:after="0"/>
              <w:rPr>
                <w:sz w:val="6"/>
                <w:szCs w:val="6"/>
                <w:color w:val="auto"/>
              </w:rPr>
            </w:pPr>
          </w:p>
        </w:tc>
        <w:tc>
          <w:tcPr>
            <w:tcW w:w="25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Brand Development</w:t>
            </w:r>
          </w:p>
        </w:tc>
        <w:tc>
          <w:tcPr>
            <w:tcW w:w="0" w:type="dxa"/>
            <w:vAlign w:val="bottom"/>
          </w:tcPr>
          <w:p>
            <w:pPr>
              <w:spacing w:after="0"/>
              <w:rPr>
                <w:sz w:val="1"/>
                <w:szCs w:val="1"/>
                <w:color w:val="auto"/>
              </w:rPr>
            </w:pPr>
          </w:p>
        </w:tc>
      </w:tr>
      <w:tr>
        <w:trPr>
          <w:trHeight w:val="122"/>
        </w:trPr>
        <w:tc>
          <w:tcPr>
            <w:tcW w:w="2500" w:type="dxa"/>
            <w:vAlign w:val="bottom"/>
            <w:gridSpan w:val="2"/>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Financial Reporting and Capital</w:t>
            </w:r>
          </w:p>
        </w:tc>
        <w:tc>
          <w:tcPr>
            <w:tcW w:w="120" w:type="dxa"/>
            <w:vAlign w:val="bottom"/>
            <w:shd w:val="clear" w:color="auto" w:fill="1A3FD6"/>
          </w:tcPr>
          <w:p>
            <w:pPr>
              <w:spacing w:after="0"/>
              <w:rPr>
                <w:sz w:val="10"/>
                <w:szCs w:val="10"/>
                <w:color w:val="auto"/>
              </w:rPr>
            </w:pPr>
          </w:p>
        </w:tc>
        <w:tc>
          <w:tcPr>
            <w:tcW w:w="2580" w:type="dxa"/>
            <w:vAlign w:val="bottom"/>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00" w:type="dxa"/>
            <w:vAlign w:val="bottom"/>
            <w:gridSpan w:val="2"/>
            <w:vMerge w:val="continue"/>
            <w:shd w:val="clear" w:color="auto" w:fill="1A3FD6"/>
          </w:tcPr>
          <w:p>
            <w:pPr>
              <w:spacing w:after="0"/>
              <w:rPr>
                <w:sz w:val="11"/>
                <w:szCs w:val="11"/>
                <w:color w:val="auto"/>
              </w:rPr>
            </w:pPr>
          </w:p>
        </w:tc>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vMerge w:val="restart"/>
            <w:shd w:val="clear" w:color="auto" w:fill="1A3FD6"/>
          </w:tcPr>
          <w:p>
            <w:pPr>
              <w:ind w:left="40"/>
              <w:spacing w:after="0"/>
              <w:rPr>
                <w:sz w:val="20"/>
                <w:szCs w:val="20"/>
                <w:color w:val="auto"/>
              </w:rPr>
            </w:pPr>
            <w:r>
              <w:rPr>
                <w:rFonts w:ascii="Arial" w:cs="Arial" w:eastAsia="Arial" w:hAnsi="Arial"/>
                <w:sz w:val="14"/>
                <w:szCs w:val="14"/>
                <w:b w:val="1"/>
                <w:bCs w:val="1"/>
                <w:color w:val="FFFFFF"/>
              </w:rPr>
              <w:t>Technology, Data and</w:t>
            </w:r>
          </w:p>
        </w:tc>
        <w:tc>
          <w:tcPr>
            <w:tcW w:w="0" w:type="dxa"/>
            <w:vAlign w:val="bottom"/>
          </w:tcPr>
          <w:p>
            <w:pPr>
              <w:spacing w:after="0"/>
              <w:rPr>
                <w:sz w:val="1"/>
                <w:szCs w:val="1"/>
                <w:color w:val="auto"/>
              </w:rPr>
            </w:pPr>
          </w:p>
        </w:tc>
      </w:tr>
      <w:tr>
        <w:trPr>
          <w:trHeight w:val="122"/>
        </w:trPr>
        <w:tc>
          <w:tcPr>
            <w:tcW w:w="120" w:type="dxa"/>
            <w:vAlign w:val="bottom"/>
            <w:shd w:val="clear" w:color="auto" w:fill="1A3FD6"/>
          </w:tcPr>
          <w:p>
            <w:pPr>
              <w:spacing w:after="0"/>
              <w:rPr>
                <w:sz w:val="10"/>
                <w:szCs w:val="10"/>
                <w:color w:val="auto"/>
              </w:rPr>
            </w:pPr>
          </w:p>
        </w:tc>
        <w:tc>
          <w:tcPr>
            <w:tcW w:w="23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Allocation</w:t>
            </w:r>
          </w:p>
        </w:tc>
        <w:tc>
          <w:tcPr>
            <w:tcW w:w="120" w:type="dxa"/>
            <w:vAlign w:val="bottom"/>
            <w:vMerge w:val="continue"/>
            <w:shd w:val="clear" w:color="auto" w:fill="1A3FD6"/>
          </w:tcPr>
          <w:p>
            <w:pPr>
              <w:spacing w:after="0"/>
              <w:rPr>
                <w:sz w:val="10"/>
                <w:szCs w:val="10"/>
                <w:color w:val="auto"/>
              </w:rPr>
            </w:pPr>
          </w:p>
        </w:tc>
        <w:tc>
          <w:tcPr>
            <w:tcW w:w="2580" w:type="dxa"/>
            <w:vAlign w:val="bottom"/>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20" w:type="dxa"/>
            <w:vAlign w:val="bottom"/>
            <w:shd w:val="clear" w:color="auto" w:fill="1A3FD6"/>
          </w:tcPr>
          <w:p>
            <w:pPr>
              <w:spacing w:after="0"/>
              <w:rPr>
                <w:sz w:val="6"/>
                <w:szCs w:val="6"/>
                <w:color w:val="auto"/>
              </w:rPr>
            </w:pPr>
          </w:p>
        </w:tc>
        <w:tc>
          <w:tcPr>
            <w:tcW w:w="2380" w:type="dxa"/>
            <w:vAlign w:val="bottom"/>
            <w:vMerge w:val="continue"/>
            <w:shd w:val="clear" w:color="auto" w:fill="1A3FD6"/>
          </w:tcPr>
          <w:p>
            <w:pPr>
              <w:spacing w:after="0"/>
              <w:rPr>
                <w:sz w:val="6"/>
                <w:szCs w:val="6"/>
                <w:color w:val="auto"/>
              </w:rPr>
            </w:pPr>
          </w:p>
        </w:tc>
        <w:tc>
          <w:tcPr>
            <w:tcW w:w="120" w:type="dxa"/>
            <w:vAlign w:val="bottom"/>
            <w:shd w:val="clear" w:color="auto" w:fill="1A3FD6"/>
          </w:tcPr>
          <w:p>
            <w:pPr>
              <w:spacing w:after="0"/>
              <w:rPr>
                <w:sz w:val="6"/>
                <w:szCs w:val="6"/>
                <w:color w:val="auto"/>
              </w:rPr>
            </w:pPr>
          </w:p>
        </w:tc>
        <w:tc>
          <w:tcPr>
            <w:tcW w:w="25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Cybersecurity Expertise</w:t>
            </w:r>
          </w:p>
        </w:tc>
        <w:tc>
          <w:tcPr>
            <w:tcW w:w="0" w:type="dxa"/>
            <w:vAlign w:val="bottom"/>
          </w:tcPr>
          <w:p>
            <w:pPr>
              <w:spacing w:after="0"/>
              <w:rPr>
                <w:sz w:val="1"/>
                <w:szCs w:val="1"/>
                <w:color w:val="auto"/>
              </w:rPr>
            </w:pPr>
          </w:p>
        </w:tc>
      </w:tr>
      <w:tr>
        <w:trPr>
          <w:trHeight w:val="121"/>
        </w:trPr>
        <w:tc>
          <w:tcPr>
            <w:tcW w:w="120" w:type="dxa"/>
            <w:vAlign w:val="bottom"/>
            <w:shd w:val="clear" w:color="auto" w:fill="1A3FD6"/>
          </w:tcPr>
          <w:p>
            <w:pPr>
              <w:spacing w:after="0"/>
              <w:rPr>
                <w:sz w:val="10"/>
                <w:szCs w:val="10"/>
                <w:color w:val="auto"/>
              </w:rPr>
            </w:pPr>
          </w:p>
        </w:tc>
        <w:tc>
          <w:tcPr>
            <w:tcW w:w="2380" w:type="dxa"/>
            <w:vAlign w:val="bottom"/>
            <w:shd w:val="clear" w:color="auto" w:fill="1A3FD6"/>
          </w:tcPr>
          <w:p>
            <w:pPr>
              <w:spacing w:after="0"/>
              <w:rPr>
                <w:sz w:val="10"/>
                <w:szCs w:val="10"/>
                <w:color w:val="auto"/>
              </w:rPr>
            </w:pPr>
          </w:p>
        </w:tc>
        <w:tc>
          <w:tcPr>
            <w:tcW w:w="120" w:type="dxa"/>
            <w:vAlign w:val="bottom"/>
            <w:shd w:val="clear" w:color="auto" w:fill="1A3FD6"/>
          </w:tcPr>
          <w:p>
            <w:pPr>
              <w:spacing w:after="0"/>
              <w:rPr>
                <w:sz w:val="10"/>
                <w:szCs w:val="10"/>
                <w:color w:val="auto"/>
              </w:rPr>
            </w:pPr>
          </w:p>
        </w:tc>
        <w:tc>
          <w:tcPr>
            <w:tcW w:w="2580" w:type="dxa"/>
            <w:vAlign w:val="bottom"/>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583"/>
        </w:trPr>
        <w:tc>
          <w:tcPr>
            <w:tcW w:w="120" w:type="dxa"/>
            <w:vAlign w:val="bottom"/>
            <w:shd w:val="clear" w:color="auto" w:fill="1A3FD6"/>
          </w:tcPr>
          <w:p>
            <w:pPr>
              <w:spacing w:after="0"/>
              <w:rPr>
                <w:sz w:val="24"/>
                <w:szCs w:val="24"/>
                <w:color w:val="auto"/>
              </w:rPr>
            </w:pPr>
          </w:p>
        </w:tc>
        <w:tc>
          <w:tcPr>
            <w:tcW w:w="2380" w:type="dxa"/>
            <w:vAlign w:val="bottom"/>
            <w:shd w:val="clear" w:color="auto" w:fill="1A3FD6"/>
          </w:tcPr>
          <w:p>
            <w:pPr>
              <w:spacing w:after="0"/>
              <w:rPr>
                <w:sz w:val="24"/>
                <w:szCs w:val="24"/>
                <w:color w:val="auto"/>
              </w:rPr>
            </w:pPr>
          </w:p>
        </w:tc>
        <w:tc>
          <w:tcPr>
            <w:tcW w:w="120" w:type="dxa"/>
            <w:vAlign w:val="bottom"/>
            <w:shd w:val="clear" w:color="auto" w:fill="1A3FD6"/>
          </w:tcPr>
          <w:p>
            <w:pPr>
              <w:spacing w:after="0"/>
              <w:rPr>
                <w:sz w:val="24"/>
                <w:szCs w:val="24"/>
                <w:color w:val="auto"/>
              </w:rPr>
            </w:pPr>
          </w:p>
        </w:tc>
        <w:tc>
          <w:tcPr>
            <w:tcW w:w="2580" w:type="dxa"/>
            <w:vAlign w:val="bottom"/>
            <w:shd w:val="clear" w:color="auto" w:fill="1A3FD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0</wp:posOffset>
            </wp:positionV>
            <wp:extent cx="8890" cy="32486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3248660"/>
                    </a:xfrm>
                    <a:prstGeom prst="rect">
                      <a:avLst/>
                    </a:prstGeom>
                    <a:noFill/>
                  </pic:spPr>
                </pic:pic>
              </a:graphicData>
            </a:graphic>
          </wp:anchor>
        </w:drawing>
      </w:r>
    </w:p>
    <w:p>
      <w:pPr>
        <w:spacing w:after="0" w:line="146" w:lineRule="exact"/>
        <w:rPr>
          <w:sz w:val="20"/>
          <w:szCs w:val="20"/>
          <w:color w:val="auto"/>
        </w:rPr>
      </w:pPr>
    </w:p>
    <w:p>
      <w:pPr>
        <w:ind w:left="20" w:right="40"/>
        <w:spacing w:after="0" w:line="282" w:lineRule="auto"/>
        <w:rPr>
          <w:sz w:val="20"/>
          <w:szCs w:val="20"/>
          <w:color w:val="auto"/>
        </w:rPr>
      </w:pPr>
      <w:r>
        <w:rPr>
          <w:rFonts w:ascii="Arial" w:cs="Arial" w:eastAsia="Arial" w:hAnsi="Arial"/>
          <w:sz w:val="14"/>
          <w:szCs w:val="14"/>
          <w:color w:val="auto"/>
        </w:rPr>
        <w:t>Mr. Rattray previously served as the Chief Investment Officer of Man Group plc from 2017 to 2021. He previously served as Chief Executive Officer of Man AHL from 2013 to 2017 and Chief Investment Officer of Man Systematic Strategies from 2010 to 2013. Prior to holding such positions, he held several other senior leadership positions at Man Group. Before joining GLG Partners, which was later acquired by Man Group, he spent 15 years at Goldman Sachs where he held various positions, including Managing Director and head of the Fundamental Strategy Group. Mr. Rattray also sits on the MSCI Advisory Council. He is also a governor of the Southbank Centre in London, a governor of the King’s Maths School in London and is a Senior Advisor at Capula Investment Management LLP. He holds a Master’s degree in Natural Sciences and Economics from the University of Cambridge and a Licence Spéciale from the Université Libre de Bruxelles.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left="20" w:right="60"/>
        <w:spacing w:after="0" w:line="283" w:lineRule="auto"/>
        <w:rPr>
          <w:sz w:val="20"/>
          <w:szCs w:val="20"/>
          <w:color w:val="auto"/>
        </w:rPr>
      </w:pPr>
      <w:r>
        <w:rPr>
          <w:rFonts w:ascii="Arial" w:cs="Arial" w:eastAsia="Arial" w:hAnsi="Arial"/>
          <w:sz w:val="14"/>
          <w:szCs w:val="14"/>
          <w:color w:val="auto"/>
        </w:rPr>
        <w:t>We believe that Mr. Rattray’s over 25 years of experience in the global investment industry, including a focus on the technological innovation impacting the industry, render him qualified to serve as one of our directors. In particular, his background in finance at a leading, technology-focused asset management firm enables him to provide insights into our clients, operational and risk management, and our commercial strategy. Mr. Rattray is a co-inventor of the VIX index, one of the most traded futures and options contracts in the world, and has authored academic papers on investment strategies, risk management and portfolio design. This combination of advanced theoretical insight and practical experience as the Chief Investment Officer of a global asset management firm provides Mr. Rattray with a deep understanding of the finance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925830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537845</wp:posOffset>
            </wp:positionV>
            <wp:extent cx="3505835" cy="25971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0583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
        <w:spacing w:after="0"/>
        <w:rPr>
          <w:sz w:val="20"/>
          <w:szCs w:val="20"/>
          <w:color w:val="auto"/>
        </w:rPr>
      </w:pPr>
      <w:r>
        <w:rPr>
          <w:rFonts w:ascii="Arial" w:cs="Arial" w:eastAsia="Arial" w:hAnsi="Arial"/>
          <w:sz w:val="16"/>
          <w:szCs w:val="16"/>
          <w:color w:val="FFFFFF"/>
        </w:rPr>
        <w:t xml:space="preserve">Linda H. Riefler, </w:t>
      </w:r>
      <w:r>
        <w:rPr>
          <w:rFonts w:ascii="Arial" w:cs="Arial" w:eastAsia="Arial" w:hAnsi="Arial"/>
          <w:sz w:val="16"/>
          <w:szCs w:val="16"/>
          <w:b w:val="1"/>
          <w:bCs w:val="1"/>
          <w:color w:val="FFFFFF"/>
        </w:rPr>
        <w:t>65</w:t>
      </w:r>
    </w:p>
    <w:p>
      <w:pPr>
        <w:spacing w:after="0" w:line="13" w:lineRule="exact"/>
        <w:rPr>
          <w:sz w:val="20"/>
          <w:szCs w:val="20"/>
          <w:color w:val="auto"/>
        </w:rPr>
      </w:pPr>
    </w:p>
    <w:p>
      <w:pPr>
        <w:ind w:left="7"/>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2007</w:t>
      </w:r>
    </w:p>
    <w:p>
      <w:pPr>
        <w:spacing w:after="0" w:line="109"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7" w:right="3120"/>
        <w:spacing w:after="0" w:line="334" w:lineRule="auto"/>
        <w:rPr>
          <w:sz w:val="20"/>
          <w:szCs w:val="20"/>
          <w:color w:val="auto"/>
        </w:rPr>
      </w:pPr>
      <w:r>
        <w:rPr>
          <w:rFonts w:ascii="Arial" w:cs="Arial" w:eastAsia="Arial" w:hAnsi="Arial"/>
          <w:sz w:val="14"/>
          <w:szCs w:val="14"/>
          <w:b w:val="1"/>
          <w:bCs w:val="1"/>
          <w:color w:val="FFFFFF"/>
        </w:rPr>
        <w:t>Compensation Committee Governance Committee (Chair)</w:t>
      </w:r>
    </w:p>
    <w:p>
      <w:pPr>
        <w:spacing w:after="0" w:line="200" w:lineRule="exact"/>
        <w:rPr>
          <w:sz w:val="20"/>
          <w:szCs w:val="20"/>
          <w:color w:val="auto"/>
        </w:rPr>
      </w:pPr>
    </w:p>
    <w:p>
      <w:pPr>
        <w:spacing w:after="0" w:line="229" w:lineRule="exact"/>
        <w:rPr>
          <w:sz w:val="20"/>
          <w:szCs w:val="20"/>
          <w:color w:val="auto"/>
        </w:rPr>
      </w:pPr>
    </w:p>
    <w:tbl>
      <w:tblPr>
        <w:tblLayout w:type="fixed"/>
        <w:tblInd w:w="7" w:type="dxa"/>
        <w:tblCellMar>
          <w:top w:w="0" w:type="dxa"/>
          <w:left w:w="0" w:type="dxa"/>
          <w:bottom w:w="0" w:type="dxa"/>
          <w:right w:w="0" w:type="dxa"/>
        </w:tblCellMar>
      </w:tblPr>
      <w:tr>
        <w:trPr>
          <w:trHeight w:val="196"/>
        </w:trPr>
        <w:tc>
          <w:tcPr>
            <w:tcW w:w="2420" w:type="dxa"/>
            <w:vAlign w:val="bottom"/>
            <w:gridSpan w:val="2"/>
          </w:tcPr>
          <w:p>
            <w:pPr>
              <w:spacing w:after="0"/>
              <w:rPr>
                <w:sz w:val="20"/>
                <w:szCs w:val="20"/>
                <w:color w:val="auto"/>
              </w:rPr>
            </w:pPr>
            <w:r>
              <w:rPr>
                <w:rFonts w:ascii="Arial" w:cs="Arial" w:eastAsia="Arial" w:hAnsi="Arial"/>
                <w:sz w:val="14"/>
                <w:szCs w:val="14"/>
                <w:b w:val="1"/>
                <w:bCs w:val="1"/>
                <w:color w:val="00C4B3"/>
              </w:rPr>
              <w:t>Core Competencies:</w:t>
            </w: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Arial" w:cs="Arial" w:eastAsia="Arial" w:hAnsi="Arial"/>
                <w:sz w:val="13"/>
                <w:szCs w:val="13"/>
                <w:b w:val="1"/>
                <w:bCs w:val="1"/>
                <w:color w:val="00A798"/>
              </w:rPr>
              <w:t>•</w:t>
            </w:r>
          </w:p>
        </w:tc>
        <w:tc>
          <w:tcPr>
            <w:tcW w:w="2320" w:type="dxa"/>
            <w:vAlign w:val="bottom"/>
          </w:tcPr>
          <w:p>
            <w:pPr>
              <w:ind w:left="40"/>
              <w:spacing w:after="0"/>
              <w:rPr>
                <w:sz w:val="20"/>
                <w:szCs w:val="20"/>
                <w:color w:val="auto"/>
              </w:rPr>
            </w:pPr>
            <w:r>
              <w:rPr>
                <w:rFonts w:ascii="Arial" w:cs="Arial" w:eastAsia="Arial" w:hAnsi="Arial"/>
                <w:sz w:val="14"/>
                <w:szCs w:val="14"/>
                <w:b w:val="1"/>
                <w:bCs w:val="1"/>
                <w:color w:val="FFFFFF"/>
              </w:rPr>
              <w:t>Executive Leadership</w:t>
            </w:r>
          </w:p>
        </w:tc>
        <w:tc>
          <w:tcPr>
            <w:tcW w:w="220" w:type="dxa"/>
            <w:vAlign w:val="bottom"/>
          </w:tcPr>
          <w:p>
            <w:pPr>
              <w:ind w:left="120"/>
              <w:spacing w:after="0"/>
              <w:rPr>
                <w:sz w:val="20"/>
                <w:szCs w:val="20"/>
                <w:color w:val="auto"/>
              </w:rPr>
            </w:pPr>
            <w:r>
              <w:rPr>
                <w:rFonts w:ascii="Arial" w:cs="Arial" w:eastAsia="Arial" w:hAnsi="Arial"/>
                <w:sz w:val="13"/>
                <w:szCs w:val="13"/>
                <w:b w:val="1"/>
                <w:bCs w:val="1"/>
                <w:color w:val="00A798"/>
              </w:rPr>
              <w:t>•</w:t>
            </w:r>
          </w:p>
        </w:tc>
        <w:tc>
          <w:tcPr>
            <w:tcW w:w="2200" w:type="dxa"/>
            <w:vAlign w:val="bottom"/>
          </w:tcPr>
          <w:p>
            <w:pPr>
              <w:ind w:left="60"/>
              <w:spacing w:after="0"/>
              <w:rPr>
                <w:sz w:val="20"/>
                <w:szCs w:val="20"/>
                <w:color w:val="auto"/>
              </w:rPr>
            </w:pPr>
            <w:r>
              <w:rPr>
                <w:rFonts w:ascii="Arial" w:cs="Arial" w:eastAsia="Arial" w:hAnsi="Arial"/>
                <w:sz w:val="14"/>
                <w:szCs w:val="14"/>
                <w:b w:val="1"/>
                <w:bCs w:val="1"/>
                <w:color w:val="FFFFFF"/>
              </w:rPr>
              <w:t>Client Relations, Marketing and</w:t>
            </w:r>
          </w:p>
        </w:tc>
        <w:tc>
          <w:tcPr>
            <w:tcW w:w="0" w:type="dxa"/>
            <w:vAlign w:val="bottom"/>
          </w:tcPr>
          <w:p>
            <w:pPr>
              <w:spacing w:after="0"/>
              <w:rPr>
                <w:sz w:val="1"/>
                <w:szCs w:val="1"/>
                <w:color w:val="auto"/>
              </w:rPr>
            </w:pPr>
          </w:p>
        </w:tc>
      </w:tr>
      <w:tr>
        <w:trPr>
          <w:trHeight w:val="196"/>
        </w:trPr>
        <w:tc>
          <w:tcPr>
            <w:tcW w:w="10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Investment Industry Expertise</w:t>
            </w:r>
          </w:p>
        </w:tc>
        <w:tc>
          <w:tcPr>
            <w:tcW w:w="220" w:type="dxa"/>
            <w:vAlign w:val="bottom"/>
          </w:tcPr>
          <w:p>
            <w:pPr>
              <w:spacing w:after="0"/>
              <w:rPr>
                <w:sz w:val="17"/>
                <w:szCs w:val="17"/>
                <w:color w:val="auto"/>
              </w:rPr>
            </w:pPr>
          </w:p>
        </w:tc>
        <w:tc>
          <w:tcPr>
            <w:tcW w:w="2200" w:type="dxa"/>
            <w:vAlign w:val="bottom"/>
          </w:tcPr>
          <w:p>
            <w:pPr>
              <w:ind w:left="100"/>
              <w:spacing w:after="0"/>
              <w:rPr>
                <w:sz w:val="20"/>
                <w:szCs w:val="20"/>
                <w:color w:val="auto"/>
              </w:rPr>
            </w:pPr>
            <w:r>
              <w:rPr>
                <w:rFonts w:ascii="Arial" w:cs="Arial" w:eastAsia="Arial" w:hAnsi="Arial"/>
                <w:sz w:val="14"/>
                <w:szCs w:val="14"/>
                <w:b w:val="1"/>
                <w:bCs w:val="1"/>
                <w:color w:val="FFFFFF"/>
              </w:rPr>
              <w:t>Brand Development</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Sustainability and Climate</w:t>
            </w:r>
          </w:p>
        </w:tc>
        <w:tc>
          <w:tcPr>
            <w:tcW w:w="0" w:type="dxa"/>
            <w:vAlign w:val="bottom"/>
          </w:tcPr>
          <w:p>
            <w:pPr>
              <w:spacing w:after="0"/>
              <w:rPr>
                <w:sz w:val="1"/>
                <w:szCs w:val="1"/>
                <w:color w:val="auto"/>
              </w:rPr>
            </w:pPr>
          </w:p>
        </w:tc>
      </w:tr>
      <w:tr>
        <w:trPr>
          <w:trHeight w:val="182"/>
        </w:trPr>
        <w:tc>
          <w:tcPr>
            <w:tcW w:w="10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32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Global Perspective</w:t>
            </w:r>
          </w:p>
        </w:tc>
        <w:tc>
          <w:tcPr>
            <w:tcW w:w="220" w:type="dxa"/>
            <w:vAlign w:val="bottom"/>
          </w:tcPr>
          <w:p>
            <w:pPr>
              <w:ind w:left="120"/>
              <w:spacing w:after="0"/>
              <w:rPr>
                <w:sz w:val="20"/>
                <w:szCs w:val="20"/>
                <w:color w:val="auto"/>
              </w:rPr>
            </w:pPr>
            <w:r>
              <w:rPr>
                <w:rFonts w:ascii="Arial" w:cs="Arial" w:eastAsia="Arial" w:hAnsi="Arial"/>
                <w:sz w:val="13"/>
                <w:szCs w:val="13"/>
                <w:b w:val="1"/>
                <w:bCs w:val="1"/>
                <w:color w:val="00A798"/>
              </w:rPr>
              <w:t>•</w:t>
            </w:r>
          </w:p>
        </w:tc>
        <w:tc>
          <w:tcPr>
            <w:tcW w:w="2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0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200" w:type="dxa"/>
            <w:vAlign w:val="bottom"/>
            <w:vMerge w:val="restart"/>
          </w:tcPr>
          <w:p>
            <w:pPr>
              <w:ind w:left="100"/>
              <w:spacing w:after="0"/>
              <w:rPr>
                <w:sz w:val="20"/>
                <w:szCs w:val="20"/>
                <w:color w:val="auto"/>
              </w:rPr>
            </w:pPr>
            <w:r>
              <w:rPr>
                <w:rFonts w:ascii="Arial" w:cs="Arial" w:eastAsia="Arial" w:hAnsi="Arial"/>
                <w:sz w:val="14"/>
                <w:szCs w:val="14"/>
                <w:b w:val="1"/>
                <w:bCs w:val="1"/>
                <w:color w:val="FFFFFF"/>
              </w:rPr>
              <w:t>Practices</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Financial Reporting and Capital</w:t>
            </w:r>
          </w:p>
        </w:tc>
        <w:tc>
          <w:tcPr>
            <w:tcW w:w="2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20" w:type="dxa"/>
            <w:vAlign w:val="bottom"/>
            <w:gridSpan w:val="2"/>
            <w:vMerge w:val="continue"/>
          </w:tcPr>
          <w:p>
            <w:pPr>
              <w:spacing w:after="0"/>
              <w:rPr>
                <w:sz w:val="11"/>
                <w:szCs w:val="11"/>
                <w:color w:val="auto"/>
              </w:rPr>
            </w:pPr>
          </w:p>
        </w:tc>
        <w:tc>
          <w:tcPr>
            <w:tcW w:w="220" w:type="dxa"/>
            <w:vAlign w:val="bottom"/>
            <w:vMerge w:val="restart"/>
          </w:tcPr>
          <w:p>
            <w:pPr>
              <w:ind w:left="120"/>
              <w:spacing w:after="0"/>
              <w:rPr>
                <w:sz w:val="20"/>
                <w:szCs w:val="20"/>
                <w:color w:val="auto"/>
              </w:rPr>
            </w:pPr>
            <w:r>
              <w:rPr>
                <w:rFonts w:ascii="Arial" w:cs="Arial" w:eastAsia="Arial" w:hAnsi="Arial"/>
                <w:sz w:val="13"/>
                <w:szCs w:val="13"/>
                <w:b w:val="1"/>
                <w:bCs w:val="1"/>
                <w:color w:val="00A798"/>
              </w:rPr>
              <w:t>•</w:t>
            </w:r>
          </w:p>
        </w:tc>
        <w:tc>
          <w:tcPr>
            <w:tcW w:w="220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FFFFFF"/>
              </w:rPr>
              <w:t>Allocation</w:t>
            </w:r>
          </w:p>
        </w:tc>
        <w:tc>
          <w:tcPr>
            <w:tcW w:w="22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87" w:right="3660" w:hanging="187"/>
        <w:spacing w:after="0" w:line="314" w:lineRule="auto"/>
        <w:tabs>
          <w:tab w:leader="none" w:pos="148" w:val="left"/>
        </w:tabs>
        <w:numPr>
          <w:ilvl w:val="0"/>
          <w:numId w:val="18"/>
        </w:numPr>
        <w:rPr>
          <w:rFonts w:ascii="Arial" w:cs="Arial" w:eastAsia="Arial" w:hAnsi="Arial"/>
          <w:sz w:val="13"/>
          <w:szCs w:val="13"/>
          <w:b w:val="1"/>
          <w:bCs w:val="1"/>
          <w:color w:val="00A798"/>
        </w:rPr>
      </w:pPr>
      <w:r>
        <w:rPr>
          <w:rFonts w:ascii="Arial" w:cs="Arial" w:eastAsia="Arial" w:hAnsi="Arial"/>
          <w:sz w:val="14"/>
          <w:szCs w:val="14"/>
          <w:b w:val="1"/>
          <w:bCs w:val="1"/>
          <w:color w:val="FFFFFF"/>
        </w:rPr>
        <w:t>Corporate/Enterprise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132715</wp:posOffset>
            </wp:positionV>
            <wp:extent cx="8890" cy="32486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3248660"/>
                    </a:xfrm>
                    <a:prstGeom prst="rect">
                      <a:avLst/>
                    </a:prstGeom>
                    <a:noFill/>
                  </pic:spPr>
                </pic:pic>
              </a:graphicData>
            </a:graphic>
          </wp:anchor>
        </w:drawing>
      </w:r>
    </w:p>
    <w:p>
      <w:pPr>
        <w:spacing w:after="0" w:line="355" w:lineRule="exact"/>
        <w:rPr>
          <w:sz w:val="20"/>
          <w:szCs w:val="20"/>
          <w:color w:val="auto"/>
        </w:rPr>
      </w:pPr>
    </w:p>
    <w:p>
      <w:pPr>
        <w:ind w:left="7" w:right="60"/>
        <w:spacing w:after="0" w:line="284" w:lineRule="auto"/>
        <w:rPr>
          <w:sz w:val="20"/>
          <w:szCs w:val="20"/>
          <w:color w:val="auto"/>
        </w:rPr>
      </w:pPr>
      <w:r>
        <w:rPr>
          <w:rFonts w:ascii="Arial" w:cs="Arial" w:eastAsia="Arial" w:hAnsi="Arial"/>
          <w:sz w:val="14"/>
          <w:szCs w:val="14"/>
          <w:color w:val="auto"/>
        </w:rPr>
        <w:t>Ms. Riefler previously served as the Chair of Global Research of Morgan Stanley from 2011 to 2013 and as the Global Head of Research from 2008 to 2011. She was the Chief Talent Officer of Morgan Stanley from 2006 to 2008. In these roles she served on both the Management Committee and the Operating Committee of Morgan Stanley. Ms. Riefler joined Morgan Stanley in 1987 in the Capital Markets division and was appointed a Managing Director in 1998 while in the Research division. Ms. Riefler holds a Bachelor of Arts in economics from Princeton University and an M.B.A. from the Stanford University Graduate School of Business.</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1A3FD6"/>
        </w:rPr>
        <w:t>Qualifications:</w:t>
      </w:r>
    </w:p>
    <w:p>
      <w:pPr>
        <w:spacing w:after="0" w:line="42" w:lineRule="exact"/>
        <w:rPr>
          <w:sz w:val="20"/>
          <w:szCs w:val="20"/>
          <w:color w:val="auto"/>
        </w:rPr>
      </w:pPr>
    </w:p>
    <w:p>
      <w:pPr>
        <w:ind w:left="7" w:right="60"/>
        <w:spacing w:after="0" w:line="282" w:lineRule="auto"/>
        <w:rPr>
          <w:sz w:val="20"/>
          <w:szCs w:val="20"/>
          <w:color w:val="auto"/>
        </w:rPr>
      </w:pPr>
      <w:r>
        <w:rPr>
          <w:rFonts w:ascii="Arial" w:cs="Arial" w:eastAsia="Arial" w:hAnsi="Arial"/>
          <w:sz w:val="14"/>
          <w:szCs w:val="14"/>
          <w:color w:val="auto"/>
        </w:rPr>
        <w:t>We believe that Ms. Riefler’s expertise in talent management, risk management, company valuation and the capital markets render her qualified to serve as one of our directors. Associated with MSCI since 2005, she has played an important role in the Board’s oversight of strategic direction, giving her unique insight into the Company’s long-term growth strategies. Her experience as the Global Head of Research and the Chief Talent Officer of Morgan Stanley also enables her to advise the Company on its commercial and talent strategies. She also serves as Chair of the Governance and Sustainability Committee of a public company and on the leadership team of Stanford Women on Boards. In 2023, Ms. Riefler was recognized for outstanding work by an independent director at Governance Intelligence’s Corporate Governance Awards.</w:t>
      </w:r>
    </w:p>
    <w:p>
      <w:pPr>
        <w:spacing w:after="0" w:line="66"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1A3FD6"/>
        </w:rPr>
        <w:t>Current Other Public Company Directorships:</w:t>
      </w:r>
    </w:p>
    <w:p>
      <w:pPr>
        <w:spacing w:after="0" w:line="15" w:lineRule="exact"/>
        <w:rPr>
          <w:sz w:val="20"/>
          <w:szCs w:val="20"/>
          <w:color w:val="auto"/>
        </w:rPr>
      </w:pPr>
    </w:p>
    <w:p>
      <w:pPr>
        <w:ind w:left="7"/>
        <w:spacing w:after="0"/>
        <w:rPr>
          <w:sz w:val="20"/>
          <w:szCs w:val="20"/>
          <w:color w:val="auto"/>
        </w:rPr>
      </w:pPr>
      <w:r>
        <w:rPr>
          <w:rFonts w:ascii="Arial" w:cs="Arial" w:eastAsia="Arial" w:hAnsi="Arial"/>
          <w:sz w:val="14"/>
          <w:szCs w:val="14"/>
          <w:color w:val="auto"/>
        </w:rPr>
        <w:t>CSX Corporation (March 2017 to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007" w:type="dxa"/>
        <w:tblCellMar>
          <w:top w:w="0" w:type="dxa"/>
          <w:left w:w="0" w:type="dxa"/>
          <w:bottom w:w="0" w:type="dxa"/>
          <w:right w:w="0" w:type="dxa"/>
        </w:tblCellMar>
      </w:tblPr>
      <w:tr>
        <w:trPr>
          <w:trHeight w:val="196"/>
        </w:trPr>
        <w:tc>
          <w:tcPr>
            <w:tcW w:w="1900" w:type="dxa"/>
            <w:vAlign w:val="bottom"/>
          </w:tcPr>
          <w:p>
            <w:pPr>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bl>
    <w:p>
      <w:pPr>
        <w:sectPr>
          <w:pgSz w:w="11900" w:h="16838" w:orient="portrait"/>
          <w:cols w:equalWidth="0" w:num="2">
            <w:col w:w="5200" w:space="553"/>
            <w:col w:w="5247"/>
          </w:cols>
          <w:pgMar w:left="56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3454400" cy="2434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544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Michelle Seitz, 60</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2024</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Strategy Committee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40" w:type="dxa"/>
        <w:tblCellMar>
          <w:top w:w="0" w:type="dxa"/>
          <w:left w:w="0" w:type="dxa"/>
          <w:bottom w:w="0" w:type="dxa"/>
          <w:right w:w="0" w:type="dxa"/>
        </w:tblCellMar>
      </w:tblPr>
      <w:tr>
        <w:trPr>
          <w:trHeight w:val="108"/>
        </w:trPr>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20" w:type="dxa"/>
            <w:vAlign w:val="bottom"/>
            <w:shd w:val="clear" w:color="auto" w:fill="1A3FD6"/>
          </w:tcPr>
          <w:p>
            <w:pPr>
              <w:spacing w:after="0"/>
              <w:rPr>
                <w:sz w:val="9"/>
                <w:szCs w:val="9"/>
                <w:color w:val="auto"/>
              </w:rPr>
            </w:pPr>
          </w:p>
        </w:tc>
        <w:tc>
          <w:tcPr>
            <w:tcW w:w="2580" w:type="dxa"/>
            <w:vAlign w:val="bottom"/>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00" w:type="dxa"/>
            <w:vAlign w:val="bottom"/>
            <w:gridSpan w:val="2"/>
            <w:shd w:val="clear" w:color="auto" w:fill="1A3FD6"/>
          </w:tcPr>
          <w:p>
            <w:pPr>
              <w:ind w:left="20"/>
              <w:spacing w:after="0"/>
              <w:rPr>
                <w:sz w:val="20"/>
                <w:szCs w:val="20"/>
                <w:color w:val="auto"/>
              </w:rPr>
            </w:pPr>
            <w:r>
              <w:rPr>
                <w:rFonts w:ascii="Arial" w:cs="Arial" w:eastAsia="Arial" w:hAnsi="Arial"/>
                <w:sz w:val="14"/>
                <w:szCs w:val="14"/>
                <w:b w:val="1"/>
                <w:bCs w:val="1"/>
                <w:color w:val="00C4B3"/>
              </w:rPr>
              <w:t>Core Competencies:</w:t>
            </w:r>
          </w:p>
        </w:tc>
        <w:tc>
          <w:tcPr>
            <w:tcW w:w="120" w:type="dxa"/>
            <w:vAlign w:val="bottom"/>
            <w:shd w:val="clear" w:color="auto" w:fill="1A3FD6"/>
          </w:tcPr>
          <w:p>
            <w:pPr>
              <w:spacing w:after="0"/>
              <w:rPr>
                <w:sz w:val="18"/>
                <w:szCs w:val="18"/>
                <w:color w:val="auto"/>
              </w:rPr>
            </w:pPr>
          </w:p>
        </w:tc>
        <w:tc>
          <w:tcPr>
            <w:tcW w:w="2580" w:type="dxa"/>
            <w:vAlign w:val="bottom"/>
            <w:shd w:val="clear" w:color="auto" w:fill="1A3FD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shd w:val="clear" w:color="auto" w:fill="1A3FD6"/>
          </w:tcPr>
          <w:p>
            <w:pPr>
              <w:ind w:left="40"/>
              <w:spacing w:after="0"/>
              <w:rPr>
                <w:sz w:val="20"/>
                <w:szCs w:val="20"/>
                <w:color w:val="auto"/>
              </w:rPr>
            </w:pPr>
            <w:r>
              <w:rPr>
                <w:rFonts w:ascii="Arial" w:cs="Arial" w:eastAsia="Arial" w:hAnsi="Arial"/>
                <w:sz w:val="14"/>
                <w:szCs w:val="14"/>
                <w:b w:val="1"/>
                <w:bCs w:val="1"/>
                <w:color w:val="FFFFFF"/>
              </w:rPr>
              <w:t>Corporate Development</w:t>
            </w:r>
          </w:p>
        </w:tc>
        <w:tc>
          <w:tcPr>
            <w:tcW w:w="0" w:type="dxa"/>
            <w:vAlign w:val="bottom"/>
          </w:tcPr>
          <w:p>
            <w:pPr>
              <w:spacing w:after="0"/>
              <w:rPr>
                <w:sz w:val="1"/>
                <w:szCs w:val="1"/>
                <w:color w:val="auto"/>
              </w:rPr>
            </w:pPr>
          </w:p>
        </w:tc>
      </w:tr>
      <w:tr>
        <w:trPr>
          <w:trHeight w:val="249"/>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Investment Industry Expertise</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shd w:val="clear" w:color="auto" w:fill="1A3FD6"/>
          </w:tcPr>
          <w:p>
            <w:pPr>
              <w:ind w:left="40"/>
              <w:spacing w:after="0"/>
              <w:rPr>
                <w:sz w:val="20"/>
                <w:szCs w:val="20"/>
                <w:color w:val="auto"/>
              </w:rPr>
            </w:pPr>
            <w:r>
              <w:rPr>
                <w:rFonts w:ascii="Arial" w:cs="Arial" w:eastAsia="Arial" w:hAnsi="Arial"/>
                <w:sz w:val="14"/>
                <w:szCs w:val="14"/>
                <w:b w:val="1"/>
                <w:bCs w:val="1"/>
                <w:color w:val="FFFFFF"/>
              </w:rPr>
              <w:t>Financial Reporting and Capital</w:t>
            </w:r>
          </w:p>
        </w:tc>
        <w:tc>
          <w:tcPr>
            <w:tcW w:w="0" w:type="dxa"/>
            <w:vAlign w:val="bottom"/>
          </w:tcPr>
          <w:p>
            <w:pPr>
              <w:spacing w:after="0"/>
              <w:rPr>
                <w:sz w:val="1"/>
                <w:szCs w:val="1"/>
                <w:color w:val="auto"/>
              </w:rPr>
            </w:pPr>
          </w:p>
        </w:tc>
      </w:tr>
      <w:tr>
        <w:trPr>
          <w:trHeight w:val="196"/>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120" w:type="dxa"/>
            <w:vAlign w:val="bottom"/>
            <w:shd w:val="clear" w:color="auto" w:fill="1A3FD6"/>
          </w:tcPr>
          <w:p>
            <w:pPr>
              <w:spacing w:after="0"/>
              <w:rPr>
                <w:sz w:val="17"/>
                <w:szCs w:val="17"/>
                <w:color w:val="auto"/>
              </w:rPr>
            </w:pPr>
          </w:p>
        </w:tc>
        <w:tc>
          <w:tcPr>
            <w:tcW w:w="2580" w:type="dxa"/>
            <w:vAlign w:val="bottom"/>
            <w:shd w:val="clear" w:color="auto" w:fill="1A3FD6"/>
          </w:tcPr>
          <w:p>
            <w:pPr>
              <w:ind w:left="80"/>
              <w:spacing w:after="0"/>
              <w:rPr>
                <w:sz w:val="20"/>
                <w:szCs w:val="20"/>
                <w:color w:val="auto"/>
              </w:rPr>
            </w:pPr>
            <w:r>
              <w:rPr>
                <w:rFonts w:ascii="Arial" w:cs="Arial" w:eastAsia="Arial" w:hAnsi="Arial"/>
                <w:sz w:val="14"/>
                <w:szCs w:val="14"/>
                <w:b w:val="1"/>
                <w:bCs w:val="1"/>
                <w:color w:val="FFFFFF"/>
              </w:rPr>
              <w:t>Allocation</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380" w:type="dxa"/>
            <w:vAlign w:val="bottom"/>
            <w:vMerge w:val="continue"/>
            <w:shd w:val="clear" w:color="auto" w:fill="1A3FD6"/>
          </w:tcPr>
          <w:p>
            <w:pPr>
              <w:spacing w:after="0"/>
              <w:rPr>
                <w:sz w:val="5"/>
                <w:szCs w:val="5"/>
                <w:color w:val="auto"/>
              </w:rPr>
            </w:pPr>
          </w:p>
        </w:tc>
        <w:tc>
          <w:tcPr>
            <w:tcW w:w="2700" w:type="dxa"/>
            <w:vAlign w:val="bottom"/>
            <w:gridSpan w:val="2"/>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Client Relations, Marketing and</w:t>
            </w:r>
          </w:p>
        </w:tc>
        <w:tc>
          <w:tcPr>
            <w:tcW w:w="0" w:type="dxa"/>
            <w:vAlign w:val="bottom"/>
          </w:tcPr>
          <w:p>
            <w:pPr>
              <w:spacing w:after="0"/>
              <w:rPr>
                <w:sz w:val="1"/>
                <w:szCs w:val="1"/>
                <w:color w:val="auto"/>
              </w:rPr>
            </w:pPr>
          </w:p>
        </w:tc>
      </w:tr>
      <w:tr>
        <w:trPr>
          <w:trHeight w:val="182"/>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3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Regulatory, Government and</w:t>
            </w:r>
          </w:p>
        </w:tc>
        <w:tc>
          <w:tcPr>
            <w:tcW w:w="2700" w:type="dxa"/>
            <w:vAlign w:val="bottom"/>
            <w:gridSpan w:val="2"/>
            <w:vMerge w:val="continue"/>
            <w:shd w:val="clear" w:color="auto" w:fill="1A3FD6"/>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38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5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Brand Development</w:t>
            </w:r>
          </w:p>
        </w:tc>
        <w:tc>
          <w:tcPr>
            <w:tcW w:w="0" w:type="dxa"/>
            <w:vAlign w:val="bottom"/>
          </w:tcPr>
          <w:p>
            <w:pPr>
              <w:spacing w:after="0"/>
              <w:rPr>
                <w:sz w:val="1"/>
                <w:szCs w:val="1"/>
                <w:color w:val="auto"/>
              </w:rPr>
            </w:pPr>
          </w:p>
        </w:tc>
      </w:tr>
      <w:tr>
        <w:trPr>
          <w:trHeight w:val="129"/>
        </w:trPr>
        <w:tc>
          <w:tcPr>
            <w:tcW w:w="120" w:type="dxa"/>
            <w:vAlign w:val="bottom"/>
            <w:shd w:val="clear" w:color="auto" w:fill="1A3FD6"/>
          </w:tcPr>
          <w:p>
            <w:pPr>
              <w:spacing w:after="0"/>
              <w:rPr>
                <w:sz w:val="11"/>
                <w:szCs w:val="11"/>
                <w:color w:val="auto"/>
              </w:rPr>
            </w:pPr>
          </w:p>
        </w:tc>
        <w:tc>
          <w:tcPr>
            <w:tcW w:w="2380" w:type="dxa"/>
            <w:vAlign w:val="bottom"/>
            <w:vMerge w:val="restart"/>
            <w:shd w:val="clear" w:color="auto" w:fill="1A3FD6"/>
          </w:tcPr>
          <w:p>
            <w:pPr>
              <w:ind w:left="80"/>
              <w:spacing w:after="0"/>
              <w:rPr>
                <w:sz w:val="20"/>
                <w:szCs w:val="20"/>
                <w:color w:val="auto"/>
              </w:rPr>
            </w:pPr>
            <w:r>
              <w:rPr>
                <w:rFonts w:ascii="Arial" w:cs="Arial" w:eastAsia="Arial" w:hAnsi="Arial"/>
                <w:sz w:val="14"/>
                <w:szCs w:val="14"/>
                <w:b w:val="1"/>
                <w:bCs w:val="1"/>
                <w:color w:val="FFFFFF"/>
              </w:rPr>
              <w:t>Public Policy Engagement</w:t>
            </w:r>
          </w:p>
        </w:tc>
        <w:tc>
          <w:tcPr>
            <w:tcW w:w="120" w:type="dxa"/>
            <w:vAlign w:val="bottom"/>
            <w:shd w:val="clear" w:color="auto" w:fill="1A3FD6"/>
          </w:tcPr>
          <w:p>
            <w:pPr>
              <w:spacing w:after="0"/>
              <w:rPr>
                <w:sz w:val="11"/>
                <w:szCs w:val="11"/>
                <w:color w:val="auto"/>
              </w:rPr>
            </w:pPr>
          </w:p>
        </w:tc>
        <w:tc>
          <w:tcPr>
            <w:tcW w:w="2580" w:type="dxa"/>
            <w:vAlign w:val="bottom"/>
            <w:vMerge w:val="continue"/>
            <w:shd w:val="clear" w:color="auto" w:fill="1A3FD6"/>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1A3FD6"/>
          </w:tcPr>
          <w:p>
            <w:pPr>
              <w:spacing w:after="0"/>
              <w:rPr>
                <w:sz w:val="5"/>
                <w:szCs w:val="5"/>
                <w:color w:val="auto"/>
              </w:rPr>
            </w:pPr>
          </w:p>
        </w:tc>
        <w:tc>
          <w:tcPr>
            <w:tcW w:w="238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580" w:type="dxa"/>
            <w:vAlign w:val="bottom"/>
            <w:vMerge w:val="restart"/>
            <w:shd w:val="clear" w:color="auto" w:fill="1A3FD6"/>
          </w:tcPr>
          <w:p>
            <w:pPr>
              <w:ind w:left="4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89"/>
        </w:trPr>
        <w:tc>
          <w:tcPr>
            <w:tcW w:w="120" w:type="dxa"/>
            <w:vAlign w:val="bottom"/>
            <w:shd w:val="clear" w:color="auto" w:fill="1A3FD6"/>
          </w:tcPr>
          <w:p>
            <w:pPr>
              <w:spacing w:after="0"/>
              <w:rPr>
                <w:sz w:val="16"/>
                <w:szCs w:val="16"/>
                <w:color w:val="auto"/>
              </w:rPr>
            </w:pPr>
          </w:p>
        </w:tc>
        <w:tc>
          <w:tcPr>
            <w:tcW w:w="2380" w:type="dxa"/>
            <w:vAlign w:val="bottom"/>
            <w:shd w:val="clear" w:color="auto" w:fill="1A3FD6"/>
          </w:tcPr>
          <w:p>
            <w:pPr>
              <w:spacing w:after="0"/>
              <w:rPr>
                <w:sz w:val="16"/>
                <w:szCs w:val="16"/>
                <w:color w:val="auto"/>
              </w:rPr>
            </w:pP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vMerge w:val="continue"/>
            <w:shd w:val="clear" w:color="auto" w:fill="1A3FD6"/>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shd w:val="clear" w:color="auto" w:fill="1A3FD6"/>
          </w:tcPr>
          <w:p>
            <w:pPr>
              <w:spacing w:after="0"/>
              <w:rPr>
                <w:sz w:val="21"/>
                <w:szCs w:val="21"/>
                <w:color w:val="auto"/>
              </w:rPr>
            </w:pPr>
          </w:p>
        </w:tc>
        <w:tc>
          <w:tcPr>
            <w:tcW w:w="2380" w:type="dxa"/>
            <w:vAlign w:val="bottom"/>
            <w:shd w:val="clear" w:color="auto" w:fill="1A3FD6"/>
          </w:tcPr>
          <w:p>
            <w:pPr>
              <w:spacing w:after="0"/>
              <w:rPr>
                <w:sz w:val="21"/>
                <w:szCs w:val="21"/>
                <w:color w:val="auto"/>
              </w:rPr>
            </w:pPr>
          </w:p>
        </w:tc>
        <w:tc>
          <w:tcPr>
            <w:tcW w:w="120" w:type="dxa"/>
            <w:vAlign w:val="bottom"/>
            <w:shd w:val="clear" w:color="auto" w:fill="1A3FD6"/>
          </w:tcPr>
          <w:p>
            <w:pPr>
              <w:spacing w:after="0"/>
              <w:rPr>
                <w:sz w:val="21"/>
                <w:szCs w:val="21"/>
                <w:color w:val="auto"/>
              </w:rPr>
            </w:pPr>
          </w:p>
        </w:tc>
        <w:tc>
          <w:tcPr>
            <w:tcW w:w="2580" w:type="dxa"/>
            <w:vAlign w:val="bottom"/>
            <w:shd w:val="clear" w:color="auto" w:fill="1A3FD6"/>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890" cy="32918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3291840"/>
                    </a:xfrm>
                    <a:prstGeom prst="rect">
                      <a:avLst/>
                    </a:prstGeom>
                    <a:noFill/>
                  </pic:spPr>
                </pic:pic>
              </a:graphicData>
            </a:graphic>
          </wp:anchor>
        </w:drawing>
      </w:r>
    </w:p>
    <w:p>
      <w:pPr>
        <w:spacing w:after="0" w:line="146" w:lineRule="exact"/>
        <w:rPr>
          <w:sz w:val="20"/>
          <w:szCs w:val="20"/>
          <w:color w:val="auto"/>
        </w:rPr>
      </w:pPr>
    </w:p>
    <w:p>
      <w:pPr>
        <w:ind w:left="260" w:right="80"/>
        <w:spacing w:after="0" w:line="284" w:lineRule="auto"/>
        <w:rPr>
          <w:sz w:val="20"/>
          <w:szCs w:val="20"/>
          <w:color w:val="auto"/>
        </w:rPr>
      </w:pPr>
      <w:r>
        <w:rPr>
          <w:rFonts w:ascii="Arial" w:cs="Arial" w:eastAsia="Arial" w:hAnsi="Arial"/>
          <w:sz w:val="14"/>
          <w:szCs w:val="14"/>
          <w:color w:val="auto"/>
        </w:rPr>
        <w:t>Ms. Seitz is currently the Founder and CEO of MeydenVest Partners, a role she has held since 2022. Before MeydenVest Partners, Ms. Seitz served at Russell Investments as Chief Executive Officer from September 2017 to 2022, and as Chairman of the Board from 2018 to 2022. Prior to joining Russell Investments, Ms. Seitz held various senior level positions at William Blair from 1996 to 2017, most recently serving as the Chief Executive Officer of William Blair Investment Management, Chair and President of William Blair Funds, and as a member of the Board of Directors from 2001 to 2017. Ms. Seitz holds a Bachelor of Science degree in Accounting from the Kelley School of Business at Indiana University, and is a Chartered Financial Analyst.</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left="260" w:right="40"/>
        <w:spacing w:after="0" w:line="283" w:lineRule="auto"/>
        <w:rPr>
          <w:sz w:val="20"/>
          <w:szCs w:val="20"/>
          <w:color w:val="auto"/>
        </w:rPr>
      </w:pPr>
      <w:r>
        <w:rPr>
          <w:rFonts w:ascii="Arial" w:cs="Arial" w:eastAsia="Arial" w:hAnsi="Arial"/>
          <w:sz w:val="14"/>
          <w:szCs w:val="14"/>
          <w:color w:val="auto"/>
        </w:rPr>
        <w:t>We believe that Ms. Seitz’s deep experience in the investment industry, with over three decades in asset management and private wealth as both a CEO and an investor, qualifies her to serve as one of our directors. As CEO of William Blair Investment Management, she transformed a regional business into a globally recognized asset and wealth management firm. As Chair and CEO of Russell Investments, she led one of the world’s largest asset management firms serving institutional clients globally. She has a proven track record of transforming and scaling complex organizations, while fostering a client-centric, award-winning culture. Ms. Seitz has been recognized by Barron’s as one of the most influential women in U.S. finance, underscoring the breadth and impact of her contributions to the industry.</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Current Other Public Company Directorships: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MetLife, Inc. (February 2026 to present) and Sana Biotechnology, Inc.</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(November 2020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520700</wp:posOffset>
            </wp:positionV>
            <wp:extent cx="55689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FFFFFF"/>
        </w:rPr>
        <w:t xml:space="preserve">Marcus L. Smith, </w:t>
      </w:r>
      <w:r>
        <w:rPr>
          <w:rFonts w:ascii="Arial" w:cs="Arial" w:eastAsia="Arial" w:hAnsi="Arial"/>
          <w:sz w:val="16"/>
          <w:szCs w:val="16"/>
          <w:b w:val="1"/>
          <w:bCs w:val="1"/>
          <w:color w:val="FFFFF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-227330</wp:posOffset>
            </wp:positionV>
            <wp:extent cx="3497580" cy="2434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97580" cy="243459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Audit Committee (Chair)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Strategy Committee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80" w:type="dxa"/>
            <w:vAlign w:val="bottom"/>
            <w:gridSpan w:val="2"/>
          </w:tcPr>
          <w:p>
            <w:pPr>
              <w:spacing w:after="0"/>
              <w:rPr>
                <w:sz w:val="20"/>
                <w:szCs w:val="20"/>
                <w:color w:val="auto"/>
              </w:rPr>
            </w:pPr>
            <w:r>
              <w:rPr>
                <w:rFonts w:ascii="Arial" w:cs="Arial" w:eastAsia="Arial" w:hAnsi="Arial"/>
                <w:sz w:val="14"/>
                <w:szCs w:val="14"/>
                <w:b w:val="1"/>
                <w:bCs w:val="1"/>
                <w:color w:val="00C4B3"/>
              </w:rPr>
              <w:t>Core Competencies:</w:t>
            </w: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r>
              <w:rPr>
                <w:rFonts w:ascii="Arial" w:cs="Arial" w:eastAsia="Arial" w:hAnsi="Arial"/>
                <w:sz w:val="13"/>
                <w:szCs w:val="13"/>
                <w:b w:val="1"/>
                <w:bCs w:val="1"/>
                <w:color w:val="00A798"/>
              </w:rPr>
              <w:t>•</w:t>
            </w:r>
          </w:p>
        </w:tc>
        <w:tc>
          <w:tcPr>
            <w:tcW w:w="2280" w:type="dxa"/>
            <w:vAlign w:val="bottom"/>
          </w:tcPr>
          <w:p>
            <w:pPr>
              <w:ind w:left="60"/>
              <w:spacing w:after="0"/>
              <w:rPr>
                <w:sz w:val="20"/>
                <w:szCs w:val="20"/>
                <w:color w:val="auto"/>
              </w:rPr>
            </w:pPr>
            <w:r>
              <w:rPr>
                <w:rFonts w:ascii="Arial" w:cs="Arial" w:eastAsia="Arial" w:hAnsi="Arial"/>
                <w:sz w:val="14"/>
                <w:szCs w:val="14"/>
                <w:b w:val="1"/>
                <w:bCs w:val="1"/>
                <w:color w:val="FFFFFF"/>
              </w:rPr>
              <w:t>Investment Industry Expertise</w:t>
            </w:r>
          </w:p>
        </w:tc>
        <w:tc>
          <w:tcPr>
            <w:tcW w:w="260" w:type="dxa"/>
            <w:vAlign w:val="bottom"/>
          </w:tcPr>
          <w:p>
            <w:pPr>
              <w:ind w:left="160"/>
              <w:spacing w:after="0"/>
              <w:rPr>
                <w:sz w:val="20"/>
                <w:szCs w:val="20"/>
                <w:color w:val="auto"/>
              </w:rPr>
            </w:pPr>
            <w:r>
              <w:rPr>
                <w:rFonts w:ascii="Arial" w:cs="Arial" w:eastAsia="Arial" w:hAnsi="Arial"/>
                <w:sz w:val="13"/>
                <w:szCs w:val="13"/>
                <w:b w:val="1"/>
                <w:bCs w:val="1"/>
                <w:color w:val="00A798"/>
              </w:rPr>
              <w:t>•</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FFFFFF"/>
              </w:rPr>
              <w:t>Corporate/Enterprise</w:t>
            </w:r>
          </w:p>
        </w:tc>
        <w:tc>
          <w:tcPr>
            <w:tcW w:w="0" w:type="dxa"/>
            <w:vAlign w:val="bottom"/>
          </w:tcPr>
          <w:p>
            <w:pPr>
              <w:spacing w:after="0"/>
              <w:rPr>
                <w:sz w:val="1"/>
                <w:szCs w:val="1"/>
                <w:color w:val="auto"/>
              </w:rPr>
            </w:pPr>
          </w:p>
        </w:tc>
      </w:tr>
      <w:tr>
        <w:trPr>
          <w:trHeight w:val="196"/>
        </w:trPr>
        <w:tc>
          <w:tcPr>
            <w:tcW w:w="10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28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260" w:type="dxa"/>
            <w:vAlign w:val="bottom"/>
          </w:tcPr>
          <w:p>
            <w:pPr>
              <w:spacing w:after="0"/>
              <w:rPr>
                <w:sz w:val="17"/>
                <w:szCs w:val="17"/>
                <w:color w:val="auto"/>
              </w:rPr>
            </w:pPr>
          </w:p>
        </w:tc>
        <w:tc>
          <w:tcPr>
            <w:tcW w:w="1980" w:type="dxa"/>
            <w:vAlign w:val="bottom"/>
          </w:tcPr>
          <w:p>
            <w:pPr>
              <w:ind w:left="100"/>
              <w:spacing w:after="0"/>
              <w:rPr>
                <w:sz w:val="20"/>
                <w:szCs w:val="20"/>
                <w:color w:val="auto"/>
              </w:rPr>
            </w:pPr>
            <w:r>
              <w:rPr>
                <w:rFonts w:ascii="Arial" w:cs="Arial" w:eastAsia="Arial" w:hAnsi="Arial"/>
                <w:sz w:val="14"/>
                <w:szCs w:val="14"/>
                <w:b w:val="1"/>
                <w:bCs w:val="1"/>
                <w:color w:val="FFFFFF"/>
              </w:rPr>
              <w:t>Risk Management</w:t>
            </w:r>
          </w:p>
        </w:tc>
        <w:tc>
          <w:tcPr>
            <w:tcW w:w="0" w:type="dxa"/>
            <w:vAlign w:val="bottom"/>
          </w:tcPr>
          <w:p>
            <w:pPr>
              <w:spacing w:after="0"/>
              <w:rPr>
                <w:sz w:val="1"/>
                <w:szCs w:val="1"/>
                <w:color w:val="auto"/>
              </w:rPr>
            </w:pPr>
          </w:p>
        </w:tc>
      </w:tr>
      <w:tr>
        <w:trPr>
          <w:trHeight w:val="67"/>
        </w:trPr>
        <w:tc>
          <w:tcPr>
            <w:tcW w:w="100" w:type="dxa"/>
            <w:vAlign w:val="bottom"/>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98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89"/>
        </w:trPr>
        <w:tc>
          <w:tcPr>
            <w:tcW w:w="10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280" w:type="dxa"/>
            <w:vAlign w:val="bottom"/>
            <w:vMerge w:val="restart"/>
          </w:tcPr>
          <w:p>
            <w:pPr>
              <w:ind w:left="60"/>
              <w:spacing w:after="0"/>
              <w:rPr>
                <w:sz w:val="20"/>
                <w:szCs w:val="20"/>
                <w:color w:val="auto"/>
              </w:rPr>
            </w:pPr>
            <w:r>
              <w:rPr>
                <w:rFonts w:ascii="Arial" w:cs="Arial" w:eastAsia="Arial" w:hAnsi="Arial"/>
                <w:sz w:val="14"/>
                <w:szCs w:val="14"/>
                <w:b w:val="1"/>
                <w:bCs w:val="1"/>
                <w:color w:val="FFFFFF"/>
              </w:rPr>
              <w:t>Corporate Development</w:t>
            </w:r>
          </w:p>
        </w:tc>
        <w:tc>
          <w:tcPr>
            <w:tcW w:w="260" w:type="dxa"/>
            <w:vAlign w:val="bottom"/>
          </w:tcPr>
          <w:p>
            <w:pPr>
              <w:ind w:left="160"/>
              <w:spacing w:after="0"/>
              <w:rPr>
                <w:sz w:val="20"/>
                <w:szCs w:val="20"/>
                <w:color w:val="auto"/>
              </w:rPr>
            </w:pPr>
            <w:r>
              <w:rPr>
                <w:rFonts w:ascii="Arial" w:cs="Arial" w:eastAsia="Arial" w:hAnsi="Arial"/>
                <w:sz w:val="13"/>
                <w:szCs w:val="13"/>
                <w:b w:val="1"/>
                <w:bCs w:val="1"/>
                <w:color w:val="00A798"/>
              </w:rPr>
              <w:t>•</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Financial Reporting and Capital</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FFFFF"/>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288925</wp:posOffset>
            </wp:positionV>
            <wp:extent cx="8255" cy="32918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Mr. Smith previously served as the Chief Investment Officer, Canada Equity, and a portfolio manager at MFS Investment Management (“MFS”) until 2017. As a portfolio manager, he was responsible for managing the MFS Institutional International Equity Portfolio and the International Concentrated Portfolio. He joined MFS in 1994 and held a variety of positions, including Chief Investment Officer (Asia) from 2010 to 2012, based in Boston, Director of Asian Research from 2005 to 2009, based in Singapore, and Equity Analyst from 1995 to 2000, based in London. Mr. Smith currently serves as a trustee for certain Eaton Vance funds. Mr. Smith holds a Bachelor of Science from the University of Mount Union and an M.B.A. from the Wharton School at the University of Pennsylvania.</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Mr. Smith’s extensive experience in global financial markets and as an investment professional, including experience in Asia and Europe, render him qualified to serve as one of our directors. As a former Chief Investment Officer at a large investment company, Mr. Smith brings significant leadership experience, investment and financial expertise, and knowledge of our clients and the asset management industry to the Board. He brings a strong investor viewpoint to the boardroom and infuses discussions with insights from shareholder, capital markets and capital allocation perspectives.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Current Other Public Company Directorships: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First Industrial Realty Trust, Inc. (February 2021 to present)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Prior Other Public Company Directorships: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DCT Industrial Trust, Inc. (October 2017 to August 2018)</w:t>
      </w:r>
    </w:p>
    <w:p>
      <w:pPr>
        <w:sectPr>
          <w:pgSz w:w="11900" w:h="16838" w:orient="portrait"/>
          <w:cols w:equalWidth="0" w:num="2">
            <w:col w:w="5440" w:space="560"/>
            <w:col w:w="5140"/>
          </w:cols>
          <w:pgMar w:left="320" w:top="130" w:right="4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3463290" cy="2322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6329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Rajat Taneja, 61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2021</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Audit Committee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shd w:val="clear" w:color="auto" w:fill="1A3FD6"/>
          </w:tcPr>
          <w:p>
            <w:pPr>
              <w:spacing w:after="0"/>
              <w:rPr>
                <w:sz w:val="9"/>
                <w:szCs w:val="9"/>
                <w:color w:val="auto"/>
              </w:rPr>
            </w:pPr>
          </w:p>
        </w:tc>
        <w:tc>
          <w:tcPr>
            <w:tcW w:w="2580" w:type="dxa"/>
            <w:vAlign w:val="bottom"/>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20" w:type="dxa"/>
            <w:vAlign w:val="bottom"/>
            <w:gridSpan w:val="2"/>
            <w:shd w:val="clear" w:color="auto" w:fill="1A3FD6"/>
          </w:tcPr>
          <w:p>
            <w:pPr>
              <w:ind w:left="20"/>
              <w:spacing w:after="0"/>
              <w:rPr>
                <w:sz w:val="20"/>
                <w:szCs w:val="20"/>
                <w:color w:val="auto"/>
              </w:rPr>
            </w:pPr>
            <w:r>
              <w:rPr>
                <w:rFonts w:ascii="Arial" w:cs="Arial" w:eastAsia="Arial" w:hAnsi="Arial"/>
                <w:sz w:val="14"/>
                <w:szCs w:val="14"/>
                <w:b w:val="1"/>
                <w:bCs w:val="1"/>
                <w:color w:val="00C4B3"/>
              </w:rPr>
              <w:t>Core Competencies:</w:t>
            </w:r>
          </w:p>
        </w:tc>
        <w:tc>
          <w:tcPr>
            <w:tcW w:w="120" w:type="dxa"/>
            <w:vAlign w:val="bottom"/>
            <w:shd w:val="clear" w:color="auto" w:fill="1A3FD6"/>
          </w:tcPr>
          <w:p>
            <w:pPr>
              <w:spacing w:after="0"/>
              <w:rPr>
                <w:sz w:val="18"/>
                <w:szCs w:val="18"/>
                <w:color w:val="auto"/>
              </w:rPr>
            </w:pPr>
          </w:p>
        </w:tc>
        <w:tc>
          <w:tcPr>
            <w:tcW w:w="2580" w:type="dxa"/>
            <w:vAlign w:val="bottom"/>
            <w:shd w:val="clear" w:color="auto" w:fill="1A3FD6"/>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Technology, Data and</w:t>
            </w:r>
          </w:p>
        </w:tc>
        <w:tc>
          <w:tcPr>
            <w:tcW w:w="0" w:type="dxa"/>
            <w:vAlign w:val="bottom"/>
          </w:tcPr>
          <w:p>
            <w:pPr>
              <w:spacing w:after="0"/>
              <w:rPr>
                <w:sz w:val="1"/>
                <w:szCs w:val="1"/>
                <w:color w:val="auto"/>
              </w:rPr>
            </w:pPr>
          </w:p>
        </w:tc>
      </w:tr>
      <w:tr>
        <w:trPr>
          <w:trHeight w:val="196"/>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Global Perspective</w:t>
            </w:r>
          </w:p>
        </w:tc>
        <w:tc>
          <w:tcPr>
            <w:tcW w:w="120" w:type="dxa"/>
            <w:vAlign w:val="bottom"/>
            <w:shd w:val="clear" w:color="auto" w:fill="1A3FD6"/>
          </w:tcPr>
          <w:p>
            <w:pPr>
              <w:spacing w:after="0"/>
              <w:rPr>
                <w:sz w:val="17"/>
                <w:szCs w:val="17"/>
                <w:color w:val="auto"/>
              </w:rPr>
            </w:pPr>
          </w:p>
        </w:tc>
        <w:tc>
          <w:tcPr>
            <w:tcW w:w="2580" w:type="dxa"/>
            <w:vAlign w:val="bottom"/>
            <w:shd w:val="clear" w:color="auto" w:fill="1A3FD6"/>
          </w:tcPr>
          <w:p>
            <w:pPr>
              <w:ind w:left="100"/>
              <w:spacing w:after="0"/>
              <w:rPr>
                <w:sz w:val="20"/>
                <w:szCs w:val="20"/>
                <w:color w:val="auto"/>
              </w:rPr>
            </w:pPr>
            <w:r>
              <w:rPr>
                <w:rFonts w:ascii="Arial" w:cs="Arial" w:eastAsia="Arial" w:hAnsi="Arial"/>
                <w:sz w:val="14"/>
                <w:szCs w:val="14"/>
                <w:b w:val="1"/>
                <w:bCs w:val="1"/>
                <w:color w:val="FFFFFF"/>
              </w:rPr>
              <w:t>Cybersecurity Expertise</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40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58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89"/>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 Development</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580" w:type="dxa"/>
            <w:vAlign w:val="bottom"/>
            <w:vMerge w:val="continue"/>
            <w:shd w:val="clear" w:color="auto" w:fill="1A3FD6"/>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40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580" w:type="dxa"/>
            <w:vAlign w:val="bottom"/>
            <w:shd w:val="clear" w:color="auto" w:fill="1A3FD6"/>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Corporate/Enterprise</w:t>
            </w:r>
          </w:p>
        </w:tc>
        <w:tc>
          <w:tcPr>
            <w:tcW w:w="120" w:type="dxa"/>
            <w:vAlign w:val="bottom"/>
            <w:shd w:val="clear" w:color="auto" w:fill="1A3FD6"/>
          </w:tcPr>
          <w:p>
            <w:pPr>
              <w:spacing w:after="0"/>
              <w:rPr>
                <w:sz w:val="21"/>
                <w:szCs w:val="21"/>
                <w:color w:val="auto"/>
              </w:rPr>
            </w:pPr>
          </w:p>
        </w:tc>
        <w:tc>
          <w:tcPr>
            <w:tcW w:w="2580" w:type="dxa"/>
            <w:vAlign w:val="bottom"/>
            <w:shd w:val="clear" w:color="auto" w:fill="1A3FD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1A3FD6"/>
          </w:tcPr>
          <w:p>
            <w:pPr>
              <w:spacing w:after="0"/>
              <w:rPr>
                <w:sz w:val="17"/>
                <w:szCs w:val="17"/>
                <w:color w:val="auto"/>
              </w:rPr>
            </w:pPr>
          </w:p>
        </w:tc>
        <w:tc>
          <w:tcPr>
            <w:tcW w:w="2400" w:type="dxa"/>
            <w:vAlign w:val="bottom"/>
            <w:shd w:val="clear" w:color="auto" w:fill="1A3FD6"/>
          </w:tcPr>
          <w:p>
            <w:pPr>
              <w:ind w:left="80"/>
              <w:spacing w:after="0"/>
              <w:rPr>
                <w:sz w:val="20"/>
                <w:szCs w:val="20"/>
                <w:color w:val="auto"/>
              </w:rPr>
            </w:pPr>
            <w:r>
              <w:rPr>
                <w:rFonts w:ascii="Arial" w:cs="Arial" w:eastAsia="Arial" w:hAnsi="Arial"/>
                <w:sz w:val="14"/>
                <w:szCs w:val="14"/>
                <w:b w:val="1"/>
                <w:bCs w:val="1"/>
                <w:color w:val="FFFFFF"/>
              </w:rPr>
              <w:t>Risk Management</w:t>
            </w:r>
          </w:p>
        </w:tc>
        <w:tc>
          <w:tcPr>
            <w:tcW w:w="120" w:type="dxa"/>
            <w:vAlign w:val="bottom"/>
            <w:shd w:val="clear" w:color="auto" w:fill="1A3FD6"/>
          </w:tcPr>
          <w:p>
            <w:pPr>
              <w:spacing w:after="0"/>
              <w:rPr>
                <w:sz w:val="17"/>
                <w:szCs w:val="17"/>
                <w:color w:val="auto"/>
              </w:rPr>
            </w:pPr>
          </w:p>
        </w:tc>
        <w:tc>
          <w:tcPr>
            <w:tcW w:w="2580" w:type="dxa"/>
            <w:vAlign w:val="bottom"/>
            <w:shd w:val="clear" w:color="auto" w:fill="1A3FD6"/>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20" w:type="dxa"/>
            <w:vAlign w:val="bottom"/>
            <w:shd w:val="clear" w:color="auto" w:fill="1A3FD6"/>
          </w:tcPr>
          <w:p>
            <w:pPr>
              <w:spacing w:after="0"/>
              <w:rPr>
                <w:sz w:val="22"/>
                <w:szCs w:val="22"/>
                <w:color w:val="auto"/>
              </w:rPr>
            </w:pPr>
          </w:p>
        </w:tc>
        <w:tc>
          <w:tcPr>
            <w:tcW w:w="2400" w:type="dxa"/>
            <w:vAlign w:val="bottom"/>
            <w:shd w:val="clear" w:color="auto" w:fill="1A3FD6"/>
          </w:tcPr>
          <w:p>
            <w:pPr>
              <w:spacing w:after="0"/>
              <w:rPr>
                <w:sz w:val="22"/>
                <w:szCs w:val="22"/>
                <w:color w:val="auto"/>
              </w:rPr>
            </w:pPr>
          </w:p>
        </w:tc>
        <w:tc>
          <w:tcPr>
            <w:tcW w:w="120" w:type="dxa"/>
            <w:vAlign w:val="bottom"/>
            <w:shd w:val="clear" w:color="auto" w:fill="1A3FD6"/>
          </w:tcPr>
          <w:p>
            <w:pPr>
              <w:spacing w:after="0"/>
              <w:rPr>
                <w:sz w:val="22"/>
                <w:szCs w:val="22"/>
                <w:color w:val="auto"/>
              </w:rPr>
            </w:pPr>
          </w:p>
        </w:tc>
        <w:tc>
          <w:tcPr>
            <w:tcW w:w="2580" w:type="dxa"/>
            <w:vAlign w:val="bottom"/>
            <w:shd w:val="clear" w:color="auto" w:fill="1A3FD6"/>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0</wp:posOffset>
            </wp:positionV>
            <wp:extent cx="8890" cy="3308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3308985"/>
                    </a:xfrm>
                    <a:prstGeom prst="rect">
                      <a:avLst/>
                    </a:prstGeom>
                    <a:noFill/>
                  </pic:spPr>
                </pic:pic>
              </a:graphicData>
            </a:graphic>
          </wp:anchor>
        </w:drawing>
      </w:r>
    </w:p>
    <w:p>
      <w:pPr>
        <w:spacing w:after="0" w:line="146" w:lineRule="exact"/>
        <w:rPr>
          <w:sz w:val="20"/>
          <w:szCs w:val="20"/>
          <w:color w:val="auto"/>
        </w:rPr>
      </w:pPr>
    </w:p>
    <w:p>
      <w:pPr>
        <w:ind w:left="20" w:right="20"/>
        <w:spacing w:after="0" w:line="282" w:lineRule="auto"/>
        <w:rPr>
          <w:sz w:val="20"/>
          <w:szCs w:val="20"/>
          <w:color w:val="auto"/>
        </w:rPr>
      </w:pPr>
      <w:r>
        <w:rPr>
          <w:rFonts w:ascii="Arial" w:cs="Arial" w:eastAsia="Arial" w:hAnsi="Arial"/>
          <w:sz w:val="14"/>
          <w:szCs w:val="14"/>
          <w:color w:val="auto"/>
        </w:rPr>
        <w:t>Mr. Taneja is currently the President of Technology for Visa Inc. (“Visa”), a role he has held since 2019. He joined Visa in 2013 and served as Executive Vice President of Technology and Operations until 2019. Prior to joining Visa, Mr. Taneja was Executive Vice President and Chief Technology Officer of Electronic Arts Inc. from 2011 until 2013. From 1996 until 2011, he served in various roles at Microsoft Corporation (“Microsoft”), including as the Corporate Vice President, Commerce Division. At Microsoft, Mr. Taneja led the development and deployment of commerce and transaction technologies across its connected services, the company’s online digital advertising platforms and one of its first business online service offerings. Mr. Taneja holds a Bachelor of Electrical Engineering from Jadavpur University and an M.B.A. from Washington State University.</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left="20" w:right="40"/>
        <w:spacing w:after="0" w:line="283" w:lineRule="auto"/>
        <w:rPr>
          <w:sz w:val="20"/>
          <w:szCs w:val="20"/>
          <w:color w:val="auto"/>
        </w:rPr>
      </w:pPr>
      <w:r>
        <w:rPr>
          <w:rFonts w:ascii="Arial" w:cs="Arial" w:eastAsia="Arial" w:hAnsi="Arial"/>
          <w:sz w:val="14"/>
          <w:szCs w:val="14"/>
          <w:color w:val="auto"/>
        </w:rPr>
        <w:t>We believe that Mr. Taneja’s over 30 years of experience in global technology, innovation and research and development render him qualified to serve as one of our directors. At Visa, he oversees significant investments in technology infrastructure, cybersecurity risk and transformational initiatives, including the implementation of artificial intelligence at a global enterprise. This experience provides valuable insight into the continuing transformation of MSCI’s data and technology capabilities. In 2024, he was listed on Forbes’ ‘CIO Next List,’ highlighting top tech leaders driving AI transformation. In 2025, he led Visa to earn the number 2 spot on Fortune’s ‘AIQ 50’ list of companies leading in AI maturity and readiness.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A3FD6"/>
        </w:rPr>
        <w:t>Prior Other Public Company Directorships: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Ellie Mae, Inc. (June 2015 to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966470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537845</wp:posOffset>
            </wp:positionV>
            <wp:extent cx="3488690" cy="2322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8869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 xml:space="preserve">Paula Volent, </w:t>
      </w:r>
      <w:r>
        <w:rPr>
          <w:rFonts w:ascii="Arial" w:cs="Arial" w:eastAsia="Arial" w:hAnsi="Arial"/>
          <w:sz w:val="16"/>
          <w:szCs w:val="16"/>
          <w:b w:val="1"/>
          <w:bCs w:val="1"/>
          <w:color w:val="FFFFFF"/>
        </w:rPr>
        <w:t>69</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2020</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Compensation Committee</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Strategy Committee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shd w:val="clear" w:color="auto" w:fill="1A3FD6"/>
          </w:tcPr>
          <w:p>
            <w:pPr>
              <w:spacing w:after="0"/>
              <w:rPr>
                <w:sz w:val="9"/>
                <w:szCs w:val="9"/>
                <w:color w:val="auto"/>
              </w:rPr>
            </w:pPr>
          </w:p>
        </w:tc>
        <w:tc>
          <w:tcPr>
            <w:tcW w:w="2600" w:type="dxa"/>
            <w:vAlign w:val="bottom"/>
            <w:shd w:val="clear" w:color="auto" w:fill="1A3FD6"/>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20" w:type="dxa"/>
            <w:vAlign w:val="bottom"/>
            <w:gridSpan w:val="2"/>
            <w:shd w:val="clear" w:color="auto" w:fill="1A3FD6"/>
          </w:tcPr>
          <w:p>
            <w:pPr>
              <w:ind w:left="20"/>
              <w:spacing w:after="0"/>
              <w:rPr>
                <w:sz w:val="20"/>
                <w:szCs w:val="20"/>
                <w:color w:val="auto"/>
              </w:rPr>
            </w:pPr>
            <w:r>
              <w:rPr>
                <w:rFonts w:ascii="Arial" w:cs="Arial" w:eastAsia="Arial" w:hAnsi="Arial"/>
                <w:sz w:val="14"/>
                <w:szCs w:val="14"/>
                <w:b w:val="1"/>
                <w:bCs w:val="1"/>
                <w:color w:val="00C4B3"/>
              </w:rPr>
              <w:t>Core Competencies:</w:t>
            </w:r>
          </w:p>
        </w:tc>
        <w:tc>
          <w:tcPr>
            <w:tcW w:w="120" w:type="dxa"/>
            <w:vAlign w:val="bottom"/>
            <w:shd w:val="clear" w:color="auto" w:fill="1A3FD6"/>
          </w:tcPr>
          <w:p>
            <w:pPr>
              <w:spacing w:after="0"/>
              <w:rPr>
                <w:sz w:val="18"/>
                <w:szCs w:val="18"/>
                <w:color w:val="auto"/>
              </w:rPr>
            </w:pPr>
          </w:p>
        </w:tc>
        <w:tc>
          <w:tcPr>
            <w:tcW w:w="2600" w:type="dxa"/>
            <w:vAlign w:val="bottom"/>
            <w:shd w:val="clear" w:color="auto" w:fill="1A3FD6"/>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Executive Leadership</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600" w:type="dxa"/>
            <w:vAlign w:val="bottom"/>
            <w:shd w:val="clear" w:color="auto" w:fill="1A3FD6"/>
          </w:tcPr>
          <w:p>
            <w:pPr>
              <w:ind w:left="60"/>
              <w:spacing w:after="0"/>
              <w:rPr>
                <w:sz w:val="20"/>
                <w:szCs w:val="20"/>
                <w:color w:val="auto"/>
              </w:rPr>
            </w:pPr>
            <w:r>
              <w:rPr>
                <w:rFonts w:ascii="Arial" w:cs="Arial" w:eastAsia="Arial" w:hAnsi="Arial"/>
                <w:sz w:val="14"/>
                <w:szCs w:val="14"/>
                <w:b w:val="1"/>
                <w:bCs w:val="1"/>
                <w:color w:val="FFFFFF"/>
              </w:rPr>
              <w:t>Financial Reporting and Capital</w:t>
            </w:r>
          </w:p>
        </w:tc>
        <w:tc>
          <w:tcPr>
            <w:tcW w:w="0" w:type="dxa"/>
            <w:vAlign w:val="bottom"/>
          </w:tcPr>
          <w:p>
            <w:pPr>
              <w:spacing w:after="0"/>
              <w:rPr>
                <w:sz w:val="1"/>
                <w:szCs w:val="1"/>
                <w:color w:val="auto"/>
              </w:rPr>
            </w:pPr>
          </w:p>
        </w:tc>
      </w:tr>
      <w:tr>
        <w:trPr>
          <w:trHeight w:val="196"/>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Investment Industry Expertise</w:t>
            </w:r>
          </w:p>
        </w:tc>
        <w:tc>
          <w:tcPr>
            <w:tcW w:w="120" w:type="dxa"/>
            <w:vAlign w:val="bottom"/>
            <w:shd w:val="clear" w:color="auto" w:fill="1A3FD6"/>
          </w:tcPr>
          <w:p>
            <w:pPr>
              <w:spacing w:after="0"/>
              <w:rPr>
                <w:sz w:val="17"/>
                <w:szCs w:val="17"/>
                <w:color w:val="auto"/>
              </w:rPr>
            </w:pPr>
          </w:p>
        </w:tc>
        <w:tc>
          <w:tcPr>
            <w:tcW w:w="2600" w:type="dxa"/>
            <w:vAlign w:val="bottom"/>
            <w:shd w:val="clear" w:color="auto" w:fill="1A3FD6"/>
          </w:tcPr>
          <w:p>
            <w:pPr>
              <w:ind w:left="100"/>
              <w:spacing w:after="0"/>
              <w:rPr>
                <w:sz w:val="20"/>
                <w:szCs w:val="20"/>
                <w:color w:val="auto"/>
              </w:rPr>
            </w:pPr>
            <w:r>
              <w:rPr>
                <w:rFonts w:ascii="Arial" w:cs="Arial" w:eastAsia="Arial" w:hAnsi="Arial"/>
                <w:sz w:val="14"/>
                <w:szCs w:val="14"/>
                <w:b w:val="1"/>
                <w:bCs w:val="1"/>
                <w:color w:val="FFFFFF"/>
              </w:rPr>
              <w:t>Allocation</w:t>
            </w:r>
          </w:p>
        </w:tc>
        <w:tc>
          <w:tcPr>
            <w:tcW w:w="0" w:type="dxa"/>
            <w:vAlign w:val="bottom"/>
          </w:tcPr>
          <w:p>
            <w:pPr>
              <w:spacing w:after="0"/>
              <w:rPr>
                <w:sz w:val="1"/>
                <w:szCs w:val="1"/>
                <w:color w:val="auto"/>
              </w:rPr>
            </w:pPr>
          </w:p>
        </w:tc>
      </w:tr>
      <w:tr>
        <w:trPr>
          <w:trHeight w:val="68"/>
        </w:trPr>
        <w:tc>
          <w:tcPr>
            <w:tcW w:w="120" w:type="dxa"/>
            <w:vAlign w:val="bottom"/>
            <w:vMerge w:val="continue"/>
            <w:shd w:val="clear" w:color="auto" w:fill="1A3FD6"/>
          </w:tcPr>
          <w:p>
            <w:pPr>
              <w:spacing w:after="0"/>
              <w:rPr>
                <w:sz w:val="5"/>
                <w:szCs w:val="5"/>
                <w:color w:val="auto"/>
              </w:rPr>
            </w:pPr>
          </w:p>
        </w:tc>
        <w:tc>
          <w:tcPr>
            <w:tcW w:w="2400" w:type="dxa"/>
            <w:vAlign w:val="bottom"/>
            <w:vMerge w:val="continue"/>
            <w:shd w:val="clear" w:color="auto" w:fill="1A3FD6"/>
          </w:tcPr>
          <w:p>
            <w:pPr>
              <w:spacing w:after="0"/>
              <w:rPr>
                <w:sz w:val="5"/>
                <w:szCs w:val="5"/>
                <w:color w:val="auto"/>
              </w:rPr>
            </w:pPr>
          </w:p>
        </w:tc>
        <w:tc>
          <w:tcPr>
            <w:tcW w:w="120" w:type="dxa"/>
            <w:vAlign w:val="bottom"/>
            <w:shd w:val="clear" w:color="auto" w:fill="1A3FD6"/>
          </w:tcPr>
          <w:p>
            <w:pPr>
              <w:spacing w:after="0"/>
              <w:rPr>
                <w:sz w:val="5"/>
                <w:szCs w:val="5"/>
                <w:color w:val="auto"/>
              </w:rPr>
            </w:pPr>
          </w:p>
        </w:tc>
        <w:tc>
          <w:tcPr>
            <w:tcW w:w="26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Corporate/Enterprise Risk</w:t>
            </w:r>
          </w:p>
        </w:tc>
        <w:tc>
          <w:tcPr>
            <w:tcW w:w="0" w:type="dxa"/>
            <w:vAlign w:val="bottom"/>
          </w:tcPr>
          <w:p>
            <w:pPr>
              <w:spacing w:after="0"/>
              <w:rPr>
                <w:sz w:val="1"/>
                <w:szCs w:val="1"/>
                <w:color w:val="auto"/>
              </w:rPr>
            </w:pPr>
          </w:p>
        </w:tc>
      </w:tr>
      <w:tr>
        <w:trPr>
          <w:trHeight w:val="182"/>
        </w:trPr>
        <w:tc>
          <w:tcPr>
            <w:tcW w:w="120" w:type="dxa"/>
            <w:vAlign w:val="bottom"/>
            <w:vMerge w:val="restart"/>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400" w:type="dxa"/>
            <w:vAlign w:val="bottom"/>
            <w:vMerge w:val="restart"/>
            <w:shd w:val="clear" w:color="auto" w:fill="1A3FD6"/>
          </w:tcPr>
          <w:p>
            <w:pPr>
              <w:ind w:left="60"/>
              <w:spacing w:after="0"/>
              <w:rPr>
                <w:sz w:val="20"/>
                <w:szCs w:val="20"/>
                <w:color w:val="auto"/>
              </w:rPr>
            </w:pPr>
            <w:r>
              <w:rPr>
                <w:rFonts w:ascii="Arial" w:cs="Arial" w:eastAsia="Arial" w:hAnsi="Arial"/>
                <w:sz w:val="14"/>
                <w:szCs w:val="14"/>
                <w:b w:val="1"/>
                <w:bCs w:val="1"/>
                <w:color w:val="FFFFFF"/>
              </w:rPr>
              <w:t>Corporate Development</w:t>
            </w:r>
          </w:p>
        </w:tc>
        <w:tc>
          <w:tcPr>
            <w:tcW w:w="120" w:type="dxa"/>
            <w:vAlign w:val="bottom"/>
            <w:shd w:val="clear" w:color="auto" w:fill="1A3FD6"/>
          </w:tcPr>
          <w:p>
            <w:pPr>
              <w:ind w:left="20"/>
              <w:spacing w:after="0"/>
              <w:rPr>
                <w:sz w:val="20"/>
                <w:szCs w:val="20"/>
                <w:color w:val="auto"/>
              </w:rPr>
            </w:pPr>
            <w:r>
              <w:rPr>
                <w:rFonts w:ascii="Arial" w:cs="Arial" w:eastAsia="Arial" w:hAnsi="Arial"/>
                <w:sz w:val="13"/>
                <w:szCs w:val="13"/>
                <w:b w:val="1"/>
                <w:bCs w:val="1"/>
                <w:color w:val="00A798"/>
              </w:rPr>
              <w:t>•</w:t>
            </w:r>
          </w:p>
        </w:tc>
        <w:tc>
          <w:tcPr>
            <w:tcW w:w="2600" w:type="dxa"/>
            <w:vAlign w:val="bottom"/>
            <w:vMerge w:val="continue"/>
            <w:shd w:val="clear" w:color="auto" w:fill="1A3FD6"/>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20" w:type="dxa"/>
            <w:vAlign w:val="bottom"/>
            <w:vMerge w:val="continue"/>
            <w:shd w:val="clear" w:color="auto" w:fill="1A3FD6"/>
          </w:tcPr>
          <w:p>
            <w:pPr>
              <w:spacing w:after="0"/>
              <w:rPr>
                <w:sz w:val="6"/>
                <w:szCs w:val="6"/>
                <w:color w:val="auto"/>
              </w:rPr>
            </w:pPr>
          </w:p>
        </w:tc>
        <w:tc>
          <w:tcPr>
            <w:tcW w:w="2400" w:type="dxa"/>
            <w:vAlign w:val="bottom"/>
            <w:vMerge w:val="continue"/>
            <w:shd w:val="clear" w:color="auto" w:fill="1A3FD6"/>
          </w:tcPr>
          <w:p>
            <w:pPr>
              <w:spacing w:after="0"/>
              <w:rPr>
                <w:sz w:val="6"/>
                <w:szCs w:val="6"/>
                <w:color w:val="auto"/>
              </w:rPr>
            </w:pPr>
          </w:p>
        </w:tc>
        <w:tc>
          <w:tcPr>
            <w:tcW w:w="120" w:type="dxa"/>
            <w:vAlign w:val="bottom"/>
            <w:shd w:val="clear" w:color="auto" w:fill="1A3FD6"/>
          </w:tcPr>
          <w:p>
            <w:pPr>
              <w:spacing w:after="0"/>
              <w:rPr>
                <w:sz w:val="6"/>
                <w:szCs w:val="6"/>
                <w:color w:val="auto"/>
              </w:rPr>
            </w:pPr>
          </w:p>
        </w:tc>
        <w:tc>
          <w:tcPr>
            <w:tcW w:w="2600" w:type="dxa"/>
            <w:vAlign w:val="bottom"/>
            <w:vMerge w:val="restart"/>
            <w:shd w:val="clear" w:color="auto" w:fill="1A3FD6"/>
          </w:tcPr>
          <w:p>
            <w:pPr>
              <w:ind w:left="100"/>
              <w:spacing w:after="0"/>
              <w:rPr>
                <w:sz w:val="20"/>
                <w:szCs w:val="20"/>
                <w:color w:val="auto"/>
              </w:rPr>
            </w:pPr>
            <w:r>
              <w:rPr>
                <w:rFonts w:ascii="Arial" w:cs="Arial" w:eastAsia="Arial" w:hAnsi="Arial"/>
                <w:sz w:val="14"/>
                <w:szCs w:val="14"/>
                <w:b w:val="1"/>
                <w:bCs w:val="1"/>
                <w:color w:val="FFFFFF"/>
              </w:rPr>
              <w:t>Management</w:t>
            </w:r>
          </w:p>
        </w:tc>
        <w:tc>
          <w:tcPr>
            <w:tcW w:w="0" w:type="dxa"/>
            <w:vAlign w:val="bottom"/>
          </w:tcPr>
          <w:p>
            <w:pPr>
              <w:spacing w:after="0"/>
              <w:rPr>
                <w:sz w:val="1"/>
                <w:szCs w:val="1"/>
                <w:color w:val="auto"/>
              </w:rPr>
            </w:pPr>
          </w:p>
        </w:tc>
      </w:tr>
      <w:tr>
        <w:trPr>
          <w:trHeight w:val="122"/>
        </w:trPr>
        <w:tc>
          <w:tcPr>
            <w:tcW w:w="120" w:type="dxa"/>
            <w:vAlign w:val="bottom"/>
            <w:shd w:val="clear" w:color="auto" w:fill="1A3FD6"/>
          </w:tcPr>
          <w:p>
            <w:pPr>
              <w:spacing w:after="0"/>
              <w:rPr>
                <w:sz w:val="10"/>
                <w:szCs w:val="10"/>
                <w:color w:val="auto"/>
              </w:rPr>
            </w:pPr>
          </w:p>
        </w:tc>
        <w:tc>
          <w:tcPr>
            <w:tcW w:w="2400" w:type="dxa"/>
            <w:vAlign w:val="bottom"/>
            <w:shd w:val="clear" w:color="auto" w:fill="1A3FD6"/>
          </w:tcPr>
          <w:p>
            <w:pPr>
              <w:spacing w:after="0"/>
              <w:rPr>
                <w:sz w:val="10"/>
                <w:szCs w:val="10"/>
                <w:color w:val="auto"/>
              </w:rPr>
            </w:pPr>
          </w:p>
        </w:tc>
        <w:tc>
          <w:tcPr>
            <w:tcW w:w="120" w:type="dxa"/>
            <w:vAlign w:val="bottom"/>
            <w:shd w:val="clear" w:color="auto" w:fill="1A3FD6"/>
          </w:tcPr>
          <w:p>
            <w:pPr>
              <w:spacing w:after="0"/>
              <w:rPr>
                <w:sz w:val="10"/>
                <w:szCs w:val="10"/>
                <w:color w:val="auto"/>
              </w:rPr>
            </w:pPr>
          </w:p>
        </w:tc>
        <w:tc>
          <w:tcPr>
            <w:tcW w:w="2600" w:type="dxa"/>
            <w:vAlign w:val="bottom"/>
            <w:vMerge w:val="continue"/>
            <w:shd w:val="clear" w:color="auto" w:fill="1A3FD6"/>
          </w:tcPr>
          <w:p>
            <w:pPr>
              <w:spacing w:after="0"/>
              <w:rPr>
                <w:sz w:val="10"/>
                <w:szCs w:val="10"/>
                <w:color w:val="auto"/>
              </w:rPr>
            </w:pPr>
          </w:p>
        </w:tc>
        <w:tc>
          <w:tcPr>
            <w:tcW w:w="0" w:type="dxa"/>
            <w:vAlign w:val="bottom"/>
          </w:tcPr>
          <w:p>
            <w:pPr>
              <w:spacing w:after="0"/>
              <w:rPr>
                <w:sz w:val="1"/>
                <w:szCs w:val="1"/>
                <w:color w:val="auto"/>
              </w:rPr>
            </w:pPr>
          </w:p>
        </w:tc>
      </w:tr>
      <w:tr>
        <w:trPr>
          <w:trHeight w:val="583"/>
        </w:trPr>
        <w:tc>
          <w:tcPr>
            <w:tcW w:w="120" w:type="dxa"/>
            <w:vAlign w:val="bottom"/>
            <w:shd w:val="clear" w:color="auto" w:fill="1A3FD6"/>
          </w:tcPr>
          <w:p>
            <w:pPr>
              <w:spacing w:after="0"/>
              <w:rPr>
                <w:sz w:val="24"/>
                <w:szCs w:val="24"/>
                <w:color w:val="auto"/>
              </w:rPr>
            </w:pPr>
          </w:p>
        </w:tc>
        <w:tc>
          <w:tcPr>
            <w:tcW w:w="2400" w:type="dxa"/>
            <w:vAlign w:val="bottom"/>
            <w:shd w:val="clear" w:color="auto" w:fill="1A3FD6"/>
          </w:tcPr>
          <w:p>
            <w:pPr>
              <w:spacing w:after="0"/>
              <w:rPr>
                <w:sz w:val="24"/>
                <w:szCs w:val="24"/>
                <w:color w:val="auto"/>
              </w:rPr>
            </w:pPr>
          </w:p>
        </w:tc>
        <w:tc>
          <w:tcPr>
            <w:tcW w:w="120" w:type="dxa"/>
            <w:vAlign w:val="bottom"/>
            <w:shd w:val="clear" w:color="auto" w:fill="1A3FD6"/>
          </w:tcPr>
          <w:p>
            <w:pPr>
              <w:spacing w:after="0"/>
              <w:rPr>
                <w:sz w:val="24"/>
                <w:szCs w:val="24"/>
                <w:color w:val="auto"/>
              </w:rPr>
            </w:pPr>
          </w:p>
        </w:tc>
        <w:tc>
          <w:tcPr>
            <w:tcW w:w="2600" w:type="dxa"/>
            <w:vAlign w:val="bottom"/>
            <w:shd w:val="clear" w:color="auto" w:fill="1A3FD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0</wp:posOffset>
            </wp:positionV>
            <wp:extent cx="8255" cy="3308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3308985"/>
                    </a:xfrm>
                    <a:prstGeom prst="rect">
                      <a:avLst/>
                    </a:prstGeom>
                    <a:noFill/>
                  </pic:spPr>
                </pic:pic>
              </a:graphicData>
            </a:graphic>
          </wp:anchor>
        </w:drawing>
      </w:r>
    </w:p>
    <w:p>
      <w:pPr>
        <w:spacing w:after="0" w:line="146" w:lineRule="exact"/>
        <w:rPr>
          <w:sz w:val="20"/>
          <w:szCs w:val="20"/>
          <w:color w:val="auto"/>
        </w:rPr>
      </w:pPr>
    </w:p>
    <w:p>
      <w:pPr>
        <w:ind w:left="20" w:right="120"/>
        <w:spacing w:after="0" w:line="284" w:lineRule="auto"/>
        <w:rPr>
          <w:sz w:val="20"/>
          <w:szCs w:val="20"/>
          <w:color w:val="auto"/>
        </w:rPr>
      </w:pPr>
      <w:r>
        <w:rPr>
          <w:rFonts w:ascii="Arial" w:cs="Arial" w:eastAsia="Arial" w:hAnsi="Arial"/>
          <w:sz w:val="14"/>
          <w:szCs w:val="14"/>
          <w:color w:val="auto"/>
        </w:rPr>
        <w:t>Ms. Volent is currently Vice President and Chief Investment Officer at The Rockefeller University, a role she has held since 2021. She previously served as Senior Vice President for Investments and Chief Investment Officer at Bowdoin College from 2006 to 2021, Vice President for Investments at Bowdoin College from 2002 to 2006, and Associate Treasurer at Bowdoin College from 2000 to 2002. Prior to joining Bowdoin College in 2000, Ms. Volent served as a Senior Associate at the Yale Investments Office, and before focusing on endowment management, she worked as a paper conservator. She holds a Bachelor of Arts from the University of New Hampshire, an M.B.A. from Yale School of Management and a Master of Arts degree from the Institute of Fine Arts, New York University.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jc w:val="both"/>
        <w:ind w:left="20" w:right="40"/>
        <w:spacing w:after="0" w:line="278" w:lineRule="auto"/>
        <w:rPr>
          <w:sz w:val="20"/>
          <w:szCs w:val="20"/>
          <w:color w:val="auto"/>
        </w:rPr>
      </w:pPr>
      <w:r>
        <w:rPr>
          <w:rFonts w:ascii="Arial" w:cs="Arial" w:eastAsia="Arial" w:hAnsi="Arial"/>
          <w:sz w:val="14"/>
          <w:szCs w:val="14"/>
          <w:color w:val="auto"/>
        </w:rPr>
        <w:t>We believe that Ms. Volent’s experience as a Chief Investment Officer at leading educational and research institutions, including her recognized track record of top investment performance, renders her qualified to serve as one of our directors.</w:t>
      </w:r>
    </w:p>
    <w:p>
      <w:pPr>
        <w:spacing w:after="0" w:line="2" w:lineRule="exact"/>
        <w:rPr>
          <w:sz w:val="20"/>
          <w:szCs w:val="20"/>
          <w:color w:val="auto"/>
        </w:rPr>
      </w:pPr>
    </w:p>
    <w:p>
      <w:pPr>
        <w:ind w:left="20" w:right="220"/>
        <w:spacing w:after="0" w:line="287" w:lineRule="auto"/>
        <w:rPr>
          <w:sz w:val="20"/>
          <w:szCs w:val="20"/>
          <w:color w:val="auto"/>
        </w:rPr>
      </w:pPr>
      <w:r>
        <w:rPr>
          <w:rFonts w:ascii="Arial" w:cs="Arial" w:eastAsia="Arial" w:hAnsi="Arial"/>
          <w:sz w:val="14"/>
          <w:szCs w:val="14"/>
          <w:color w:val="auto"/>
        </w:rPr>
        <w:t>Ms. Volent began her investment career at the Yale Investments Office, and brings significant expertise in alternative investments and asset allocation. She provides important insights regarding our asset owner client segment and has deep engagement with the global investment community. Ms. Volent has been recognized by Barron’s as one of the most influential women in U.S. 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A3FD6"/>
        </w:rPr>
        <w:t>Current Other Public Company Directorships: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1stdibs.com, Inc. (June 2021 to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3000" w:type="dxa"/>
        <w:tblCellMar>
          <w:top w:w="0" w:type="dxa"/>
          <w:left w:w="0" w:type="dxa"/>
          <w:bottom w:w="0" w:type="dxa"/>
          <w:right w:w="0" w:type="dxa"/>
        </w:tblCellMar>
      </w:tblPr>
      <w:tr>
        <w:trPr>
          <w:trHeight w:val="196"/>
        </w:trPr>
        <w:tc>
          <w:tcPr>
            <w:tcW w:w="1900" w:type="dxa"/>
            <w:vAlign w:val="bottom"/>
          </w:tcPr>
          <w:p>
            <w:pPr>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bl>
    <w:p>
      <w:pPr>
        <w:sectPr>
          <w:pgSz w:w="11900" w:h="16838" w:orient="portrait"/>
          <w:cols w:equalWidth="0" w:num="2">
            <w:col w:w="5220" w:space="540"/>
            <w:col w:w="5240"/>
          </w:cols>
          <w:pgMar w:left="56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3522980" cy="2314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2298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June Yang, 52</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00C4B3"/>
        </w:rPr>
        <w:t>INDEPENDENT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 xml:space="preserve">Director Since: </w:t>
      </w:r>
      <w:r>
        <w:rPr>
          <w:rFonts w:ascii="Arial" w:cs="Arial" w:eastAsia="Arial" w:hAnsi="Arial"/>
          <w:sz w:val="14"/>
          <w:szCs w:val="14"/>
          <w:b w:val="1"/>
          <w:bCs w:val="1"/>
          <w:color w:val="FFFFFF"/>
        </w:rPr>
        <w:t>2024</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Committees:</w:t>
      </w:r>
    </w:p>
    <w:p>
      <w:pPr>
        <w:spacing w:after="0" w:line="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Audit Committee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2180" w:type="dxa"/>
            <w:vAlign w:val="bottom"/>
            <w:gridSpan w:val="2"/>
          </w:tcPr>
          <w:p>
            <w:pPr>
              <w:spacing w:after="0"/>
              <w:rPr>
                <w:sz w:val="20"/>
                <w:szCs w:val="20"/>
                <w:color w:val="auto"/>
              </w:rPr>
            </w:pPr>
            <w:r>
              <w:rPr>
                <w:rFonts w:ascii="Arial" w:cs="Arial" w:eastAsia="Arial" w:hAnsi="Arial"/>
                <w:sz w:val="14"/>
                <w:szCs w:val="14"/>
                <w:b w:val="1"/>
                <w:bCs w:val="1"/>
                <w:color w:val="00C4B3"/>
              </w:rPr>
              <w:t>Core Competencies:</w:t>
            </w: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r>
              <w:rPr>
                <w:rFonts w:ascii="Arial" w:cs="Arial" w:eastAsia="Arial" w:hAnsi="Arial"/>
                <w:sz w:val="13"/>
                <w:szCs w:val="13"/>
                <w:b w:val="1"/>
                <w:bCs w:val="1"/>
                <w:color w:val="00A798"/>
              </w:rPr>
              <w:t>•</w:t>
            </w:r>
          </w:p>
        </w:tc>
        <w:tc>
          <w:tcPr>
            <w:tcW w:w="2060" w:type="dxa"/>
            <w:vAlign w:val="bottom"/>
          </w:tcPr>
          <w:p>
            <w:pPr>
              <w:ind w:left="40"/>
              <w:spacing w:after="0"/>
              <w:rPr>
                <w:sz w:val="20"/>
                <w:szCs w:val="20"/>
                <w:color w:val="auto"/>
              </w:rPr>
            </w:pPr>
            <w:r>
              <w:rPr>
                <w:rFonts w:ascii="Arial" w:cs="Arial" w:eastAsia="Arial" w:hAnsi="Arial"/>
                <w:sz w:val="14"/>
                <w:szCs w:val="14"/>
                <w:b w:val="1"/>
                <w:bCs w:val="1"/>
                <w:color w:val="FFFFFF"/>
              </w:rPr>
              <w:t>Executive Leadership</w:t>
            </w:r>
          </w:p>
        </w:tc>
        <w:tc>
          <w:tcPr>
            <w:tcW w:w="500" w:type="dxa"/>
            <w:vAlign w:val="bottom"/>
          </w:tcPr>
          <w:p>
            <w:pPr>
              <w:ind w:left="400"/>
              <w:spacing w:after="0"/>
              <w:rPr>
                <w:sz w:val="20"/>
                <w:szCs w:val="20"/>
                <w:color w:val="auto"/>
              </w:rPr>
            </w:pPr>
            <w:r>
              <w:rPr>
                <w:rFonts w:ascii="Arial" w:cs="Arial" w:eastAsia="Arial" w:hAnsi="Arial"/>
                <w:sz w:val="13"/>
                <w:szCs w:val="13"/>
                <w:b w:val="1"/>
                <w:bCs w:val="1"/>
                <w:color w:val="00A798"/>
              </w:rPr>
              <w:t>•</w:t>
            </w:r>
          </w:p>
        </w:tc>
        <w:tc>
          <w:tcPr>
            <w:tcW w:w="1980" w:type="dxa"/>
            <w:vAlign w:val="bottom"/>
          </w:tcPr>
          <w:p>
            <w:pPr>
              <w:ind w:left="40"/>
              <w:spacing w:after="0"/>
              <w:rPr>
                <w:sz w:val="20"/>
                <w:szCs w:val="20"/>
                <w:color w:val="auto"/>
              </w:rPr>
            </w:pPr>
            <w:r>
              <w:rPr>
                <w:rFonts w:ascii="Arial" w:cs="Arial" w:eastAsia="Arial" w:hAnsi="Arial"/>
                <w:sz w:val="14"/>
                <w:szCs w:val="14"/>
                <w:b w:val="1"/>
                <w:bCs w:val="1"/>
                <w:color w:val="FFFFFF"/>
              </w:rPr>
              <w:t>Technology, Data and</w:t>
            </w:r>
          </w:p>
        </w:tc>
        <w:tc>
          <w:tcPr>
            <w:tcW w:w="0" w:type="dxa"/>
            <w:vAlign w:val="bottom"/>
          </w:tcPr>
          <w:p>
            <w:pPr>
              <w:spacing w:after="0"/>
              <w:rPr>
                <w:sz w:val="1"/>
                <w:szCs w:val="1"/>
                <w:color w:val="auto"/>
              </w:rPr>
            </w:pPr>
          </w:p>
        </w:tc>
      </w:tr>
      <w:tr>
        <w:trPr>
          <w:trHeight w:val="196"/>
        </w:trPr>
        <w:tc>
          <w:tcPr>
            <w:tcW w:w="12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Global Perspective</w:t>
            </w:r>
          </w:p>
        </w:tc>
        <w:tc>
          <w:tcPr>
            <w:tcW w:w="500" w:type="dxa"/>
            <w:vAlign w:val="bottom"/>
          </w:tcPr>
          <w:p>
            <w:pPr>
              <w:spacing w:after="0"/>
              <w:rPr>
                <w:sz w:val="17"/>
                <w:szCs w:val="17"/>
                <w:color w:val="auto"/>
              </w:rPr>
            </w:pPr>
          </w:p>
        </w:tc>
        <w:tc>
          <w:tcPr>
            <w:tcW w:w="1980" w:type="dxa"/>
            <w:vAlign w:val="bottom"/>
          </w:tcPr>
          <w:p>
            <w:pPr>
              <w:ind w:left="80"/>
              <w:spacing w:after="0"/>
              <w:rPr>
                <w:sz w:val="20"/>
                <w:szCs w:val="20"/>
                <w:color w:val="auto"/>
              </w:rPr>
            </w:pPr>
            <w:r>
              <w:rPr>
                <w:rFonts w:ascii="Arial" w:cs="Arial" w:eastAsia="Arial" w:hAnsi="Arial"/>
                <w:sz w:val="14"/>
                <w:szCs w:val="14"/>
                <w:b w:val="1"/>
                <w:bCs w:val="1"/>
                <w:color w:val="FFFFFF"/>
              </w:rPr>
              <w:t>Cybersecurity Expertise</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98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Human Capital Management</w:t>
            </w:r>
          </w:p>
        </w:tc>
        <w:tc>
          <w:tcPr>
            <w:tcW w:w="0" w:type="dxa"/>
            <w:vAlign w:val="bottom"/>
          </w:tcPr>
          <w:p>
            <w:pPr>
              <w:spacing w:after="0"/>
              <w:rPr>
                <w:sz w:val="1"/>
                <w:szCs w:val="1"/>
                <w:color w:val="auto"/>
              </w:rPr>
            </w:pPr>
          </w:p>
        </w:tc>
      </w:tr>
      <w:tr>
        <w:trPr>
          <w:trHeight w:val="189"/>
        </w:trPr>
        <w:tc>
          <w:tcPr>
            <w:tcW w:w="120" w:type="dxa"/>
            <w:vAlign w:val="bottom"/>
            <w:vMerge w:val="restart"/>
          </w:tcPr>
          <w:p>
            <w:pPr>
              <w:spacing w:after="0"/>
              <w:rPr>
                <w:sz w:val="20"/>
                <w:szCs w:val="20"/>
                <w:color w:val="auto"/>
              </w:rPr>
            </w:pPr>
            <w:r>
              <w:rPr>
                <w:rFonts w:ascii="Arial" w:cs="Arial" w:eastAsia="Arial" w:hAnsi="Arial"/>
                <w:sz w:val="13"/>
                <w:szCs w:val="13"/>
                <w:b w:val="1"/>
                <w:bCs w:val="1"/>
                <w:color w:val="00A798"/>
              </w:rPr>
              <w:t>•</w:t>
            </w: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Corporate Development</w:t>
            </w:r>
          </w:p>
        </w:tc>
        <w:tc>
          <w:tcPr>
            <w:tcW w:w="500" w:type="dxa"/>
            <w:vAlign w:val="bottom"/>
          </w:tcPr>
          <w:p>
            <w:pPr>
              <w:ind w:left="400"/>
              <w:spacing w:after="0"/>
              <w:rPr>
                <w:sz w:val="20"/>
                <w:szCs w:val="20"/>
                <w:color w:val="auto"/>
              </w:rPr>
            </w:pPr>
            <w:r>
              <w:rPr>
                <w:rFonts w:ascii="Arial" w:cs="Arial" w:eastAsia="Arial" w:hAnsi="Arial"/>
                <w:sz w:val="13"/>
                <w:szCs w:val="13"/>
                <w:b w:val="1"/>
                <w:bCs w:val="1"/>
                <w:color w:val="00A798"/>
              </w:rPr>
              <w:t>•</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00A798"/>
        </w:rPr>
        <w:t xml:space="preserve">•  </w:t>
      </w:r>
      <w:r>
        <w:rPr>
          <w:rFonts w:ascii="Arial" w:cs="Arial" w:eastAsia="Arial" w:hAnsi="Arial"/>
          <w:sz w:val="14"/>
          <w:szCs w:val="14"/>
          <w:b w:val="1"/>
          <w:bCs w:val="1"/>
          <w:color w:val="FFFFFF"/>
        </w:rPr>
        <w:t>Client Relations, Marketing and</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FFFFFF"/>
        </w:rPr>
        <w:t>Brand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8890" cy="3720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372046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right="4619"/>
        <w:spacing w:after="0" w:line="282" w:lineRule="auto"/>
        <w:rPr>
          <w:sz w:val="20"/>
          <w:szCs w:val="20"/>
          <w:color w:val="auto"/>
        </w:rPr>
      </w:pPr>
      <w:r>
        <w:rPr>
          <w:rFonts w:ascii="Arial" w:cs="Arial" w:eastAsia="Arial" w:hAnsi="Arial"/>
          <w:sz w:val="14"/>
          <w:szCs w:val="14"/>
          <w:color w:val="auto"/>
        </w:rPr>
        <w:t>Ms. Yang was the Vice President, Cloud AI and Industry Solutions at Google Cloud Inc. (“Google Cloud”) from 2021 to 2023, where she was responsible for the portfolio of Google Cloud AI products and solutions. Previously at Google Cloud, she served as Vice President and General Manager, Google Compute, AI Infrastructure and Block Storage from 2019 to 2021. Prior to joining Google Cloud, Ms. Yang held various engineering and product management positions at VMware, Inc., including Vice President, Engineering and Product Management of VMware Cloud on Dell EMC and Vice President, Product Management of vSphere, Edge Computing and Analytics Cloud. Ms. Yang holds a Bachelor of Science degree in Chemical Engineering from the California Institute of Technology, a Master of Science degree in Chemical Engineering from the University of California, Berkeley and a Master of Science degree in Management from the Stanford University Graduate School of Business.</w:t>
      </w:r>
    </w:p>
    <w:p>
      <w:pPr>
        <w:spacing w:after="0" w:line="6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Qualifications:</w:t>
      </w:r>
    </w:p>
    <w:p>
      <w:pPr>
        <w:spacing w:after="0" w:line="35" w:lineRule="exact"/>
        <w:rPr>
          <w:sz w:val="20"/>
          <w:szCs w:val="20"/>
          <w:color w:val="auto"/>
        </w:rPr>
      </w:pPr>
    </w:p>
    <w:p>
      <w:pPr>
        <w:ind w:left="260" w:right="4659"/>
        <w:spacing w:after="0" w:line="283" w:lineRule="auto"/>
        <w:rPr>
          <w:sz w:val="20"/>
          <w:szCs w:val="20"/>
          <w:color w:val="auto"/>
        </w:rPr>
      </w:pPr>
      <w:r>
        <w:rPr>
          <w:rFonts w:ascii="Arial" w:cs="Arial" w:eastAsia="Arial" w:hAnsi="Arial"/>
          <w:sz w:val="14"/>
          <w:szCs w:val="14"/>
          <w:color w:val="auto"/>
        </w:rPr>
        <w:t>We believe that Ms. Yang’s extensive leadership experience in the technology sector, particularly her expertise in AI, cloud infrastructure, and enterprise innovation, qualifies her to serve as one of our directors. Over the course of her career, she has demonstrated a strong track record of developing and scaling enterprise technologies, with a focus on product management, marketing, and engineering. At Google Cloud, Ms. Yang oversaw the company’s entire portfolio of AI products and services and played a key role in driving the development and delivery of cutting-edge AI and cloud solutions. Her insights into emerging technologies and enterprise strategies bring valuable perspectives to the Board.</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Current Other Public Company Directorships: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NetApp, Inc. (September 2024 to present) and UiPath, Inc. (February 2024 to</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present)</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Prior Other Public Company Directorships: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SRS Distribution Inc. (November 2022 to July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524510</wp:posOffset>
            </wp:positionV>
            <wp:extent cx="55689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27" w:name="page28"/>
    <w:bookmarkEnd w:id="27"/>
    <w:p>
      <w:pPr>
        <w:spacing w:after="0"/>
        <w:rPr>
          <w:sz w:val="20"/>
          <w:szCs w:val="20"/>
          <w:color w:val="auto"/>
        </w:rPr>
      </w:pPr>
      <w:r>
        <w:rPr>
          <w:rFonts w:ascii="Arial" w:cs="Arial" w:eastAsia="Arial" w:hAnsi="Arial"/>
          <w:sz w:val="47"/>
          <w:szCs w:val="47"/>
          <w:b w:val="1"/>
          <w:bCs w:val="1"/>
          <w:color w:val="1A3FD6"/>
        </w:rPr>
        <w:t>Corporate</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Governance</w:t>
      </w:r>
    </w:p>
    <w:p>
      <w:pPr>
        <w:spacing w:after="0" w:line="28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Corporate Governance Practices</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MSCI’s Board of Directors adheres to governance principles designed to ensure the continued effectiveness of the Board and excellence in the execution of its duties. The Board has in place a set of Corporate Governance Policies reflecting these principles, including the Board’s policy of requiring a significant majority of the Board to be comprised of independent directors; the importance of reflecting a broad range of skills, backgrounds and perspectives; and the practice of regularly scheduled executive sessions, including sessions of independent directors without members of management.</w:t>
      </w:r>
    </w:p>
    <w:p>
      <w:pPr>
        <w:spacing w:after="0" w:line="99" w:lineRule="exact"/>
        <w:rPr>
          <w:sz w:val="20"/>
          <w:szCs w:val="20"/>
          <w:color w:val="auto"/>
        </w:rPr>
      </w:pPr>
    </w:p>
    <w:p>
      <w:pPr>
        <w:ind w:right="360"/>
        <w:spacing w:after="0" w:line="292" w:lineRule="auto"/>
        <w:rPr>
          <w:sz w:val="20"/>
          <w:szCs w:val="20"/>
          <w:color w:val="auto"/>
        </w:rPr>
      </w:pPr>
      <w:r>
        <w:rPr>
          <w:rFonts w:ascii="Arial" w:cs="Arial" w:eastAsia="Arial" w:hAnsi="Arial"/>
          <w:sz w:val="16"/>
          <w:szCs w:val="16"/>
          <w:color w:val="auto"/>
        </w:rPr>
        <w:t>MSCI also has a Code of Ethics and Business Conduct for directors, executive officers and employees, which is reviewed annually by the Board. Any amendment to, or waiver of, the Code of Ethics and Business Conduct that applies to one of our directors or executive officers may be made only by the Board or a Board committee.</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2820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5175" cy="282003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3FD6"/>
        </w:rPr>
        <w:t>BOARD</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1A3FD6"/>
        </w:rPr>
        <w:t>COMPOSITION</w:t>
      </w:r>
    </w:p>
    <w:p>
      <w:pPr>
        <w:spacing w:after="0" w:line="163" w:lineRule="exact"/>
        <w:rPr>
          <w:sz w:val="20"/>
          <w:szCs w:val="20"/>
          <w:color w:val="auto"/>
        </w:rPr>
      </w:pPr>
    </w:p>
    <w:p>
      <w:pPr>
        <w:ind w:left="380" w:hanging="160"/>
        <w:spacing w:after="0"/>
        <w:tabs>
          <w:tab w:leader="none" w:pos="380" w:val="left"/>
        </w:tabs>
        <w:numPr>
          <w:ilvl w:val="0"/>
          <w:numId w:val="19"/>
        </w:numPr>
        <w:rPr>
          <w:rFonts w:ascii="Arial" w:cs="Arial" w:eastAsia="Arial" w:hAnsi="Arial"/>
          <w:sz w:val="14"/>
          <w:szCs w:val="14"/>
          <w:color w:val="00A798"/>
        </w:rPr>
      </w:pPr>
      <w:r>
        <w:rPr>
          <w:rFonts w:ascii="Arial" w:cs="Arial" w:eastAsia="Arial" w:hAnsi="Arial"/>
          <w:sz w:val="14"/>
          <w:szCs w:val="14"/>
          <w:color w:val="auto"/>
        </w:rPr>
        <w:t>All director nominees except our CEO</w:t>
      </w:r>
    </w:p>
    <w:p>
      <w:pPr>
        <w:spacing w:after="0" w:line="29" w:lineRule="exact"/>
        <w:rPr>
          <w:sz w:val="20"/>
          <w:szCs w:val="20"/>
          <w:color w:val="auto"/>
        </w:rPr>
      </w:pPr>
    </w:p>
    <w:p>
      <w:pPr>
        <w:ind w:left="420" w:right="120"/>
        <w:spacing w:after="0" w:line="288" w:lineRule="auto"/>
        <w:rPr>
          <w:sz w:val="20"/>
          <w:szCs w:val="20"/>
          <w:color w:val="auto"/>
        </w:rPr>
      </w:pPr>
      <w:r>
        <w:rPr>
          <w:rFonts w:ascii="Arial" w:cs="Arial" w:eastAsia="Arial" w:hAnsi="Arial"/>
          <w:sz w:val="14"/>
          <w:szCs w:val="14"/>
          <w:color w:val="auto"/>
        </w:rPr>
        <w:t>are independent, with strong, independent Lead Director and independent Board committees; average tenure of independent directors of 7.2 years</w:t>
      </w:r>
    </w:p>
    <w:p>
      <w:pPr>
        <w:spacing w:after="0" w:line="36" w:lineRule="exact"/>
        <w:rPr>
          <w:sz w:val="20"/>
          <w:szCs w:val="20"/>
          <w:color w:val="auto"/>
        </w:rPr>
      </w:pPr>
    </w:p>
    <w:p>
      <w:pPr>
        <w:jc w:val="both"/>
        <w:ind w:left="420" w:right="60" w:hanging="200"/>
        <w:spacing w:after="0" w:line="296" w:lineRule="auto"/>
        <w:tabs>
          <w:tab w:leader="none" w:pos="384" w:val="left"/>
        </w:tabs>
        <w:numPr>
          <w:ilvl w:val="0"/>
          <w:numId w:val="20"/>
        </w:numPr>
        <w:rPr>
          <w:rFonts w:ascii="Arial" w:cs="Arial" w:eastAsia="Arial" w:hAnsi="Arial"/>
          <w:sz w:val="14"/>
          <w:szCs w:val="14"/>
          <w:color w:val="00A798"/>
        </w:rPr>
      </w:pPr>
      <w:r>
        <w:rPr>
          <w:rFonts w:ascii="Arial" w:cs="Arial" w:eastAsia="Arial" w:hAnsi="Arial"/>
          <w:sz w:val="14"/>
          <w:szCs w:val="14"/>
          <w:color w:val="auto"/>
        </w:rPr>
        <w:t>Board blends industry-specific experience in investment management and global markets with expertise in key strategic areas such as technology, marketing and human capital</w:t>
      </w:r>
    </w:p>
    <w:p>
      <w:pPr>
        <w:spacing w:after="0" w:line="29" w:lineRule="exact"/>
        <w:rPr>
          <w:rFonts w:ascii="Arial" w:cs="Arial" w:eastAsia="Arial" w:hAnsi="Arial"/>
          <w:sz w:val="14"/>
          <w:szCs w:val="14"/>
          <w:color w:val="00A798"/>
        </w:rPr>
      </w:pPr>
    </w:p>
    <w:p>
      <w:pPr>
        <w:ind w:left="420" w:right="300" w:hanging="200"/>
        <w:spacing w:after="0" w:line="296" w:lineRule="auto"/>
        <w:tabs>
          <w:tab w:leader="none" w:pos="384" w:val="left"/>
        </w:tabs>
        <w:numPr>
          <w:ilvl w:val="0"/>
          <w:numId w:val="20"/>
        </w:numPr>
        <w:rPr>
          <w:rFonts w:ascii="Arial" w:cs="Arial" w:eastAsia="Arial" w:hAnsi="Arial"/>
          <w:sz w:val="14"/>
          <w:szCs w:val="14"/>
          <w:color w:val="00A798"/>
        </w:rPr>
      </w:pPr>
      <w:r>
        <w:rPr>
          <w:rFonts w:ascii="Arial" w:cs="Arial" w:eastAsia="Arial" w:hAnsi="Arial"/>
          <w:sz w:val="14"/>
          <w:szCs w:val="14"/>
          <w:color w:val="auto"/>
        </w:rPr>
        <w:t>Ongoing thoughtful refreshment, with two directors added in 2024, expanding the Board’s expertise in AI, cyber and asset-management depth</w:t>
      </w:r>
    </w:p>
    <w:p>
      <w:pPr>
        <w:spacing w:after="0" w:line="29" w:lineRule="exact"/>
        <w:rPr>
          <w:rFonts w:ascii="Arial" w:cs="Arial" w:eastAsia="Arial" w:hAnsi="Arial"/>
          <w:sz w:val="14"/>
          <w:szCs w:val="14"/>
          <w:color w:val="00A798"/>
        </w:rPr>
      </w:pPr>
    </w:p>
    <w:p>
      <w:pPr>
        <w:ind w:left="420" w:right="420" w:hanging="200"/>
        <w:spacing w:after="0" w:line="325" w:lineRule="auto"/>
        <w:tabs>
          <w:tab w:leader="none" w:pos="384" w:val="left"/>
        </w:tabs>
        <w:numPr>
          <w:ilvl w:val="0"/>
          <w:numId w:val="20"/>
        </w:numPr>
        <w:rPr>
          <w:rFonts w:ascii="Arial" w:cs="Arial" w:eastAsia="Arial" w:hAnsi="Arial"/>
          <w:sz w:val="14"/>
          <w:szCs w:val="14"/>
          <w:color w:val="00A798"/>
        </w:rPr>
      </w:pPr>
      <w:r>
        <w:rPr>
          <w:rFonts w:ascii="Arial" w:cs="Arial" w:eastAsia="Arial" w:hAnsi="Arial"/>
          <w:sz w:val="14"/>
          <w:szCs w:val="14"/>
          <w:color w:val="auto"/>
        </w:rPr>
        <w:t>New director onboarding and continued director education program</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ACCOUNTABILITY TO</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SHAREHOLDERS</w:t>
      </w:r>
    </w:p>
    <w:p>
      <w:pPr>
        <w:spacing w:after="0" w:line="163" w:lineRule="exact"/>
        <w:rPr>
          <w:sz w:val="20"/>
          <w:szCs w:val="20"/>
          <w:color w:val="auto"/>
        </w:rPr>
      </w:pPr>
    </w:p>
    <w:p>
      <w:pPr>
        <w:ind w:left="160" w:hanging="153"/>
        <w:spacing w:after="0"/>
        <w:tabs>
          <w:tab w:leader="none" w:pos="160"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Annual director elections</w:t>
      </w:r>
    </w:p>
    <w:p>
      <w:pPr>
        <w:spacing w:after="0" w:line="95" w:lineRule="exact"/>
        <w:rPr>
          <w:rFonts w:ascii="Arial" w:cs="Arial" w:eastAsia="Arial" w:hAnsi="Arial"/>
          <w:sz w:val="14"/>
          <w:szCs w:val="14"/>
          <w:color w:val="00A798"/>
        </w:rPr>
      </w:pPr>
    </w:p>
    <w:p>
      <w:pPr>
        <w:ind w:left="200" w:hanging="193"/>
        <w:spacing w:after="0" w:line="325" w:lineRule="auto"/>
        <w:tabs>
          <w:tab w:leader="none" w:pos="164"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Majority vote standard for uncontested director elections</w:t>
      </w:r>
    </w:p>
    <w:p>
      <w:pPr>
        <w:spacing w:after="0" w:line="9" w:lineRule="exact"/>
        <w:rPr>
          <w:rFonts w:ascii="Arial" w:cs="Arial" w:eastAsia="Arial" w:hAnsi="Arial"/>
          <w:sz w:val="14"/>
          <w:szCs w:val="14"/>
          <w:color w:val="00A798"/>
        </w:rPr>
      </w:pPr>
    </w:p>
    <w:p>
      <w:pPr>
        <w:ind w:left="200" w:hanging="193"/>
        <w:spacing w:after="0" w:line="325" w:lineRule="auto"/>
        <w:tabs>
          <w:tab w:leader="none" w:pos="164"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Right to call a special meeting by shareholders owning at least 15% of voting power</w:t>
      </w:r>
    </w:p>
    <w:p>
      <w:pPr>
        <w:spacing w:after="0" w:line="9" w:lineRule="exact"/>
        <w:rPr>
          <w:rFonts w:ascii="Arial" w:cs="Arial" w:eastAsia="Arial" w:hAnsi="Arial"/>
          <w:sz w:val="14"/>
          <w:szCs w:val="14"/>
          <w:color w:val="00A798"/>
        </w:rPr>
      </w:pPr>
    </w:p>
    <w:p>
      <w:pPr>
        <w:ind w:left="160" w:hanging="153"/>
        <w:spacing w:after="0"/>
        <w:tabs>
          <w:tab w:leader="none" w:pos="160"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Proxy access right</w:t>
      </w:r>
    </w:p>
    <w:p>
      <w:pPr>
        <w:spacing w:after="0" w:line="95" w:lineRule="exact"/>
        <w:rPr>
          <w:rFonts w:ascii="Arial" w:cs="Arial" w:eastAsia="Arial" w:hAnsi="Arial"/>
          <w:sz w:val="14"/>
          <w:szCs w:val="14"/>
          <w:color w:val="00A798"/>
        </w:rPr>
      </w:pPr>
    </w:p>
    <w:p>
      <w:pPr>
        <w:ind w:left="160" w:hanging="153"/>
        <w:spacing w:after="0"/>
        <w:tabs>
          <w:tab w:leader="none" w:pos="160"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Robust clawback policy</w:t>
      </w:r>
    </w:p>
    <w:p>
      <w:pPr>
        <w:spacing w:after="0" w:line="95" w:lineRule="exact"/>
        <w:rPr>
          <w:rFonts w:ascii="Arial" w:cs="Arial" w:eastAsia="Arial" w:hAnsi="Arial"/>
          <w:sz w:val="14"/>
          <w:szCs w:val="14"/>
          <w:color w:val="00A798"/>
        </w:rPr>
      </w:pPr>
    </w:p>
    <w:p>
      <w:pPr>
        <w:ind w:left="160" w:hanging="153"/>
        <w:spacing w:after="0"/>
        <w:tabs>
          <w:tab w:leader="none" w:pos="160"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No shareholder rights plan (i.e., a poison pill)</w:t>
      </w:r>
    </w:p>
    <w:p>
      <w:pPr>
        <w:spacing w:after="0" w:line="109" w:lineRule="exact"/>
        <w:rPr>
          <w:rFonts w:ascii="Arial" w:cs="Arial" w:eastAsia="Arial" w:hAnsi="Arial"/>
          <w:sz w:val="14"/>
          <w:szCs w:val="14"/>
          <w:color w:val="00A798"/>
        </w:rPr>
      </w:pPr>
    </w:p>
    <w:p>
      <w:pPr>
        <w:ind w:left="160" w:hanging="153"/>
        <w:spacing w:after="0"/>
        <w:tabs>
          <w:tab w:leader="none" w:pos="160"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Annual say-on-pay vote</w:t>
      </w:r>
    </w:p>
    <w:p>
      <w:pPr>
        <w:spacing w:after="0" w:line="95" w:lineRule="exact"/>
        <w:rPr>
          <w:rFonts w:ascii="Arial" w:cs="Arial" w:eastAsia="Arial" w:hAnsi="Arial"/>
          <w:sz w:val="14"/>
          <w:szCs w:val="14"/>
          <w:color w:val="00A798"/>
        </w:rPr>
      </w:pPr>
    </w:p>
    <w:p>
      <w:pPr>
        <w:ind w:left="200" w:right="100" w:hanging="193"/>
        <w:spacing w:after="0" w:line="303" w:lineRule="auto"/>
        <w:tabs>
          <w:tab w:leader="none" w:pos="164"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Risk oversight by full Board and Committees, including Board oversight of enterprise risk management, IT/cyber risk and other areas</w:t>
      </w:r>
    </w:p>
    <w:p>
      <w:pPr>
        <w:spacing w:after="0" w:line="24" w:lineRule="exact"/>
        <w:rPr>
          <w:rFonts w:ascii="Arial" w:cs="Arial" w:eastAsia="Arial" w:hAnsi="Arial"/>
          <w:sz w:val="14"/>
          <w:szCs w:val="14"/>
          <w:color w:val="00A798"/>
        </w:rPr>
      </w:pPr>
    </w:p>
    <w:p>
      <w:pPr>
        <w:ind w:left="200" w:right="40" w:hanging="193"/>
        <w:spacing w:after="0" w:line="293" w:lineRule="auto"/>
        <w:tabs>
          <w:tab w:leader="none" w:pos="164" w:val="left"/>
        </w:tabs>
        <w:numPr>
          <w:ilvl w:val="0"/>
          <w:numId w:val="21"/>
        </w:numPr>
        <w:rPr>
          <w:rFonts w:ascii="Arial" w:cs="Arial" w:eastAsia="Arial" w:hAnsi="Arial"/>
          <w:sz w:val="14"/>
          <w:szCs w:val="14"/>
          <w:color w:val="00A798"/>
        </w:rPr>
      </w:pPr>
      <w:r>
        <w:rPr>
          <w:rFonts w:ascii="Arial" w:cs="Arial" w:eastAsia="Arial" w:hAnsi="Arial"/>
          <w:sz w:val="14"/>
          <w:szCs w:val="14"/>
          <w:color w:val="auto"/>
        </w:rPr>
        <w:t>Annual review of Code of Ethics and Business Conduct, committee charters and Corporate Governance Policies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DIRECTOR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COMMITMENTS</w:t>
      </w:r>
    </w:p>
    <w:p>
      <w:pPr>
        <w:spacing w:after="0" w:line="163" w:lineRule="exact"/>
        <w:rPr>
          <w:sz w:val="20"/>
          <w:szCs w:val="20"/>
          <w:color w:val="auto"/>
        </w:rPr>
      </w:pPr>
    </w:p>
    <w:p>
      <w:pPr>
        <w:ind w:left="200" w:right="680" w:hanging="192"/>
        <w:spacing w:after="0" w:line="325" w:lineRule="auto"/>
        <w:tabs>
          <w:tab w:leader="none" w:pos="164" w:val="left"/>
        </w:tabs>
        <w:numPr>
          <w:ilvl w:val="0"/>
          <w:numId w:val="22"/>
        </w:numPr>
        <w:rPr>
          <w:rFonts w:ascii="Arial" w:cs="Arial" w:eastAsia="Arial" w:hAnsi="Arial"/>
          <w:sz w:val="14"/>
          <w:szCs w:val="14"/>
          <w:color w:val="00A798"/>
        </w:rPr>
      </w:pPr>
      <w:r>
        <w:rPr>
          <w:rFonts w:ascii="Arial" w:cs="Arial" w:eastAsia="Arial" w:hAnsi="Arial"/>
          <w:sz w:val="14"/>
          <w:szCs w:val="14"/>
          <w:color w:val="auto"/>
        </w:rPr>
        <w:t>Limits on multiple public company board commitments</w:t>
      </w:r>
    </w:p>
    <w:p>
      <w:pPr>
        <w:spacing w:after="0" w:line="9" w:lineRule="exact"/>
        <w:rPr>
          <w:rFonts w:ascii="Arial" w:cs="Arial" w:eastAsia="Arial" w:hAnsi="Arial"/>
          <w:sz w:val="14"/>
          <w:szCs w:val="14"/>
          <w:color w:val="00A798"/>
        </w:rPr>
      </w:pPr>
    </w:p>
    <w:p>
      <w:pPr>
        <w:ind w:left="200" w:right="300" w:hanging="192"/>
        <w:spacing w:after="0" w:line="287" w:lineRule="auto"/>
        <w:tabs>
          <w:tab w:leader="none" w:pos="164" w:val="left"/>
        </w:tabs>
        <w:numPr>
          <w:ilvl w:val="0"/>
          <w:numId w:val="22"/>
        </w:numPr>
        <w:rPr>
          <w:rFonts w:ascii="Arial" w:cs="Arial" w:eastAsia="Arial" w:hAnsi="Arial"/>
          <w:sz w:val="14"/>
          <w:szCs w:val="14"/>
          <w:color w:val="00A798"/>
        </w:rPr>
      </w:pPr>
      <w:r>
        <w:rPr>
          <w:rFonts w:ascii="Arial" w:cs="Arial" w:eastAsia="Arial" w:hAnsi="Arial"/>
          <w:sz w:val="14"/>
          <w:szCs w:val="14"/>
          <w:color w:val="auto"/>
        </w:rPr>
        <w:t>Annual Board, committee and director evaluations, with third-party evaluation firm engaged periodically, including in 2024 to provide an independent perspective on Board governance, culture and processes</w:t>
      </w:r>
    </w:p>
    <w:p>
      <w:pPr>
        <w:spacing w:after="0" w:line="36" w:lineRule="exact"/>
        <w:rPr>
          <w:rFonts w:ascii="Arial" w:cs="Arial" w:eastAsia="Arial" w:hAnsi="Arial"/>
          <w:sz w:val="14"/>
          <w:szCs w:val="14"/>
          <w:color w:val="00A798"/>
        </w:rPr>
      </w:pPr>
    </w:p>
    <w:p>
      <w:pPr>
        <w:ind w:left="200" w:right="620" w:hanging="192"/>
        <w:spacing w:after="0" w:line="325" w:lineRule="auto"/>
        <w:tabs>
          <w:tab w:leader="none" w:pos="164" w:val="left"/>
        </w:tabs>
        <w:numPr>
          <w:ilvl w:val="0"/>
          <w:numId w:val="22"/>
        </w:numPr>
        <w:rPr>
          <w:rFonts w:ascii="Arial" w:cs="Arial" w:eastAsia="Arial" w:hAnsi="Arial"/>
          <w:sz w:val="14"/>
          <w:szCs w:val="14"/>
          <w:color w:val="00A798"/>
        </w:rPr>
      </w:pPr>
      <w:r>
        <w:rPr>
          <w:rFonts w:ascii="Arial" w:cs="Arial" w:eastAsia="Arial" w:hAnsi="Arial"/>
          <w:sz w:val="14"/>
          <w:szCs w:val="14"/>
          <w:color w:val="auto"/>
        </w:rPr>
        <w:t>Robust stock ownership requirements for directors and executive officers</w:t>
      </w:r>
    </w:p>
    <w:p>
      <w:pPr>
        <w:spacing w:after="0" w:line="22" w:lineRule="exact"/>
        <w:rPr>
          <w:rFonts w:ascii="Arial" w:cs="Arial" w:eastAsia="Arial" w:hAnsi="Arial"/>
          <w:sz w:val="14"/>
          <w:szCs w:val="14"/>
          <w:color w:val="00A798"/>
        </w:rPr>
      </w:pPr>
    </w:p>
    <w:p>
      <w:pPr>
        <w:ind w:left="200" w:right="440" w:hanging="192"/>
        <w:spacing w:after="0" w:line="272" w:lineRule="auto"/>
        <w:tabs>
          <w:tab w:leader="none" w:pos="164" w:val="left"/>
        </w:tabs>
        <w:numPr>
          <w:ilvl w:val="0"/>
          <w:numId w:val="22"/>
        </w:numPr>
        <w:rPr>
          <w:rFonts w:ascii="Arial" w:cs="Arial" w:eastAsia="Arial" w:hAnsi="Arial"/>
          <w:sz w:val="14"/>
          <w:szCs w:val="14"/>
          <w:color w:val="00A798"/>
        </w:rPr>
      </w:pPr>
      <w:r>
        <w:rPr>
          <w:rFonts w:ascii="Arial" w:cs="Arial" w:eastAsia="Arial" w:hAnsi="Arial"/>
          <w:sz w:val="14"/>
          <w:szCs w:val="14"/>
          <w:color w:val="auto"/>
        </w:rPr>
        <w:t>Annual off-season shareholder engagement focused on corporate responsibility</w:t>
      </w:r>
    </w:p>
    <w:p>
      <w:pPr>
        <w:ind w:left="200"/>
        <w:spacing w:after="0"/>
        <w:rPr>
          <w:rFonts w:ascii="Arial" w:cs="Arial" w:eastAsia="Arial" w:hAnsi="Arial"/>
          <w:sz w:val="14"/>
          <w:szCs w:val="14"/>
          <w:color w:val="00A798"/>
        </w:rPr>
      </w:pPr>
      <w:r>
        <w:rPr>
          <w:rFonts w:ascii="Arial" w:cs="Arial" w:eastAsia="Arial" w:hAnsi="Arial"/>
          <w:sz w:val="14"/>
          <w:szCs w:val="14"/>
          <w:color w:val="auto"/>
        </w:rPr>
        <w:t>topics, with independent director participation</w:t>
      </w:r>
    </w:p>
    <w:p>
      <w:pPr>
        <w:spacing w:after="0" w:line="1180" w:lineRule="exact"/>
        <w:rPr>
          <w:sz w:val="20"/>
          <w:szCs w:val="20"/>
          <w:color w:val="auto"/>
        </w:rPr>
      </w:pPr>
    </w:p>
    <w:p>
      <w:pPr>
        <w:sectPr>
          <w:pgSz w:w="11900" w:h="16838" w:orient="portrait"/>
          <w:cols w:equalWidth="0" w:num="3">
            <w:col w:w="3300" w:space="720"/>
            <w:col w:w="3140" w:space="680"/>
            <w:col w:w="3400"/>
          </w:cols>
          <w:pgMar w:left="320" w:top="12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74"/>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Composition and Board Refreshment</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Qualifications</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Governance Committee’s charter requires it to review candidates’ qualifications for membership on the Board or a committee of the Board, including making a specific determination as to the independence of each candidate based on criteria approved by the Board (and taking into account the enhanced independence, financial literacy and financial expertise standards that may be required under applicable law or NYSE rules for audit committee membership, and heightened independence standards that may be required under applicable law or NYSE rules for compensation committee membership). If the Governance Committee determines that adding a new director is advisable, it will recommend such individual to the Board for appointment as a member of the Board and any committees, as applicable.</w:t>
      </w:r>
    </w:p>
    <w:p>
      <w:pPr>
        <w:spacing w:after="0" w:line="12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Consistent with our Corporate Governance Policies, when appointing directors, the Board seeks members who combine sound business judgment, professionalism and a broad spectrum of experience and expertise with a reputation for the highest standards of ethics and integrity. The Board believes its composition should reflect a broad range of skills, backgrounds and perspectives. Directors should have experience in positions with a high degree of responsibility, be leaders or senior managers in the companies or institutions with which they are or were affiliated and be selected based upon contributions they can make to the Board and management and their ability to represent and advance the interests of the Company and its shareholders.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Tenure and Board Refreshment</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Board has shown an ongoing commitment to Board refreshment and to having highly qualified, independent perspectives in the boardroom. Six of the Company’s director nominees have been added to the Board since the beginning of 2020. The average tenure of the independent director nominees is currently 7.2 years. The average tenure is 8.2 years if Mr. Fernandez is included. Our Corporate Governance Policies provide that directors should not stand for re-election following their 75th birthday.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320675</wp:posOffset>
            </wp:positionV>
            <wp:extent cx="55689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The chart below highlights the key skills and expertise of independent directors who have joined the Board since 2020, strengthening MSCI’s leadership in investment management, technology, go-to-market strategy, and 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54305" cy="53232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532320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0" w:type="dxa"/>
            <w:vAlign w:val="bottom"/>
            <w:shd w:val="clear" w:color="auto" w:fill="F6F6F6"/>
          </w:tcPr>
          <w:p>
            <w:pPr>
              <w:spacing w:after="0"/>
              <w:rPr>
                <w:sz w:val="12"/>
                <w:szCs w:val="12"/>
                <w:color w:val="auto"/>
              </w:rPr>
            </w:pPr>
          </w:p>
        </w:tc>
        <w:tc>
          <w:tcPr>
            <w:tcW w:w="1860" w:type="dxa"/>
            <w:vAlign w:val="bottom"/>
            <w:tcBorders>
              <w:bottom w:val="single" w:sz="8" w:color="F6F6F6"/>
            </w:tcBorders>
            <w:vMerge w:val="restart"/>
            <w:shd w:val="clear" w:color="auto" w:fill="F6F6F6"/>
          </w:tcPr>
          <w:p>
            <w:pPr>
              <w:spacing w:after="0"/>
              <w:rPr>
                <w:sz w:val="20"/>
                <w:szCs w:val="20"/>
                <w:color w:val="auto"/>
              </w:rPr>
            </w:pPr>
            <w:r>
              <w:rPr>
                <w:rFonts w:ascii="Arial" w:cs="Arial" w:eastAsia="Arial" w:hAnsi="Arial"/>
                <w:sz w:val="54"/>
                <w:szCs w:val="54"/>
                <w:b w:val="1"/>
                <w:bCs w:val="1"/>
                <w:color w:val="1A3FD6"/>
              </w:rPr>
              <w:t>2020</w:t>
            </w:r>
          </w:p>
        </w:tc>
        <w:tc>
          <w:tcPr>
            <w:tcW w:w="600" w:type="dxa"/>
            <w:vAlign w:val="bottom"/>
            <w:tcBorders>
              <w:bottom w:val="single" w:sz="8" w:color="F6F6F6"/>
              <w:right w:val="single" w:sz="8" w:color="F6F6F6"/>
            </w:tcBorders>
            <w:shd w:val="clear" w:color="auto" w:fill="F6F6F6"/>
          </w:tcPr>
          <w:p>
            <w:pPr>
              <w:spacing w:after="0"/>
              <w:rPr>
                <w:sz w:val="12"/>
                <w:szCs w:val="12"/>
                <w:color w:val="auto"/>
              </w:rPr>
            </w:pPr>
          </w:p>
        </w:tc>
        <w:tc>
          <w:tcPr>
            <w:tcW w:w="560" w:type="dxa"/>
            <w:vAlign w:val="bottom"/>
            <w:tcBorders>
              <w:bottom w:val="single" w:sz="8" w:color="F6F6F6"/>
            </w:tcBorders>
            <w:shd w:val="clear" w:color="auto" w:fill="F6F6F6"/>
          </w:tcPr>
          <w:p>
            <w:pPr>
              <w:spacing w:after="0"/>
              <w:rPr>
                <w:sz w:val="12"/>
                <w:szCs w:val="12"/>
                <w:color w:val="auto"/>
              </w:rPr>
            </w:pPr>
          </w:p>
        </w:tc>
        <w:tc>
          <w:tcPr>
            <w:tcW w:w="1260" w:type="dxa"/>
            <w:vAlign w:val="bottom"/>
            <w:tcBorders>
              <w:bottom w:val="single" w:sz="8" w:color="F5F5F5"/>
            </w:tcBorders>
            <w:shd w:val="clear" w:color="auto" w:fill="F5F5F5"/>
          </w:tcPr>
          <w:p>
            <w:pPr>
              <w:spacing w:after="0"/>
              <w:rPr>
                <w:sz w:val="12"/>
                <w:szCs w:val="12"/>
                <w:color w:val="auto"/>
              </w:rPr>
            </w:pPr>
          </w:p>
        </w:tc>
        <w:tc>
          <w:tcPr>
            <w:tcW w:w="6440" w:type="dxa"/>
            <w:vAlign w:val="bottom"/>
            <w:tcBorders>
              <w:bottom w:val="single" w:sz="8" w:color="F6F6F6"/>
            </w:tcBorders>
            <w:shd w:val="clear" w:color="auto" w:fill="F6F6F6"/>
          </w:tcPr>
          <w:p>
            <w:pPr>
              <w:spacing w:after="0"/>
              <w:rPr>
                <w:sz w:val="12"/>
                <w:szCs w:val="12"/>
                <w:color w:val="auto"/>
              </w:rPr>
            </w:pPr>
          </w:p>
        </w:tc>
        <w:tc>
          <w:tcPr>
            <w:tcW w:w="260" w:type="dxa"/>
            <w:vAlign w:val="bottom"/>
            <w:shd w:val="clear" w:color="auto" w:fill="F6F6F6"/>
          </w:tcPr>
          <w:p>
            <w:pPr>
              <w:spacing w:after="0"/>
              <w:rPr>
                <w:sz w:val="12"/>
                <w:szCs w:val="12"/>
                <w:color w:val="auto"/>
              </w:rPr>
            </w:pPr>
          </w:p>
        </w:tc>
        <w:tc>
          <w:tcPr>
            <w:tcW w:w="0" w:type="dxa"/>
            <w:vAlign w:val="bottom"/>
          </w:tcPr>
          <w:p>
            <w:pPr>
              <w:spacing w:after="0"/>
              <w:rPr>
                <w:sz w:val="1"/>
                <w:szCs w:val="1"/>
                <w:color w:val="auto"/>
              </w:rPr>
            </w:pPr>
          </w:p>
        </w:tc>
      </w:tr>
      <w:tr>
        <w:trPr>
          <w:trHeight w:val="463"/>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1160" w:type="dxa"/>
            <w:vAlign w:val="bottom"/>
            <w:gridSpan w:val="2"/>
            <w:vMerge w:val="restart"/>
            <w:shd w:val="clear" w:color="auto" w:fill="F6F6F6"/>
          </w:tcPr>
          <w:p>
            <w:pPr>
              <w:ind w:left="500"/>
              <w:spacing w:after="0"/>
              <w:rPr>
                <w:sz w:val="20"/>
                <w:szCs w:val="20"/>
                <w:color w:val="auto"/>
              </w:rPr>
            </w:pPr>
            <w:r>
              <w:rPr>
                <w:rFonts w:ascii="Webdings" w:cs="Webdings" w:eastAsia="Webdings" w:hAnsi="Webdings"/>
                <w:sz w:val="16"/>
                <w:szCs w:val="16"/>
                <w:b w:val="1"/>
                <w:bCs w:val="1"/>
                <w:color w:val="1A3FD6"/>
              </w:rPr>
              <w:t>n</w:t>
            </w:r>
          </w:p>
        </w:tc>
        <w:tc>
          <w:tcPr>
            <w:tcW w:w="1260" w:type="dxa"/>
            <w:vAlign w:val="bottom"/>
            <w:shd w:val="clear" w:color="auto" w:fill="F5F5F5"/>
          </w:tcPr>
          <w:p>
            <w:pPr>
              <w:spacing w:after="0"/>
              <w:rPr>
                <w:sz w:val="24"/>
                <w:szCs w:val="24"/>
                <w:color w:val="auto"/>
              </w:rPr>
            </w:pPr>
          </w:p>
        </w:tc>
        <w:tc>
          <w:tcPr>
            <w:tcW w:w="6440" w:type="dxa"/>
            <w:vAlign w:val="bottom"/>
          </w:tcPr>
          <w:p>
            <w:pPr>
              <w:ind w:left="140"/>
              <w:spacing w:after="0"/>
              <w:rPr>
                <w:sz w:val="20"/>
                <w:szCs w:val="20"/>
                <w:color w:val="auto"/>
              </w:rPr>
            </w:pPr>
            <w:r>
              <w:rPr>
                <w:rFonts w:ascii="Arial" w:cs="Arial" w:eastAsia="Arial" w:hAnsi="Arial"/>
                <w:sz w:val="16"/>
                <w:szCs w:val="16"/>
                <w:b w:val="1"/>
                <w:bCs w:val="1"/>
                <w:color w:val="1A3FD6"/>
              </w:rPr>
              <w:t>Paula Volent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1860" w:type="dxa"/>
            <w:vAlign w:val="bottom"/>
            <w:vMerge w:val="continue"/>
            <w:shd w:val="clear" w:color="auto" w:fill="F6F6F6"/>
          </w:tcPr>
          <w:p>
            <w:pPr>
              <w:spacing w:after="0"/>
              <w:rPr>
                <w:sz w:val="5"/>
                <w:szCs w:val="5"/>
                <w:color w:val="auto"/>
              </w:rPr>
            </w:pPr>
          </w:p>
        </w:tc>
        <w:tc>
          <w:tcPr>
            <w:tcW w:w="1160" w:type="dxa"/>
            <w:vAlign w:val="bottom"/>
            <w:gridSpan w:val="2"/>
            <w:vMerge w:val="continue"/>
            <w:shd w:val="clear" w:color="auto" w:fill="F6F6F6"/>
          </w:tcPr>
          <w:p>
            <w:pPr>
              <w:spacing w:after="0"/>
              <w:rPr>
                <w:sz w:val="5"/>
                <w:szCs w:val="5"/>
                <w:color w:val="auto"/>
              </w:rPr>
            </w:pPr>
          </w:p>
        </w:tc>
        <w:tc>
          <w:tcPr>
            <w:tcW w:w="1260" w:type="dxa"/>
            <w:vAlign w:val="bottom"/>
            <w:shd w:val="clear" w:color="auto" w:fill="F5F5F5"/>
          </w:tcPr>
          <w:p>
            <w:pPr>
              <w:spacing w:after="0"/>
              <w:rPr>
                <w:sz w:val="5"/>
                <w:szCs w:val="5"/>
                <w:color w:val="auto"/>
              </w:rPr>
            </w:pPr>
          </w:p>
        </w:tc>
        <w:tc>
          <w:tcPr>
            <w:tcW w:w="6440" w:type="dxa"/>
            <w:vAlign w:val="bottom"/>
            <w:vMerge w:val="restart"/>
          </w:tcPr>
          <w:p>
            <w:pPr>
              <w:ind w:left="140"/>
              <w:spacing w:after="0" w:line="125" w:lineRule="exact"/>
              <w:rPr>
                <w:sz w:val="20"/>
                <w:szCs w:val="20"/>
                <w:color w:val="auto"/>
              </w:rPr>
            </w:pPr>
            <w:r>
              <w:rPr>
                <w:rFonts w:ascii="Arial" w:cs="Arial" w:eastAsia="Arial" w:hAnsi="Arial"/>
                <w:sz w:val="14"/>
                <w:szCs w:val="14"/>
                <w:color w:val="auto"/>
              </w:rPr>
              <w:t>Bringing investment industry, multi-asset class investments and asset allocation experience</w:t>
            </w: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1860" w:type="dxa"/>
            <w:vAlign w:val="bottom"/>
            <w:vMerge w:val="continue"/>
            <w:shd w:val="clear" w:color="auto" w:fill="F6F6F6"/>
          </w:tcPr>
          <w:p>
            <w:pPr>
              <w:spacing w:after="0"/>
              <w:rPr>
                <w:sz w:val="6"/>
                <w:szCs w:val="6"/>
                <w:color w:val="auto"/>
              </w:rPr>
            </w:pPr>
          </w:p>
        </w:tc>
        <w:tc>
          <w:tcPr>
            <w:tcW w:w="600" w:type="dxa"/>
            <w:vAlign w:val="bottom"/>
            <w:tcBorders>
              <w:right w:val="single" w:sz="8" w:color="F6F6F6"/>
            </w:tcBorders>
            <w:shd w:val="clear" w:color="auto" w:fill="F6F6F6"/>
          </w:tcPr>
          <w:p>
            <w:pPr>
              <w:spacing w:after="0"/>
              <w:rPr>
                <w:sz w:val="6"/>
                <w:szCs w:val="6"/>
                <w:color w:val="auto"/>
              </w:rPr>
            </w:pPr>
          </w:p>
        </w:tc>
        <w:tc>
          <w:tcPr>
            <w:tcW w:w="560" w:type="dxa"/>
            <w:vAlign w:val="bottom"/>
            <w:shd w:val="clear" w:color="auto" w:fill="F6F6F6"/>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6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60" w:type="dxa"/>
            <w:vAlign w:val="bottom"/>
          </w:tcPr>
          <w:p>
            <w:pPr>
              <w:spacing w:after="0"/>
              <w:rPr>
                <w:sz w:val="22"/>
                <w:szCs w:val="22"/>
                <w:color w:val="auto"/>
              </w:rPr>
            </w:pPr>
          </w:p>
        </w:tc>
        <w:tc>
          <w:tcPr>
            <w:tcW w:w="1860" w:type="dxa"/>
            <w:vAlign w:val="bottom"/>
            <w:shd w:val="clear" w:color="auto" w:fill="F6F6F6"/>
          </w:tcPr>
          <w:p>
            <w:pPr>
              <w:spacing w:after="0"/>
              <w:rPr>
                <w:sz w:val="20"/>
                <w:szCs w:val="20"/>
                <w:color w:val="auto"/>
              </w:rPr>
            </w:pPr>
            <w:r>
              <w:rPr>
                <w:rFonts w:ascii="Arial" w:cs="Arial" w:eastAsia="Arial" w:hAnsi="Arial"/>
                <w:sz w:val="16"/>
                <w:szCs w:val="16"/>
                <w:color w:val="auto"/>
              </w:rPr>
              <w:t>February 26</w:t>
            </w:r>
          </w:p>
        </w:tc>
        <w:tc>
          <w:tcPr>
            <w:tcW w:w="600" w:type="dxa"/>
            <w:vAlign w:val="bottom"/>
            <w:tcBorders>
              <w:right w:val="single" w:sz="8" w:color="auto"/>
            </w:tcBorders>
            <w:shd w:val="clear" w:color="auto" w:fill="F6F6F6"/>
          </w:tcPr>
          <w:p>
            <w:pPr>
              <w:spacing w:after="0"/>
              <w:rPr>
                <w:sz w:val="22"/>
                <w:szCs w:val="22"/>
                <w:color w:val="auto"/>
              </w:rPr>
            </w:pPr>
          </w:p>
        </w:tc>
        <w:tc>
          <w:tcPr>
            <w:tcW w:w="560" w:type="dxa"/>
            <w:vAlign w:val="bottom"/>
            <w:shd w:val="clear" w:color="auto" w:fill="F6F6F6"/>
          </w:tcPr>
          <w:p>
            <w:pPr>
              <w:spacing w:after="0"/>
              <w:rPr>
                <w:sz w:val="22"/>
                <w:szCs w:val="22"/>
                <w:color w:val="auto"/>
              </w:rPr>
            </w:pPr>
          </w:p>
        </w:tc>
        <w:tc>
          <w:tcPr>
            <w:tcW w:w="1260" w:type="dxa"/>
            <w:vAlign w:val="bottom"/>
            <w:shd w:val="clear" w:color="auto" w:fill="F5F5F5"/>
          </w:tcPr>
          <w:p>
            <w:pPr>
              <w:spacing w:after="0"/>
              <w:rPr>
                <w:sz w:val="22"/>
                <w:szCs w:val="22"/>
                <w:color w:val="auto"/>
              </w:rPr>
            </w:pPr>
          </w:p>
        </w:tc>
        <w:tc>
          <w:tcPr>
            <w:tcW w:w="6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860" w:type="dxa"/>
            <w:vAlign w:val="bottom"/>
            <w:tcBorders>
              <w:bottom w:val="single" w:sz="8" w:color="F6F6F6"/>
            </w:tcBorders>
            <w:shd w:val="clear" w:color="auto" w:fill="F6F6F6"/>
          </w:tcPr>
          <w:p>
            <w:pPr>
              <w:spacing w:after="0"/>
              <w:rPr>
                <w:sz w:val="10"/>
                <w:szCs w:val="10"/>
                <w:color w:val="auto"/>
              </w:rPr>
            </w:pPr>
          </w:p>
        </w:tc>
        <w:tc>
          <w:tcPr>
            <w:tcW w:w="600" w:type="dxa"/>
            <w:vAlign w:val="bottom"/>
            <w:tcBorders>
              <w:bottom w:val="single" w:sz="8" w:color="F6F6F6"/>
              <w:right w:val="single" w:sz="8" w:color="auto"/>
            </w:tcBorders>
            <w:shd w:val="clear" w:color="auto" w:fill="F6F6F6"/>
          </w:tcPr>
          <w:p>
            <w:pPr>
              <w:spacing w:after="0"/>
              <w:rPr>
                <w:sz w:val="10"/>
                <w:szCs w:val="10"/>
                <w:color w:val="auto"/>
              </w:rPr>
            </w:pPr>
          </w:p>
        </w:tc>
        <w:tc>
          <w:tcPr>
            <w:tcW w:w="560" w:type="dxa"/>
            <w:vAlign w:val="bottom"/>
            <w:tcBorders>
              <w:bottom w:val="single" w:sz="8" w:color="F6F6F6"/>
            </w:tcBorders>
            <w:shd w:val="clear" w:color="auto" w:fill="F6F6F6"/>
          </w:tcPr>
          <w:p>
            <w:pPr>
              <w:spacing w:after="0"/>
              <w:rPr>
                <w:sz w:val="10"/>
                <w:szCs w:val="10"/>
                <w:color w:val="auto"/>
              </w:rPr>
            </w:pPr>
          </w:p>
        </w:tc>
        <w:tc>
          <w:tcPr>
            <w:tcW w:w="1260" w:type="dxa"/>
            <w:vAlign w:val="bottom"/>
            <w:tcBorders>
              <w:bottom w:val="single" w:sz="8" w:color="F5F5F5"/>
            </w:tcBorders>
            <w:shd w:val="clear" w:color="auto" w:fill="F5F5F5"/>
          </w:tcPr>
          <w:p>
            <w:pPr>
              <w:spacing w:after="0"/>
              <w:rPr>
                <w:sz w:val="10"/>
                <w:szCs w:val="10"/>
                <w:color w:val="auto"/>
              </w:rPr>
            </w:pPr>
          </w:p>
        </w:tc>
        <w:tc>
          <w:tcPr>
            <w:tcW w:w="6440" w:type="dxa"/>
            <w:vAlign w:val="bottom"/>
            <w:tcBorders>
              <w:bottom w:val="single" w:sz="8" w:color="F6F6F6"/>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9"/>
        </w:trPr>
        <w:tc>
          <w:tcPr>
            <w:tcW w:w="260" w:type="dxa"/>
            <w:vAlign w:val="bottom"/>
          </w:tcPr>
          <w:p>
            <w:pPr>
              <w:spacing w:after="0"/>
              <w:rPr>
                <w:sz w:val="24"/>
                <w:szCs w:val="24"/>
                <w:color w:val="auto"/>
              </w:rPr>
            </w:pPr>
          </w:p>
        </w:tc>
        <w:tc>
          <w:tcPr>
            <w:tcW w:w="1860" w:type="dxa"/>
            <w:vAlign w:val="bottom"/>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tcPr>
          <w:p>
            <w:pPr>
              <w:ind w:left="140"/>
              <w:spacing w:after="0"/>
              <w:rPr>
                <w:sz w:val="20"/>
                <w:szCs w:val="20"/>
                <w:color w:val="auto"/>
              </w:rPr>
            </w:pPr>
            <w:r>
              <w:rPr>
                <w:rFonts w:ascii="Arial" w:cs="Arial" w:eastAsia="Arial" w:hAnsi="Arial"/>
                <w:sz w:val="16"/>
                <w:szCs w:val="16"/>
                <w:b w:val="1"/>
                <w:bCs w:val="1"/>
                <w:color w:val="1A3FD6"/>
              </w:rPr>
              <w:t>Sandy Rattray</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860" w:type="dxa"/>
            <w:vAlign w:val="bottom"/>
            <w:shd w:val="clear" w:color="auto" w:fill="F6F6F6"/>
          </w:tcPr>
          <w:p>
            <w:pPr>
              <w:spacing w:after="0"/>
              <w:rPr>
                <w:sz w:val="16"/>
                <w:szCs w:val="16"/>
                <w:color w:val="auto"/>
              </w:rPr>
            </w:pPr>
          </w:p>
        </w:tc>
        <w:tc>
          <w:tcPr>
            <w:tcW w:w="600" w:type="dxa"/>
            <w:vAlign w:val="bottom"/>
            <w:tcBorders>
              <w:right w:val="single" w:sz="8" w:color="auto"/>
            </w:tcBorders>
            <w:shd w:val="clear" w:color="auto" w:fill="F6F6F6"/>
          </w:tcPr>
          <w:p>
            <w:pPr>
              <w:spacing w:after="0"/>
              <w:rPr>
                <w:sz w:val="16"/>
                <w:szCs w:val="16"/>
                <w:color w:val="auto"/>
              </w:rPr>
            </w:pPr>
          </w:p>
        </w:tc>
        <w:tc>
          <w:tcPr>
            <w:tcW w:w="560" w:type="dxa"/>
            <w:vAlign w:val="bottom"/>
            <w:shd w:val="clear" w:color="auto" w:fill="F6F6F6"/>
          </w:tcPr>
          <w:p>
            <w:pPr>
              <w:spacing w:after="0"/>
              <w:rPr>
                <w:sz w:val="16"/>
                <w:szCs w:val="16"/>
                <w:color w:val="auto"/>
              </w:rPr>
            </w:pPr>
          </w:p>
        </w:tc>
        <w:tc>
          <w:tcPr>
            <w:tcW w:w="1260" w:type="dxa"/>
            <w:vAlign w:val="bottom"/>
            <w:shd w:val="clear" w:color="auto" w:fill="F5F5F5"/>
          </w:tcPr>
          <w:p>
            <w:pPr>
              <w:spacing w:after="0"/>
              <w:rPr>
                <w:sz w:val="16"/>
                <w:szCs w:val="16"/>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Bringing extensive investment industry experience, including asset management and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860" w:type="dxa"/>
            <w:vAlign w:val="bottom"/>
            <w:shd w:val="clear" w:color="auto" w:fill="F6F6F6"/>
          </w:tcPr>
          <w:p>
            <w:pPr>
              <w:spacing w:after="0"/>
              <w:rPr>
                <w:sz w:val="16"/>
                <w:szCs w:val="16"/>
                <w:color w:val="auto"/>
              </w:rPr>
            </w:pPr>
          </w:p>
        </w:tc>
        <w:tc>
          <w:tcPr>
            <w:tcW w:w="600" w:type="dxa"/>
            <w:vAlign w:val="bottom"/>
            <w:tcBorders>
              <w:right w:val="single" w:sz="8" w:color="auto"/>
            </w:tcBorders>
            <w:shd w:val="clear" w:color="auto" w:fill="F6F6F6"/>
          </w:tcPr>
          <w:p>
            <w:pPr>
              <w:spacing w:after="0"/>
              <w:rPr>
                <w:sz w:val="16"/>
                <w:szCs w:val="16"/>
                <w:color w:val="auto"/>
              </w:rPr>
            </w:pPr>
          </w:p>
        </w:tc>
        <w:tc>
          <w:tcPr>
            <w:tcW w:w="560" w:type="dxa"/>
            <w:vAlign w:val="bottom"/>
            <w:shd w:val="clear" w:color="auto" w:fill="F6F6F6"/>
          </w:tcPr>
          <w:p>
            <w:pPr>
              <w:spacing w:after="0"/>
              <w:rPr>
                <w:sz w:val="16"/>
                <w:szCs w:val="16"/>
                <w:color w:val="auto"/>
              </w:rPr>
            </w:pPr>
          </w:p>
        </w:tc>
        <w:tc>
          <w:tcPr>
            <w:tcW w:w="1260" w:type="dxa"/>
            <w:vAlign w:val="bottom"/>
            <w:shd w:val="clear" w:color="auto" w:fill="F5F5F5"/>
          </w:tcPr>
          <w:p>
            <w:pPr>
              <w:spacing w:after="0"/>
              <w:rPr>
                <w:sz w:val="16"/>
                <w:szCs w:val="16"/>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market risk management experience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860" w:type="dxa"/>
            <w:vAlign w:val="bottom"/>
            <w:vMerge w:val="restart"/>
            <w:shd w:val="clear" w:color="auto" w:fill="F6F6F6"/>
          </w:tcPr>
          <w:p>
            <w:pPr>
              <w:spacing w:after="0"/>
              <w:rPr>
                <w:sz w:val="20"/>
                <w:szCs w:val="20"/>
                <w:color w:val="auto"/>
              </w:rPr>
            </w:pPr>
            <w:r>
              <w:rPr>
                <w:rFonts w:ascii="Arial" w:cs="Arial" w:eastAsia="Arial" w:hAnsi="Arial"/>
                <w:sz w:val="54"/>
                <w:szCs w:val="54"/>
                <w:b w:val="1"/>
                <w:bCs w:val="1"/>
                <w:color w:val="1A3FD6"/>
              </w:rPr>
              <w:t>2021</w:t>
            </w:r>
          </w:p>
        </w:tc>
        <w:tc>
          <w:tcPr>
            <w:tcW w:w="600" w:type="dxa"/>
            <w:vAlign w:val="bottom"/>
            <w:tcBorders>
              <w:right w:val="single" w:sz="8" w:color="auto"/>
            </w:tcBorders>
            <w:shd w:val="clear" w:color="auto" w:fill="F6F6F6"/>
          </w:tcPr>
          <w:p>
            <w:pPr>
              <w:spacing w:after="0"/>
              <w:rPr>
                <w:sz w:val="17"/>
                <w:szCs w:val="17"/>
                <w:color w:val="auto"/>
              </w:rPr>
            </w:pPr>
          </w:p>
        </w:tc>
        <w:tc>
          <w:tcPr>
            <w:tcW w:w="560" w:type="dxa"/>
            <w:vAlign w:val="bottom"/>
            <w:shd w:val="clear" w:color="auto" w:fill="F6F6F6"/>
          </w:tcPr>
          <w:p>
            <w:pPr>
              <w:spacing w:after="0"/>
              <w:rPr>
                <w:sz w:val="17"/>
                <w:szCs w:val="17"/>
                <w:color w:val="auto"/>
              </w:rPr>
            </w:pPr>
          </w:p>
        </w:tc>
        <w:tc>
          <w:tcPr>
            <w:tcW w:w="1260" w:type="dxa"/>
            <w:vAlign w:val="bottom"/>
            <w:shd w:val="clear" w:color="auto" w:fill="F5F5F5"/>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shd w:val="clear" w:color="auto" w:fill="F6F6F6"/>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1860" w:type="dxa"/>
            <w:vAlign w:val="bottom"/>
            <w:vMerge w:val="continue"/>
            <w:shd w:val="clear" w:color="auto" w:fill="F6F6F6"/>
          </w:tcPr>
          <w:p>
            <w:pPr>
              <w:spacing w:after="0"/>
              <w:rPr>
                <w:sz w:val="10"/>
                <w:szCs w:val="10"/>
                <w:color w:val="auto"/>
              </w:rPr>
            </w:pPr>
          </w:p>
        </w:tc>
        <w:tc>
          <w:tcPr>
            <w:tcW w:w="600" w:type="dxa"/>
            <w:vAlign w:val="bottom"/>
            <w:tcBorders>
              <w:right w:val="single" w:sz="8" w:color="auto"/>
            </w:tcBorders>
            <w:shd w:val="clear" w:color="auto" w:fill="F6F6F6"/>
          </w:tcPr>
          <w:p>
            <w:pPr>
              <w:spacing w:after="0"/>
              <w:rPr>
                <w:sz w:val="10"/>
                <w:szCs w:val="10"/>
                <w:color w:val="auto"/>
              </w:rPr>
            </w:pPr>
          </w:p>
        </w:tc>
        <w:tc>
          <w:tcPr>
            <w:tcW w:w="560" w:type="dxa"/>
            <w:vAlign w:val="bottom"/>
            <w:shd w:val="clear" w:color="auto" w:fill="F6F6F6"/>
          </w:tcPr>
          <w:p>
            <w:pPr>
              <w:spacing w:after="0"/>
              <w:rPr>
                <w:sz w:val="10"/>
                <w:szCs w:val="10"/>
                <w:color w:val="auto"/>
              </w:rPr>
            </w:pPr>
          </w:p>
        </w:tc>
        <w:tc>
          <w:tcPr>
            <w:tcW w:w="1260" w:type="dxa"/>
            <w:vAlign w:val="bottom"/>
            <w:shd w:val="clear" w:color="auto" w:fill="F5F5F5"/>
          </w:tcPr>
          <w:p>
            <w:pPr>
              <w:spacing w:after="0"/>
              <w:rPr>
                <w:sz w:val="10"/>
                <w:szCs w:val="10"/>
                <w:color w:val="auto"/>
              </w:rPr>
            </w:pPr>
          </w:p>
        </w:tc>
        <w:tc>
          <w:tcPr>
            <w:tcW w:w="6440" w:type="dxa"/>
            <w:vAlign w:val="bottom"/>
          </w:tcPr>
          <w:p>
            <w:pPr>
              <w:ind w:left="140"/>
              <w:spacing w:after="0" w:line="123" w:lineRule="exact"/>
              <w:rPr>
                <w:sz w:val="20"/>
                <w:szCs w:val="20"/>
                <w:color w:val="auto"/>
              </w:rPr>
            </w:pPr>
            <w:r>
              <w:rPr>
                <w:rFonts w:ascii="Arial" w:cs="Arial" w:eastAsia="Arial" w:hAnsi="Arial"/>
                <w:sz w:val="14"/>
                <w:szCs w:val="14"/>
                <w:color w:val="auto"/>
              </w:rPr>
              <w:t>expertise in AI</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1860" w:type="dxa"/>
            <w:vAlign w:val="bottom"/>
            <w:shd w:val="clear" w:color="auto" w:fill="F6F6F6"/>
          </w:tcPr>
          <w:p>
            <w:pPr>
              <w:spacing w:after="0"/>
              <w:rPr>
                <w:sz w:val="17"/>
                <w:szCs w:val="17"/>
                <w:color w:val="auto"/>
              </w:rPr>
            </w:pPr>
          </w:p>
        </w:tc>
        <w:tc>
          <w:tcPr>
            <w:tcW w:w="600" w:type="dxa"/>
            <w:vAlign w:val="bottom"/>
            <w:tcBorders>
              <w:right w:val="single" w:sz="8" w:color="auto"/>
            </w:tcBorders>
            <w:shd w:val="clear" w:color="auto" w:fill="F6F6F6"/>
          </w:tcPr>
          <w:p>
            <w:pPr>
              <w:spacing w:after="0"/>
              <w:rPr>
                <w:sz w:val="17"/>
                <w:szCs w:val="17"/>
                <w:color w:val="auto"/>
              </w:rPr>
            </w:pPr>
          </w:p>
        </w:tc>
        <w:tc>
          <w:tcPr>
            <w:tcW w:w="560" w:type="dxa"/>
            <w:vAlign w:val="bottom"/>
            <w:shd w:val="clear" w:color="auto" w:fill="F6F6F6"/>
          </w:tcPr>
          <w:p>
            <w:pPr>
              <w:spacing w:after="0"/>
              <w:rPr>
                <w:sz w:val="17"/>
                <w:szCs w:val="17"/>
                <w:color w:val="auto"/>
              </w:rPr>
            </w:pPr>
          </w:p>
        </w:tc>
        <w:tc>
          <w:tcPr>
            <w:tcW w:w="1260" w:type="dxa"/>
            <w:vAlign w:val="bottom"/>
            <w:shd w:val="clear" w:color="auto" w:fill="F5F5F5"/>
          </w:tcPr>
          <w:p>
            <w:pPr>
              <w:spacing w:after="0"/>
              <w:rPr>
                <w:sz w:val="17"/>
                <w:szCs w:val="17"/>
                <w:color w:val="auto"/>
              </w:rPr>
            </w:pPr>
          </w:p>
        </w:tc>
        <w:tc>
          <w:tcPr>
            <w:tcW w:w="6440" w:type="dxa"/>
            <w:vAlign w:val="bottom"/>
          </w:tcPr>
          <w:p>
            <w:pPr>
              <w:ind w:left="140"/>
              <w:spacing w:after="0"/>
              <w:rPr>
                <w:sz w:val="20"/>
                <w:szCs w:val="20"/>
                <w:color w:val="auto"/>
              </w:rPr>
            </w:pPr>
            <w:r>
              <w:rPr>
                <w:rFonts w:ascii="Arial" w:cs="Arial" w:eastAsia="Arial" w:hAnsi="Arial"/>
                <w:sz w:val="16"/>
                <w:szCs w:val="16"/>
                <w:b w:val="1"/>
                <w:bCs w:val="1"/>
                <w:color w:val="1A3FD6"/>
              </w:rPr>
              <w:t>Rajat Taneja</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1860" w:type="dxa"/>
            <w:vAlign w:val="bottom"/>
            <w:shd w:val="clear" w:color="auto" w:fill="F6F6F6"/>
          </w:tcPr>
          <w:p>
            <w:pPr>
              <w:spacing w:after="0"/>
              <w:rPr>
                <w:sz w:val="18"/>
                <w:szCs w:val="18"/>
                <w:color w:val="auto"/>
              </w:rPr>
            </w:pPr>
          </w:p>
        </w:tc>
        <w:tc>
          <w:tcPr>
            <w:tcW w:w="1160" w:type="dxa"/>
            <w:vAlign w:val="bottom"/>
            <w:gridSpan w:val="2"/>
            <w:shd w:val="clear" w:color="auto" w:fill="F6F6F6"/>
          </w:tcPr>
          <w:p>
            <w:pPr>
              <w:ind w:left="500"/>
              <w:spacing w:after="0"/>
              <w:rPr>
                <w:sz w:val="20"/>
                <w:szCs w:val="20"/>
                <w:color w:val="auto"/>
              </w:rPr>
            </w:pPr>
            <w:r>
              <w:rPr>
                <w:rFonts w:ascii="Webdings" w:cs="Webdings" w:eastAsia="Webdings" w:hAnsi="Webdings"/>
                <w:sz w:val="16"/>
                <w:szCs w:val="16"/>
                <w:b w:val="1"/>
                <w:bCs w:val="1"/>
                <w:color w:val="1A3FD6"/>
              </w:rPr>
              <w:t>n</w:t>
            </w:r>
          </w:p>
        </w:tc>
        <w:tc>
          <w:tcPr>
            <w:tcW w:w="1260" w:type="dxa"/>
            <w:vAlign w:val="bottom"/>
            <w:shd w:val="clear" w:color="auto" w:fill="F5F5F5"/>
          </w:tcPr>
          <w:p>
            <w:pPr>
              <w:spacing w:after="0"/>
              <w:rPr>
                <w:sz w:val="18"/>
                <w:szCs w:val="18"/>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Bringing global technology, cybersecurity and research and development experience, including</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1860" w:type="dxa"/>
            <w:vAlign w:val="bottom"/>
            <w:vMerge w:val="restart"/>
            <w:shd w:val="clear" w:color="auto" w:fill="F6F6F6"/>
          </w:tcPr>
          <w:p>
            <w:pPr>
              <w:spacing w:after="0"/>
              <w:rPr>
                <w:sz w:val="20"/>
                <w:szCs w:val="20"/>
                <w:color w:val="auto"/>
              </w:rPr>
            </w:pPr>
            <w:r>
              <w:rPr>
                <w:rFonts w:ascii="Arial" w:cs="Arial" w:eastAsia="Arial" w:hAnsi="Arial"/>
                <w:sz w:val="16"/>
                <w:szCs w:val="16"/>
                <w:color w:val="auto"/>
              </w:rPr>
              <w:t>June 1</w:t>
            </w:r>
          </w:p>
        </w:tc>
        <w:tc>
          <w:tcPr>
            <w:tcW w:w="600" w:type="dxa"/>
            <w:vAlign w:val="bottom"/>
            <w:tcBorders>
              <w:right w:val="single" w:sz="8" w:color="F6F6F6"/>
            </w:tcBorders>
            <w:shd w:val="clear" w:color="auto" w:fill="F6F6F6"/>
          </w:tcPr>
          <w:p>
            <w:pPr>
              <w:spacing w:after="0"/>
              <w:rPr>
                <w:sz w:val="6"/>
                <w:szCs w:val="6"/>
                <w:color w:val="auto"/>
              </w:rPr>
            </w:pPr>
          </w:p>
        </w:tc>
        <w:tc>
          <w:tcPr>
            <w:tcW w:w="560" w:type="dxa"/>
            <w:vAlign w:val="bottom"/>
            <w:shd w:val="clear" w:color="auto" w:fill="F6F6F6"/>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6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60" w:type="dxa"/>
            <w:vAlign w:val="bottom"/>
          </w:tcPr>
          <w:p>
            <w:pPr>
              <w:spacing w:after="0"/>
              <w:rPr>
                <w:sz w:val="18"/>
                <w:szCs w:val="18"/>
                <w:color w:val="auto"/>
              </w:rPr>
            </w:pPr>
          </w:p>
        </w:tc>
        <w:tc>
          <w:tcPr>
            <w:tcW w:w="1860" w:type="dxa"/>
            <w:vAlign w:val="bottom"/>
            <w:vMerge w:val="continue"/>
            <w:shd w:val="clear" w:color="auto" w:fill="F6F6F6"/>
          </w:tcPr>
          <w:p>
            <w:pPr>
              <w:spacing w:after="0"/>
              <w:rPr>
                <w:sz w:val="18"/>
                <w:szCs w:val="18"/>
                <w:color w:val="auto"/>
              </w:rPr>
            </w:pPr>
          </w:p>
        </w:tc>
        <w:tc>
          <w:tcPr>
            <w:tcW w:w="600" w:type="dxa"/>
            <w:vAlign w:val="bottom"/>
            <w:tcBorders>
              <w:right w:val="single" w:sz="8" w:color="auto"/>
            </w:tcBorders>
            <w:shd w:val="clear" w:color="auto" w:fill="F6F6F6"/>
          </w:tcPr>
          <w:p>
            <w:pPr>
              <w:spacing w:after="0"/>
              <w:rPr>
                <w:sz w:val="18"/>
                <w:szCs w:val="18"/>
                <w:color w:val="auto"/>
              </w:rPr>
            </w:pPr>
          </w:p>
        </w:tc>
        <w:tc>
          <w:tcPr>
            <w:tcW w:w="560" w:type="dxa"/>
            <w:vAlign w:val="bottom"/>
            <w:shd w:val="clear" w:color="auto" w:fill="F6F6F6"/>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60" w:type="dxa"/>
            <w:vAlign w:val="bottom"/>
          </w:tcPr>
          <w:p>
            <w:pPr>
              <w:spacing w:after="0"/>
              <w:rPr>
                <w:sz w:val="10"/>
                <w:szCs w:val="10"/>
                <w:color w:val="auto"/>
              </w:rPr>
            </w:pPr>
          </w:p>
        </w:tc>
        <w:tc>
          <w:tcPr>
            <w:tcW w:w="1860" w:type="dxa"/>
            <w:vAlign w:val="bottom"/>
            <w:vMerge w:val="restart"/>
            <w:shd w:val="clear" w:color="auto" w:fill="F6F6F6"/>
          </w:tcPr>
          <w:p>
            <w:pPr>
              <w:spacing w:after="0"/>
              <w:rPr>
                <w:sz w:val="20"/>
                <w:szCs w:val="20"/>
                <w:color w:val="auto"/>
              </w:rPr>
            </w:pPr>
            <w:r>
              <w:rPr>
                <w:rFonts w:ascii="Arial" w:cs="Arial" w:eastAsia="Arial" w:hAnsi="Arial"/>
                <w:sz w:val="54"/>
                <w:szCs w:val="54"/>
                <w:b w:val="1"/>
                <w:bCs w:val="1"/>
                <w:color w:val="1A3FD6"/>
              </w:rPr>
              <w:t>2022</w:t>
            </w:r>
          </w:p>
        </w:tc>
        <w:tc>
          <w:tcPr>
            <w:tcW w:w="600" w:type="dxa"/>
            <w:vAlign w:val="bottom"/>
            <w:tcBorders>
              <w:right w:val="single" w:sz="8" w:color="auto"/>
            </w:tcBorders>
            <w:shd w:val="clear" w:color="auto" w:fill="F6F6F6"/>
          </w:tcPr>
          <w:p>
            <w:pPr>
              <w:spacing w:after="0"/>
              <w:rPr>
                <w:sz w:val="10"/>
                <w:szCs w:val="10"/>
                <w:color w:val="auto"/>
              </w:rPr>
            </w:pPr>
          </w:p>
        </w:tc>
        <w:tc>
          <w:tcPr>
            <w:tcW w:w="560" w:type="dxa"/>
            <w:vAlign w:val="bottom"/>
            <w:shd w:val="clear" w:color="auto" w:fill="F6F6F6"/>
          </w:tcPr>
          <w:p>
            <w:pPr>
              <w:spacing w:after="0"/>
              <w:rPr>
                <w:sz w:val="10"/>
                <w:szCs w:val="10"/>
                <w:color w:val="auto"/>
              </w:rPr>
            </w:pPr>
          </w:p>
        </w:tc>
        <w:tc>
          <w:tcPr>
            <w:tcW w:w="1260" w:type="dxa"/>
            <w:vAlign w:val="bottom"/>
            <w:shd w:val="clear" w:color="auto" w:fill="F5F5F5"/>
          </w:tcPr>
          <w:p>
            <w:pPr>
              <w:spacing w:after="0"/>
              <w:rPr>
                <w:sz w:val="10"/>
                <w:szCs w:val="10"/>
                <w:color w:val="auto"/>
              </w:rPr>
            </w:pPr>
          </w:p>
        </w:tc>
        <w:tc>
          <w:tcPr>
            <w:tcW w:w="6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shd w:val="clear" w:color="auto" w:fill="F6F6F6"/>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vMerge w:val="restart"/>
          </w:tcPr>
          <w:p>
            <w:pPr>
              <w:ind w:left="140"/>
              <w:spacing w:after="0"/>
              <w:rPr>
                <w:sz w:val="20"/>
                <w:szCs w:val="20"/>
                <w:color w:val="auto"/>
              </w:rPr>
            </w:pPr>
            <w:r>
              <w:rPr>
                <w:rFonts w:ascii="Arial" w:cs="Arial" w:eastAsia="Arial" w:hAnsi="Arial"/>
                <w:sz w:val="16"/>
                <w:szCs w:val="16"/>
                <w:b w:val="1"/>
                <w:bCs w:val="1"/>
                <w:color w:val="1A3FD6"/>
              </w:rPr>
              <w:t>Robin Matlock</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Pr>
          <w:p>
            <w:pPr>
              <w:spacing w:after="0"/>
              <w:rPr>
                <w:sz w:val="7"/>
                <w:szCs w:val="7"/>
                <w:color w:val="auto"/>
              </w:rPr>
            </w:pPr>
          </w:p>
        </w:tc>
        <w:tc>
          <w:tcPr>
            <w:tcW w:w="1860" w:type="dxa"/>
            <w:vAlign w:val="bottom"/>
            <w:vMerge w:val="continue"/>
            <w:shd w:val="clear" w:color="auto" w:fill="F6F6F6"/>
          </w:tcPr>
          <w:p>
            <w:pPr>
              <w:spacing w:after="0"/>
              <w:rPr>
                <w:sz w:val="7"/>
                <w:szCs w:val="7"/>
                <w:color w:val="auto"/>
              </w:rPr>
            </w:pPr>
          </w:p>
        </w:tc>
        <w:tc>
          <w:tcPr>
            <w:tcW w:w="1160" w:type="dxa"/>
            <w:vAlign w:val="bottom"/>
            <w:gridSpan w:val="2"/>
            <w:vMerge w:val="restart"/>
            <w:shd w:val="clear" w:color="auto" w:fill="F6F6F6"/>
          </w:tcPr>
          <w:p>
            <w:pPr>
              <w:ind w:left="500"/>
              <w:spacing w:after="0"/>
              <w:rPr>
                <w:sz w:val="20"/>
                <w:szCs w:val="20"/>
                <w:color w:val="auto"/>
              </w:rPr>
            </w:pPr>
            <w:r>
              <w:rPr>
                <w:rFonts w:ascii="Webdings" w:cs="Webdings" w:eastAsia="Webdings" w:hAnsi="Webdings"/>
                <w:sz w:val="16"/>
                <w:szCs w:val="16"/>
                <w:b w:val="1"/>
                <w:bCs w:val="1"/>
                <w:color w:val="1A3FD6"/>
              </w:rPr>
              <w:t>n</w:t>
            </w:r>
          </w:p>
        </w:tc>
        <w:tc>
          <w:tcPr>
            <w:tcW w:w="1260" w:type="dxa"/>
            <w:vAlign w:val="bottom"/>
            <w:shd w:val="clear" w:color="auto" w:fill="F5F5F5"/>
          </w:tcPr>
          <w:p>
            <w:pPr>
              <w:spacing w:after="0"/>
              <w:rPr>
                <w:sz w:val="7"/>
                <w:szCs w:val="7"/>
                <w:color w:val="auto"/>
              </w:rPr>
            </w:pPr>
          </w:p>
        </w:tc>
        <w:tc>
          <w:tcPr>
            <w:tcW w:w="6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1860" w:type="dxa"/>
            <w:vAlign w:val="bottom"/>
            <w:vMerge w:val="continue"/>
            <w:shd w:val="clear" w:color="auto" w:fill="F6F6F6"/>
          </w:tcPr>
          <w:p>
            <w:pPr>
              <w:spacing w:after="0"/>
              <w:rPr>
                <w:sz w:val="10"/>
                <w:szCs w:val="10"/>
                <w:color w:val="auto"/>
              </w:rPr>
            </w:pPr>
          </w:p>
        </w:tc>
        <w:tc>
          <w:tcPr>
            <w:tcW w:w="1160" w:type="dxa"/>
            <w:vAlign w:val="bottom"/>
            <w:gridSpan w:val="2"/>
            <w:vMerge w:val="continue"/>
            <w:shd w:val="clear" w:color="auto" w:fill="F6F6F6"/>
          </w:tcPr>
          <w:p>
            <w:pPr>
              <w:spacing w:after="0"/>
              <w:rPr>
                <w:sz w:val="10"/>
                <w:szCs w:val="10"/>
                <w:color w:val="auto"/>
              </w:rPr>
            </w:pPr>
          </w:p>
        </w:tc>
        <w:tc>
          <w:tcPr>
            <w:tcW w:w="1260" w:type="dxa"/>
            <w:vAlign w:val="bottom"/>
            <w:shd w:val="clear" w:color="auto" w:fill="F5F5F5"/>
          </w:tcPr>
          <w:p>
            <w:pPr>
              <w:spacing w:after="0"/>
              <w:rPr>
                <w:sz w:val="10"/>
                <w:szCs w:val="10"/>
                <w:color w:val="auto"/>
              </w:rPr>
            </w:pPr>
          </w:p>
        </w:tc>
        <w:tc>
          <w:tcPr>
            <w:tcW w:w="6440" w:type="dxa"/>
            <w:vAlign w:val="bottom"/>
            <w:vMerge w:val="restart"/>
          </w:tcPr>
          <w:p>
            <w:pPr>
              <w:ind w:left="140"/>
              <w:spacing w:after="0"/>
              <w:rPr>
                <w:sz w:val="20"/>
                <w:szCs w:val="20"/>
                <w:color w:val="auto"/>
              </w:rPr>
            </w:pPr>
            <w:r>
              <w:rPr>
                <w:rFonts w:ascii="Arial" w:cs="Arial" w:eastAsia="Arial" w:hAnsi="Arial"/>
                <w:sz w:val="14"/>
                <w:szCs w:val="14"/>
                <w:color w:val="auto"/>
              </w:rPr>
              <w:t>Bringing go-to-market and marketing strategy expertise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1860" w:type="dxa"/>
            <w:vAlign w:val="bottom"/>
            <w:vMerge w:val="continue"/>
            <w:shd w:val="clear" w:color="auto" w:fill="F6F6F6"/>
          </w:tcPr>
          <w:p>
            <w:pPr>
              <w:spacing w:after="0"/>
              <w:rPr>
                <w:sz w:val="6"/>
                <w:szCs w:val="6"/>
                <w:color w:val="auto"/>
              </w:rPr>
            </w:pPr>
          </w:p>
        </w:tc>
        <w:tc>
          <w:tcPr>
            <w:tcW w:w="600" w:type="dxa"/>
            <w:vAlign w:val="bottom"/>
            <w:tcBorders>
              <w:right w:val="single" w:sz="8" w:color="F6F6F6"/>
            </w:tcBorders>
            <w:shd w:val="clear" w:color="auto" w:fill="F6F6F6"/>
          </w:tcPr>
          <w:p>
            <w:pPr>
              <w:spacing w:after="0"/>
              <w:rPr>
                <w:sz w:val="6"/>
                <w:szCs w:val="6"/>
                <w:color w:val="auto"/>
              </w:rPr>
            </w:pPr>
          </w:p>
        </w:tc>
        <w:tc>
          <w:tcPr>
            <w:tcW w:w="560" w:type="dxa"/>
            <w:vAlign w:val="bottom"/>
            <w:shd w:val="clear" w:color="auto" w:fill="F6F6F6"/>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6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1860" w:type="dxa"/>
            <w:vAlign w:val="bottom"/>
            <w:shd w:val="clear" w:color="auto" w:fill="F6F6F6"/>
          </w:tcPr>
          <w:p>
            <w:pPr>
              <w:spacing w:after="0"/>
              <w:rPr>
                <w:sz w:val="20"/>
                <w:szCs w:val="20"/>
                <w:color w:val="auto"/>
              </w:rPr>
            </w:pPr>
            <w:r>
              <w:rPr>
                <w:rFonts w:ascii="Arial" w:cs="Arial" w:eastAsia="Arial" w:hAnsi="Arial"/>
                <w:sz w:val="16"/>
                <w:szCs w:val="16"/>
                <w:color w:val="auto"/>
              </w:rPr>
              <w:t>June 1</w:t>
            </w:r>
          </w:p>
        </w:tc>
        <w:tc>
          <w:tcPr>
            <w:tcW w:w="600" w:type="dxa"/>
            <w:vAlign w:val="bottom"/>
            <w:tcBorders>
              <w:right w:val="single" w:sz="8" w:color="auto"/>
            </w:tcBorders>
            <w:shd w:val="clear" w:color="auto" w:fill="F6F6F6"/>
          </w:tcPr>
          <w:p>
            <w:pPr>
              <w:spacing w:after="0"/>
              <w:rPr>
                <w:sz w:val="18"/>
                <w:szCs w:val="18"/>
                <w:color w:val="auto"/>
              </w:rPr>
            </w:pPr>
          </w:p>
        </w:tc>
        <w:tc>
          <w:tcPr>
            <w:tcW w:w="560" w:type="dxa"/>
            <w:vAlign w:val="bottom"/>
            <w:shd w:val="clear" w:color="auto" w:fill="F6F6F6"/>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6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1860" w:type="dxa"/>
            <w:vAlign w:val="bottom"/>
            <w:vMerge w:val="restart"/>
            <w:shd w:val="clear" w:color="auto" w:fill="F6F6F6"/>
          </w:tcPr>
          <w:p>
            <w:pPr>
              <w:spacing w:after="0"/>
              <w:rPr>
                <w:sz w:val="20"/>
                <w:szCs w:val="20"/>
                <w:color w:val="auto"/>
              </w:rPr>
            </w:pPr>
            <w:r>
              <w:rPr>
                <w:rFonts w:ascii="Arial" w:cs="Arial" w:eastAsia="Arial" w:hAnsi="Arial"/>
                <w:sz w:val="54"/>
                <w:szCs w:val="54"/>
                <w:b w:val="1"/>
                <w:bCs w:val="1"/>
                <w:color w:val="1A3FD6"/>
              </w:rPr>
              <w:t>2024</w:t>
            </w:r>
          </w:p>
        </w:tc>
        <w:tc>
          <w:tcPr>
            <w:tcW w:w="600" w:type="dxa"/>
            <w:vAlign w:val="bottom"/>
            <w:tcBorders>
              <w:right w:val="single" w:sz="8" w:color="auto"/>
            </w:tcBorders>
            <w:shd w:val="clear" w:color="auto" w:fill="F6F6F6"/>
          </w:tcPr>
          <w:p>
            <w:pPr>
              <w:spacing w:after="0"/>
              <w:rPr>
                <w:sz w:val="10"/>
                <w:szCs w:val="10"/>
                <w:color w:val="auto"/>
              </w:rPr>
            </w:pPr>
          </w:p>
        </w:tc>
        <w:tc>
          <w:tcPr>
            <w:tcW w:w="560" w:type="dxa"/>
            <w:vAlign w:val="bottom"/>
            <w:shd w:val="clear" w:color="auto" w:fill="F6F6F6"/>
          </w:tcPr>
          <w:p>
            <w:pPr>
              <w:spacing w:after="0"/>
              <w:rPr>
                <w:sz w:val="10"/>
                <w:szCs w:val="10"/>
                <w:color w:val="auto"/>
              </w:rPr>
            </w:pPr>
          </w:p>
        </w:tc>
        <w:tc>
          <w:tcPr>
            <w:tcW w:w="1260" w:type="dxa"/>
            <w:vAlign w:val="bottom"/>
            <w:shd w:val="clear" w:color="auto" w:fill="F5F5F5"/>
          </w:tcPr>
          <w:p>
            <w:pPr>
              <w:spacing w:after="0"/>
              <w:rPr>
                <w:sz w:val="10"/>
                <w:szCs w:val="10"/>
                <w:color w:val="auto"/>
              </w:rPr>
            </w:pPr>
          </w:p>
        </w:tc>
        <w:tc>
          <w:tcPr>
            <w:tcW w:w="6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shd w:val="clear" w:color="auto" w:fill="F6F6F6"/>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tcPr>
          <w:p>
            <w:pPr>
              <w:ind w:left="140"/>
              <w:spacing w:after="0"/>
              <w:rPr>
                <w:sz w:val="20"/>
                <w:szCs w:val="20"/>
                <w:color w:val="auto"/>
              </w:rPr>
            </w:pPr>
            <w:r>
              <w:rPr>
                <w:rFonts w:ascii="Arial" w:cs="Arial" w:eastAsia="Arial" w:hAnsi="Arial"/>
                <w:sz w:val="16"/>
                <w:szCs w:val="16"/>
                <w:b w:val="1"/>
                <w:bCs w:val="1"/>
                <w:color w:val="1A3FD6"/>
              </w:rPr>
              <w:t>Michelle Seitz</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860" w:type="dxa"/>
            <w:vAlign w:val="bottom"/>
            <w:vMerge w:val="continue"/>
            <w:shd w:val="clear" w:color="auto" w:fill="F6F6F6"/>
          </w:tcPr>
          <w:p>
            <w:pPr>
              <w:spacing w:after="0"/>
              <w:rPr>
                <w:sz w:val="16"/>
                <w:szCs w:val="16"/>
                <w:color w:val="auto"/>
              </w:rPr>
            </w:pPr>
          </w:p>
        </w:tc>
        <w:tc>
          <w:tcPr>
            <w:tcW w:w="1160" w:type="dxa"/>
            <w:vAlign w:val="bottom"/>
            <w:gridSpan w:val="2"/>
            <w:shd w:val="clear" w:color="auto" w:fill="F6F6F6"/>
          </w:tcPr>
          <w:p>
            <w:pPr>
              <w:ind w:left="500"/>
              <w:spacing w:after="0"/>
              <w:rPr>
                <w:sz w:val="20"/>
                <w:szCs w:val="20"/>
                <w:color w:val="auto"/>
              </w:rPr>
            </w:pPr>
            <w:r>
              <w:rPr>
                <w:rFonts w:ascii="Webdings" w:cs="Webdings" w:eastAsia="Webdings" w:hAnsi="Webdings"/>
                <w:sz w:val="16"/>
                <w:szCs w:val="16"/>
                <w:b w:val="1"/>
                <w:bCs w:val="1"/>
                <w:color w:val="1A3FD6"/>
              </w:rPr>
              <w:t>n</w:t>
            </w:r>
          </w:p>
        </w:tc>
        <w:tc>
          <w:tcPr>
            <w:tcW w:w="1260" w:type="dxa"/>
            <w:vAlign w:val="bottom"/>
            <w:shd w:val="clear" w:color="auto" w:fill="F5F5F5"/>
          </w:tcPr>
          <w:p>
            <w:pPr>
              <w:spacing w:after="0"/>
              <w:rPr>
                <w:sz w:val="16"/>
                <w:szCs w:val="16"/>
                <w:color w:val="auto"/>
              </w:rPr>
            </w:pPr>
          </w:p>
        </w:tc>
        <w:tc>
          <w:tcPr>
            <w:tcW w:w="6440" w:type="dxa"/>
            <w:vAlign w:val="bottom"/>
            <w:vMerge w:val="restart"/>
          </w:tcPr>
          <w:p>
            <w:pPr>
              <w:ind w:left="140"/>
              <w:spacing w:after="0"/>
              <w:rPr>
                <w:sz w:val="20"/>
                <w:szCs w:val="20"/>
                <w:color w:val="auto"/>
              </w:rPr>
            </w:pPr>
            <w:r>
              <w:rPr>
                <w:rFonts w:ascii="Arial" w:cs="Arial" w:eastAsia="Arial" w:hAnsi="Arial"/>
                <w:sz w:val="14"/>
                <w:szCs w:val="14"/>
                <w:color w:val="auto"/>
              </w:rPr>
              <w:t>Bringing deep experience in the investment industry, including expertise in asset management and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60" w:type="dxa"/>
            <w:vAlign w:val="bottom"/>
          </w:tcPr>
          <w:p>
            <w:pPr>
              <w:spacing w:after="0"/>
              <w:rPr>
                <w:sz w:val="6"/>
                <w:szCs w:val="6"/>
                <w:color w:val="auto"/>
              </w:rPr>
            </w:pPr>
          </w:p>
        </w:tc>
        <w:tc>
          <w:tcPr>
            <w:tcW w:w="1860" w:type="dxa"/>
            <w:vAlign w:val="bottom"/>
            <w:tcBorders>
              <w:bottom w:val="single" w:sz="8" w:color="F6F6F6"/>
            </w:tcBorders>
            <w:vMerge w:val="continue"/>
            <w:shd w:val="clear" w:color="auto" w:fill="F6F6F6"/>
          </w:tcPr>
          <w:p>
            <w:pPr>
              <w:spacing w:after="0"/>
              <w:rPr>
                <w:sz w:val="6"/>
                <w:szCs w:val="6"/>
                <w:color w:val="auto"/>
              </w:rPr>
            </w:pPr>
          </w:p>
        </w:tc>
        <w:tc>
          <w:tcPr>
            <w:tcW w:w="600" w:type="dxa"/>
            <w:vAlign w:val="bottom"/>
            <w:tcBorders>
              <w:bottom w:val="single" w:sz="8" w:color="F6F6F6"/>
              <w:right w:val="single" w:sz="8" w:color="F6F6F6"/>
            </w:tcBorders>
            <w:shd w:val="clear" w:color="auto" w:fill="F6F6F6"/>
          </w:tcPr>
          <w:p>
            <w:pPr>
              <w:spacing w:after="0"/>
              <w:rPr>
                <w:sz w:val="6"/>
                <w:szCs w:val="6"/>
                <w:color w:val="auto"/>
              </w:rPr>
            </w:pPr>
          </w:p>
        </w:tc>
        <w:tc>
          <w:tcPr>
            <w:tcW w:w="560" w:type="dxa"/>
            <w:vAlign w:val="bottom"/>
            <w:tcBorders>
              <w:bottom w:val="single" w:sz="8" w:color="F6F6F6"/>
            </w:tcBorders>
            <w:shd w:val="clear" w:color="auto" w:fill="F6F6F6"/>
          </w:tcPr>
          <w:p>
            <w:pPr>
              <w:spacing w:after="0"/>
              <w:rPr>
                <w:sz w:val="6"/>
                <w:szCs w:val="6"/>
                <w:color w:val="auto"/>
              </w:rPr>
            </w:pPr>
          </w:p>
        </w:tc>
        <w:tc>
          <w:tcPr>
            <w:tcW w:w="1260" w:type="dxa"/>
            <w:vAlign w:val="bottom"/>
            <w:tcBorders>
              <w:bottom w:val="single" w:sz="8" w:color="F5F5F5"/>
            </w:tcBorders>
            <w:shd w:val="clear" w:color="auto" w:fill="F5F5F5"/>
          </w:tcPr>
          <w:p>
            <w:pPr>
              <w:spacing w:after="0"/>
              <w:rPr>
                <w:sz w:val="6"/>
                <w:szCs w:val="6"/>
                <w:color w:val="auto"/>
              </w:rPr>
            </w:pPr>
          </w:p>
        </w:tc>
        <w:tc>
          <w:tcPr>
            <w:tcW w:w="64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860" w:type="dxa"/>
            <w:vAlign w:val="bottom"/>
            <w:vMerge w:val="restart"/>
            <w:shd w:val="clear" w:color="auto" w:fill="F6F6F6"/>
          </w:tcPr>
          <w:p>
            <w:pPr>
              <w:spacing w:after="0"/>
              <w:rPr>
                <w:sz w:val="20"/>
                <w:szCs w:val="20"/>
                <w:color w:val="auto"/>
              </w:rPr>
            </w:pPr>
            <w:r>
              <w:rPr>
                <w:rFonts w:ascii="Arial" w:cs="Arial" w:eastAsia="Arial" w:hAnsi="Arial"/>
                <w:sz w:val="16"/>
                <w:szCs w:val="16"/>
                <w:color w:val="auto"/>
              </w:rPr>
              <w:t>August 5</w:t>
            </w:r>
          </w:p>
        </w:tc>
        <w:tc>
          <w:tcPr>
            <w:tcW w:w="600" w:type="dxa"/>
            <w:vAlign w:val="bottom"/>
            <w:tcBorders>
              <w:right w:val="single" w:sz="8" w:color="auto"/>
            </w:tcBorders>
            <w:shd w:val="clear" w:color="auto" w:fill="F6F6F6"/>
          </w:tcPr>
          <w:p>
            <w:pPr>
              <w:spacing w:after="0"/>
              <w:rPr>
                <w:sz w:val="12"/>
                <w:szCs w:val="12"/>
                <w:color w:val="auto"/>
              </w:rPr>
            </w:pPr>
          </w:p>
        </w:tc>
        <w:tc>
          <w:tcPr>
            <w:tcW w:w="560" w:type="dxa"/>
            <w:vAlign w:val="bottom"/>
            <w:shd w:val="clear" w:color="auto" w:fill="F6F6F6"/>
          </w:tcPr>
          <w:p>
            <w:pPr>
              <w:spacing w:after="0"/>
              <w:rPr>
                <w:sz w:val="12"/>
                <w:szCs w:val="12"/>
                <w:color w:val="auto"/>
              </w:rPr>
            </w:pPr>
          </w:p>
        </w:tc>
        <w:tc>
          <w:tcPr>
            <w:tcW w:w="1260" w:type="dxa"/>
            <w:vAlign w:val="bottom"/>
            <w:shd w:val="clear" w:color="auto" w:fill="F5F5F5"/>
          </w:tcPr>
          <w:p>
            <w:pPr>
              <w:spacing w:after="0"/>
              <w:rPr>
                <w:sz w:val="12"/>
                <w:szCs w:val="12"/>
                <w:color w:val="auto"/>
              </w:rPr>
            </w:pPr>
          </w:p>
        </w:tc>
        <w:tc>
          <w:tcPr>
            <w:tcW w:w="6440" w:type="dxa"/>
            <w:vAlign w:val="bottom"/>
          </w:tcPr>
          <w:p>
            <w:pPr>
              <w:ind w:left="140"/>
              <w:spacing w:after="0" w:line="141" w:lineRule="exact"/>
              <w:rPr>
                <w:sz w:val="20"/>
                <w:szCs w:val="20"/>
                <w:color w:val="auto"/>
              </w:rPr>
            </w:pPr>
            <w:r>
              <w:rPr>
                <w:rFonts w:ascii="Arial" w:cs="Arial" w:eastAsia="Arial" w:hAnsi="Arial"/>
                <w:sz w:val="14"/>
                <w:szCs w:val="14"/>
                <w:color w:val="auto"/>
              </w:rPr>
              <w:t>private wealth</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60" w:type="dxa"/>
            <w:vAlign w:val="bottom"/>
          </w:tcPr>
          <w:p>
            <w:pPr>
              <w:spacing w:after="0"/>
              <w:rPr>
                <w:sz w:val="6"/>
                <w:szCs w:val="6"/>
                <w:color w:val="auto"/>
              </w:rPr>
            </w:pPr>
          </w:p>
        </w:tc>
        <w:tc>
          <w:tcPr>
            <w:tcW w:w="1860" w:type="dxa"/>
            <w:vAlign w:val="bottom"/>
            <w:vMerge w:val="continue"/>
            <w:shd w:val="clear" w:color="auto" w:fill="F6F6F6"/>
          </w:tcPr>
          <w:p>
            <w:pPr>
              <w:spacing w:after="0"/>
              <w:rPr>
                <w:sz w:val="6"/>
                <w:szCs w:val="6"/>
                <w:color w:val="auto"/>
              </w:rPr>
            </w:pPr>
          </w:p>
        </w:tc>
        <w:tc>
          <w:tcPr>
            <w:tcW w:w="600" w:type="dxa"/>
            <w:vAlign w:val="bottom"/>
            <w:tcBorders>
              <w:right w:val="single" w:sz="8" w:color="auto"/>
            </w:tcBorders>
            <w:shd w:val="clear" w:color="auto" w:fill="F6F6F6"/>
          </w:tcPr>
          <w:p>
            <w:pPr>
              <w:spacing w:after="0"/>
              <w:rPr>
                <w:sz w:val="6"/>
                <w:szCs w:val="6"/>
                <w:color w:val="auto"/>
              </w:rPr>
            </w:pPr>
          </w:p>
        </w:tc>
        <w:tc>
          <w:tcPr>
            <w:tcW w:w="560" w:type="dxa"/>
            <w:vAlign w:val="bottom"/>
            <w:shd w:val="clear" w:color="auto" w:fill="F6F6F6"/>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6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1860" w:type="dxa"/>
            <w:vAlign w:val="bottom"/>
            <w:tcBorders>
              <w:bottom w:val="single" w:sz="8" w:color="F6F6F6"/>
            </w:tcBorders>
            <w:vMerge w:val="restart"/>
            <w:shd w:val="clear" w:color="auto" w:fill="F6F6F6"/>
          </w:tcPr>
          <w:p>
            <w:pPr>
              <w:spacing w:after="0"/>
              <w:rPr>
                <w:sz w:val="20"/>
                <w:szCs w:val="20"/>
                <w:color w:val="auto"/>
              </w:rPr>
            </w:pPr>
            <w:r>
              <w:rPr>
                <w:rFonts w:ascii="Arial" w:cs="Arial" w:eastAsia="Arial" w:hAnsi="Arial"/>
                <w:sz w:val="16"/>
                <w:szCs w:val="16"/>
                <w:color w:val="auto"/>
              </w:rPr>
              <w:t>December 17</w:t>
            </w:r>
          </w:p>
        </w:tc>
        <w:tc>
          <w:tcPr>
            <w:tcW w:w="600" w:type="dxa"/>
            <w:vAlign w:val="bottom"/>
            <w:tcBorders>
              <w:bottom w:val="single" w:sz="8" w:color="F6F6F6"/>
              <w:right w:val="single" w:sz="8" w:color="auto"/>
            </w:tcBorders>
            <w:shd w:val="clear" w:color="auto" w:fill="F6F6F6"/>
          </w:tcPr>
          <w:p>
            <w:pPr>
              <w:spacing w:after="0"/>
              <w:rPr>
                <w:sz w:val="13"/>
                <w:szCs w:val="13"/>
                <w:color w:val="auto"/>
              </w:rPr>
            </w:pPr>
          </w:p>
        </w:tc>
        <w:tc>
          <w:tcPr>
            <w:tcW w:w="560" w:type="dxa"/>
            <w:vAlign w:val="bottom"/>
            <w:tcBorders>
              <w:bottom w:val="single" w:sz="8" w:color="F6F6F6"/>
            </w:tcBorders>
            <w:shd w:val="clear" w:color="auto" w:fill="F6F6F6"/>
          </w:tcPr>
          <w:p>
            <w:pPr>
              <w:spacing w:after="0"/>
              <w:rPr>
                <w:sz w:val="13"/>
                <w:szCs w:val="13"/>
                <w:color w:val="auto"/>
              </w:rPr>
            </w:pPr>
          </w:p>
        </w:tc>
        <w:tc>
          <w:tcPr>
            <w:tcW w:w="1260" w:type="dxa"/>
            <w:vAlign w:val="bottom"/>
            <w:tcBorders>
              <w:bottom w:val="single" w:sz="8" w:color="F5F5F5"/>
            </w:tcBorders>
            <w:shd w:val="clear" w:color="auto" w:fill="F5F5F5"/>
          </w:tcPr>
          <w:p>
            <w:pPr>
              <w:spacing w:after="0"/>
              <w:rPr>
                <w:sz w:val="13"/>
                <w:szCs w:val="13"/>
                <w:color w:val="auto"/>
              </w:rPr>
            </w:pPr>
          </w:p>
        </w:tc>
        <w:tc>
          <w:tcPr>
            <w:tcW w:w="6440" w:type="dxa"/>
            <w:vAlign w:val="bottom"/>
            <w:tcBorders>
              <w:bottom w:val="single" w:sz="8" w:color="F6F6F6"/>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60" w:type="dxa"/>
            <w:vAlign w:val="bottom"/>
          </w:tcPr>
          <w:p>
            <w:pPr>
              <w:spacing w:after="0"/>
              <w:rPr>
                <w:sz w:val="24"/>
                <w:szCs w:val="24"/>
                <w:color w:val="auto"/>
              </w:rPr>
            </w:pPr>
          </w:p>
        </w:tc>
        <w:tc>
          <w:tcPr>
            <w:tcW w:w="1860" w:type="dxa"/>
            <w:vAlign w:val="bottom"/>
            <w:vMerge w:val="continue"/>
            <w:shd w:val="clear" w:color="auto" w:fill="F6F6F6"/>
          </w:tcPr>
          <w:p>
            <w:pPr>
              <w:spacing w:after="0"/>
              <w:rPr>
                <w:sz w:val="24"/>
                <w:szCs w:val="24"/>
                <w:color w:val="auto"/>
              </w:rPr>
            </w:pPr>
          </w:p>
        </w:tc>
        <w:tc>
          <w:tcPr>
            <w:tcW w:w="600" w:type="dxa"/>
            <w:vAlign w:val="bottom"/>
            <w:tcBorders>
              <w:right w:val="single" w:sz="8" w:color="auto"/>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vMerge w:val="restart"/>
          </w:tcPr>
          <w:p>
            <w:pPr>
              <w:ind w:left="140"/>
              <w:spacing w:after="0"/>
              <w:rPr>
                <w:sz w:val="20"/>
                <w:szCs w:val="20"/>
                <w:color w:val="auto"/>
              </w:rPr>
            </w:pPr>
            <w:r>
              <w:rPr>
                <w:rFonts w:ascii="Arial" w:cs="Arial" w:eastAsia="Arial" w:hAnsi="Arial"/>
                <w:sz w:val="16"/>
                <w:szCs w:val="16"/>
                <w:b w:val="1"/>
                <w:bCs w:val="1"/>
                <w:color w:val="1A3FD6"/>
              </w:rPr>
              <w:t>June Yang</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Pr>
          <w:p>
            <w:pPr>
              <w:spacing w:after="0"/>
              <w:rPr>
                <w:sz w:val="7"/>
                <w:szCs w:val="7"/>
                <w:color w:val="auto"/>
              </w:rPr>
            </w:pPr>
          </w:p>
        </w:tc>
        <w:tc>
          <w:tcPr>
            <w:tcW w:w="1860" w:type="dxa"/>
            <w:vAlign w:val="bottom"/>
            <w:shd w:val="clear" w:color="auto" w:fill="F6F6F6"/>
          </w:tcPr>
          <w:p>
            <w:pPr>
              <w:spacing w:after="0"/>
              <w:rPr>
                <w:sz w:val="7"/>
                <w:szCs w:val="7"/>
                <w:color w:val="auto"/>
              </w:rPr>
            </w:pPr>
          </w:p>
        </w:tc>
        <w:tc>
          <w:tcPr>
            <w:tcW w:w="600" w:type="dxa"/>
            <w:vAlign w:val="bottom"/>
            <w:tcBorders>
              <w:right w:val="single" w:sz="8" w:color="auto"/>
            </w:tcBorders>
            <w:shd w:val="clear" w:color="auto" w:fill="F6F6F6"/>
          </w:tcPr>
          <w:p>
            <w:pPr>
              <w:spacing w:after="0"/>
              <w:rPr>
                <w:sz w:val="7"/>
                <w:szCs w:val="7"/>
                <w:color w:val="auto"/>
              </w:rPr>
            </w:pPr>
          </w:p>
        </w:tc>
        <w:tc>
          <w:tcPr>
            <w:tcW w:w="560" w:type="dxa"/>
            <w:vAlign w:val="bottom"/>
            <w:shd w:val="clear" w:color="auto" w:fill="F6F6F6"/>
          </w:tcPr>
          <w:p>
            <w:pPr>
              <w:spacing w:after="0"/>
              <w:rPr>
                <w:sz w:val="7"/>
                <w:szCs w:val="7"/>
                <w:color w:val="auto"/>
              </w:rPr>
            </w:pPr>
          </w:p>
        </w:tc>
        <w:tc>
          <w:tcPr>
            <w:tcW w:w="1260" w:type="dxa"/>
            <w:vAlign w:val="bottom"/>
            <w:shd w:val="clear" w:color="auto" w:fill="F5F5F5"/>
          </w:tcPr>
          <w:p>
            <w:pPr>
              <w:spacing w:after="0"/>
              <w:rPr>
                <w:sz w:val="7"/>
                <w:szCs w:val="7"/>
                <w:color w:val="auto"/>
              </w:rPr>
            </w:pPr>
          </w:p>
        </w:tc>
        <w:tc>
          <w:tcPr>
            <w:tcW w:w="64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860" w:type="dxa"/>
            <w:vAlign w:val="bottom"/>
            <w:shd w:val="clear" w:color="auto" w:fill="F6F6F6"/>
          </w:tcPr>
          <w:p>
            <w:pPr>
              <w:spacing w:after="0"/>
              <w:rPr>
                <w:sz w:val="16"/>
                <w:szCs w:val="16"/>
                <w:color w:val="auto"/>
              </w:rPr>
            </w:pPr>
          </w:p>
        </w:tc>
        <w:tc>
          <w:tcPr>
            <w:tcW w:w="600" w:type="dxa"/>
            <w:vAlign w:val="bottom"/>
            <w:tcBorders>
              <w:right w:val="single" w:sz="8" w:color="auto"/>
            </w:tcBorders>
            <w:shd w:val="clear" w:color="auto" w:fill="F6F6F6"/>
          </w:tcPr>
          <w:p>
            <w:pPr>
              <w:spacing w:after="0"/>
              <w:rPr>
                <w:sz w:val="16"/>
                <w:szCs w:val="16"/>
                <w:color w:val="auto"/>
              </w:rPr>
            </w:pPr>
          </w:p>
        </w:tc>
        <w:tc>
          <w:tcPr>
            <w:tcW w:w="560" w:type="dxa"/>
            <w:vAlign w:val="bottom"/>
            <w:shd w:val="clear" w:color="auto" w:fill="F6F6F6"/>
          </w:tcPr>
          <w:p>
            <w:pPr>
              <w:spacing w:after="0"/>
              <w:rPr>
                <w:sz w:val="16"/>
                <w:szCs w:val="16"/>
                <w:color w:val="auto"/>
              </w:rPr>
            </w:pPr>
          </w:p>
        </w:tc>
        <w:tc>
          <w:tcPr>
            <w:tcW w:w="1260" w:type="dxa"/>
            <w:vAlign w:val="bottom"/>
            <w:shd w:val="clear" w:color="auto" w:fill="F5F5F5"/>
          </w:tcPr>
          <w:p>
            <w:pPr>
              <w:spacing w:after="0"/>
              <w:rPr>
                <w:sz w:val="16"/>
                <w:szCs w:val="16"/>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Bringing extensive experience in the technology sector, with a focus on AI and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860" w:type="dxa"/>
            <w:vAlign w:val="bottom"/>
            <w:shd w:val="clear" w:color="auto" w:fill="F6F6F6"/>
          </w:tcPr>
          <w:p>
            <w:pPr>
              <w:spacing w:after="0"/>
              <w:rPr>
                <w:sz w:val="16"/>
                <w:szCs w:val="16"/>
                <w:color w:val="auto"/>
              </w:rPr>
            </w:pPr>
          </w:p>
        </w:tc>
        <w:tc>
          <w:tcPr>
            <w:tcW w:w="600" w:type="dxa"/>
            <w:vAlign w:val="bottom"/>
            <w:tcBorders>
              <w:right w:val="single" w:sz="8" w:color="auto"/>
            </w:tcBorders>
            <w:shd w:val="clear" w:color="auto" w:fill="F6F6F6"/>
          </w:tcPr>
          <w:p>
            <w:pPr>
              <w:spacing w:after="0"/>
              <w:rPr>
                <w:sz w:val="16"/>
                <w:szCs w:val="16"/>
                <w:color w:val="auto"/>
              </w:rPr>
            </w:pPr>
          </w:p>
        </w:tc>
        <w:tc>
          <w:tcPr>
            <w:tcW w:w="560" w:type="dxa"/>
            <w:vAlign w:val="bottom"/>
            <w:shd w:val="clear" w:color="auto" w:fill="F6F6F6"/>
          </w:tcPr>
          <w:p>
            <w:pPr>
              <w:spacing w:after="0"/>
              <w:rPr>
                <w:sz w:val="16"/>
                <w:szCs w:val="16"/>
                <w:color w:val="auto"/>
              </w:rPr>
            </w:pPr>
          </w:p>
        </w:tc>
        <w:tc>
          <w:tcPr>
            <w:tcW w:w="1260" w:type="dxa"/>
            <w:vAlign w:val="bottom"/>
            <w:shd w:val="clear" w:color="auto" w:fill="F5F5F5"/>
          </w:tcPr>
          <w:p>
            <w:pPr>
              <w:spacing w:after="0"/>
              <w:rPr>
                <w:sz w:val="16"/>
                <w:szCs w:val="16"/>
                <w:color w:val="auto"/>
              </w:rPr>
            </w:pPr>
          </w:p>
        </w:tc>
        <w:tc>
          <w:tcPr>
            <w:tcW w:w="6440" w:type="dxa"/>
            <w:vAlign w:val="bottom"/>
          </w:tcPr>
          <w:p>
            <w:pPr>
              <w:ind w:left="140"/>
              <w:spacing w:after="0"/>
              <w:rPr>
                <w:sz w:val="20"/>
                <w:szCs w:val="20"/>
                <w:color w:val="auto"/>
              </w:rPr>
            </w:pPr>
            <w:r>
              <w:rPr>
                <w:rFonts w:ascii="Arial" w:cs="Arial" w:eastAsia="Arial" w:hAnsi="Arial"/>
                <w:sz w:val="14"/>
                <w:szCs w:val="14"/>
                <w:color w:val="auto"/>
              </w:rPr>
              <w:t>cloud</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860" w:type="dxa"/>
            <w:vAlign w:val="bottom"/>
            <w:shd w:val="clear" w:color="auto" w:fill="F6F6F6"/>
          </w:tcPr>
          <w:p>
            <w:pPr>
              <w:spacing w:after="0"/>
              <w:rPr>
                <w:sz w:val="17"/>
                <w:szCs w:val="17"/>
                <w:color w:val="auto"/>
              </w:rPr>
            </w:pPr>
          </w:p>
        </w:tc>
        <w:tc>
          <w:tcPr>
            <w:tcW w:w="600" w:type="dxa"/>
            <w:vAlign w:val="bottom"/>
            <w:tcBorders>
              <w:right w:val="single" w:sz="8" w:color="auto"/>
            </w:tcBorders>
            <w:shd w:val="clear" w:color="auto" w:fill="F6F6F6"/>
          </w:tcPr>
          <w:p>
            <w:pPr>
              <w:spacing w:after="0"/>
              <w:rPr>
                <w:sz w:val="17"/>
                <w:szCs w:val="17"/>
                <w:color w:val="auto"/>
              </w:rPr>
            </w:pPr>
          </w:p>
        </w:tc>
        <w:tc>
          <w:tcPr>
            <w:tcW w:w="560" w:type="dxa"/>
            <w:vAlign w:val="bottom"/>
            <w:shd w:val="clear" w:color="auto" w:fill="F6F6F6"/>
          </w:tcPr>
          <w:p>
            <w:pPr>
              <w:spacing w:after="0"/>
              <w:rPr>
                <w:sz w:val="17"/>
                <w:szCs w:val="17"/>
                <w:color w:val="auto"/>
              </w:rPr>
            </w:pPr>
          </w:p>
        </w:tc>
        <w:tc>
          <w:tcPr>
            <w:tcW w:w="1260" w:type="dxa"/>
            <w:vAlign w:val="bottom"/>
            <w:shd w:val="clear" w:color="auto" w:fill="F5F5F5"/>
          </w:tcPr>
          <w:p>
            <w:pPr>
              <w:spacing w:after="0"/>
              <w:rPr>
                <w:sz w:val="17"/>
                <w:szCs w:val="17"/>
                <w:color w:val="auto"/>
              </w:rPr>
            </w:pPr>
          </w:p>
        </w:tc>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860" w:type="dxa"/>
            <w:vAlign w:val="bottom"/>
            <w:shd w:val="clear" w:color="auto" w:fill="F6F6F6"/>
          </w:tcPr>
          <w:p>
            <w:pPr>
              <w:spacing w:after="0"/>
              <w:rPr>
                <w:sz w:val="23"/>
                <w:szCs w:val="23"/>
                <w:color w:val="auto"/>
              </w:rPr>
            </w:pPr>
          </w:p>
        </w:tc>
        <w:tc>
          <w:tcPr>
            <w:tcW w:w="600" w:type="dxa"/>
            <w:vAlign w:val="bottom"/>
            <w:tcBorders>
              <w:right w:val="single" w:sz="8" w:color="auto"/>
            </w:tcBorders>
            <w:shd w:val="clear" w:color="auto" w:fill="F6F6F6"/>
          </w:tcPr>
          <w:p>
            <w:pPr>
              <w:spacing w:after="0"/>
              <w:rPr>
                <w:sz w:val="23"/>
                <w:szCs w:val="23"/>
                <w:color w:val="auto"/>
              </w:rPr>
            </w:pPr>
          </w:p>
        </w:tc>
        <w:tc>
          <w:tcPr>
            <w:tcW w:w="560" w:type="dxa"/>
            <w:vAlign w:val="bottom"/>
            <w:shd w:val="clear" w:color="auto" w:fill="F6F6F6"/>
          </w:tcPr>
          <w:p>
            <w:pPr>
              <w:spacing w:after="0"/>
              <w:rPr>
                <w:sz w:val="23"/>
                <w:szCs w:val="23"/>
                <w:color w:val="auto"/>
              </w:rPr>
            </w:pPr>
          </w:p>
        </w:tc>
        <w:tc>
          <w:tcPr>
            <w:tcW w:w="1260" w:type="dxa"/>
            <w:vAlign w:val="bottom"/>
            <w:shd w:val="clear" w:color="auto" w:fill="F5F5F5"/>
          </w:tcPr>
          <w:p>
            <w:pPr>
              <w:spacing w:after="0"/>
              <w:rPr>
                <w:sz w:val="23"/>
                <w:szCs w:val="23"/>
                <w:color w:val="auto"/>
              </w:rPr>
            </w:pPr>
          </w:p>
        </w:tc>
        <w:tc>
          <w:tcPr>
            <w:tcW w:w="6440" w:type="dxa"/>
            <w:vAlign w:val="bottom"/>
            <w:shd w:val="clear" w:color="auto" w:fill="F6F6F6"/>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1860" w:type="dxa"/>
            <w:vAlign w:val="bottom"/>
            <w:shd w:val="clear" w:color="auto" w:fill="F6F6F6"/>
          </w:tcPr>
          <w:p>
            <w:pPr>
              <w:spacing w:after="0"/>
              <w:rPr>
                <w:sz w:val="24"/>
                <w:szCs w:val="24"/>
                <w:color w:val="auto"/>
              </w:rPr>
            </w:pPr>
          </w:p>
        </w:tc>
        <w:tc>
          <w:tcPr>
            <w:tcW w:w="600" w:type="dxa"/>
            <w:vAlign w:val="bottom"/>
            <w:tcBorders>
              <w:right w:val="single" w:sz="8" w:color="F6F6F6"/>
            </w:tcBorders>
            <w:shd w:val="clear" w:color="auto" w:fill="F6F6F6"/>
          </w:tcPr>
          <w:p>
            <w:pPr>
              <w:spacing w:after="0"/>
              <w:rPr>
                <w:sz w:val="24"/>
                <w:szCs w:val="24"/>
                <w:color w:val="auto"/>
              </w:rPr>
            </w:pPr>
          </w:p>
        </w:tc>
        <w:tc>
          <w:tcPr>
            <w:tcW w:w="560" w:type="dxa"/>
            <w:vAlign w:val="bottom"/>
            <w:shd w:val="clear" w:color="auto" w:fill="F6F6F6"/>
          </w:tcPr>
          <w:p>
            <w:pPr>
              <w:spacing w:after="0"/>
              <w:rPr>
                <w:sz w:val="24"/>
                <w:szCs w:val="24"/>
                <w:color w:val="auto"/>
              </w:rPr>
            </w:pPr>
          </w:p>
        </w:tc>
        <w:tc>
          <w:tcPr>
            <w:tcW w:w="1260" w:type="dxa"/>
            <w:vAlign w:val="bottom"/>
            <w:shd w:val="clear" w:color="auto" w:fill="F5F5F5"/>
          </w:tcPr>
          <w:p>
            <w:pPr>
              <w:spacing w:after="0"/>
              <w:rPr>
                <w:sz w:val="24"/>
                <w:szCs w:val="24"/>
                <w:color w:val="auto"/>
              </w:rPr>
            </w:pPr>
          </w:p>
        </w:tc>
        <w:tc>
          <w:tcPr>
            <w:tcW w:w="6440" w:type="dxa"/>
            <w:vAlign w:val="bottom"/>
            <w:shd w:val="clear" w:color="auto" w:fill="F6F6F6"/>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-4731385</wp:posOffset>
            </wp:positionV>
            <wp:extent cx="163195" cy="5254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3195" cy="525462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-4714240</wp:posOffset>
            </wp:positionV>
            <wp:extent cx="617220" cy="1174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 cy="117411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-3274060</wp:posOffset>
            </wp:positionV>
            <wp:extent cx="617220" cy="539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 cy="53975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-2468245</wp:posOffset>
            </wp:positionV>
            <wp:extent cx="617220" cy="540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7220" cy="54038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-1662430</wp:posOffset>
            </wp:positionV>
            <wp:extent cx="617220" cy="1174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7220" cy="11747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-222250</wp:posOffset>
            </wp:positionV>
            <wp:extent cx="94615"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43180"/>
                    </a:xfrm>
                    <a:prstGeom prst="rect">
                      <a:avLst/>
                    </a:prstGeom>
                    <a:noFill/>
                  </pic:spPr>
                </pic:pic>
              </a:graphicData>
            </a:graphic>
          </wp:anchor>
        </w:drawing>
      </w:r>
    </w:p>
    <w:p>
      <w:pPr>
        <w:ind w:left="1100" w:hanging="577"/>
        <w:spacing w:after="0" w:line="183" w:lineRule="auto"/>
        <w:tabs>
          <w:tab w:leader="none" w:pos="1100" w:val="left"/>
        </w:tabs>
        <w:numPr>
          <w:ilvl w:val="0"/>
          <w:numId w:val="23"/>
        </w:numPr>
        <w:rPr>
          <w:rFonts w:ascii="Arial" w:cs="Arial" w:eastAsia="Arial" w:hAnsi="Arial"/>
          <w:sz w:val="49"/>
          <w:szCs w:val="49"/>
          <w:b w:val="1"/>
          <w:bCs w:val="1"/>
          <w:color w:val="1A3FD6"/>
        </w:rPr>
      </w:pPr>
      <w:r>
        <w:rPr>
          <w:rFonts w:ascii="Arial" w:cs="Arial" w:eastAsia="Arial" w:hAnsi="Arial"/>
          <w:sz w:val="16"/>
          <w:szCs w:val="16"/>
          <w:color w:val="auto"/>
        </w:rPr>
        <w:t>New Independent Directors Appointed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147320</wp:posOffset>
            </wp:positionV>
            <wp:extent cx="6814820" cy="1791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4820" cy="179133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Board Member Independence</w:t>
      </w:r>
    </w:p>
    <w:p>
      <w:pPr>
        <w:spacing w:after="0" w:line="108" w:lineRule="exact"/>
        <w:rPr>
          <w:sz w:val="20"/>
          <w:szCs w:val="20"/>
          <w:color w:val="auto"/>
        </w:rPr>
      </w:pPr>
    </w:p>
    <w:p>
      <w:pPr>
        <w:ind w:left="20" w:right="140"/>
        <w:spacing w:after="0" w:line="278" w:lineRule="auto"/>
        <w:rPr>
          <w:sz w:val="20"/>
          <w:szCs w:val="20"/>
          <w:color w:val="auto"/>
        </w:rPr>
      </w:pPr>
      <w:r>
        <w:rPr>
          <w:rFonts w:ascii="Arial" w:cs="Arial" w:eastAsia="Arial" w:hAnsi="Arial"/>
          <w:sz w:val="14"/>
          <w:szCs w:val="14"/>
          <w:color w:val="auto"/>
        </w:rPr>
        <w:t>Other than Mr. Fernandez, our CEO, each of our director nominees has been determined by the Board to be an “independent director” under the rules of the NYSE, which require that the Board affirmatively determines that the director has</w:t>
      </w:r>
    </w:p>
    <w:p>
      <w:pPr>
        <w:ind w:left="20" w:right="100"/>
        <w:spacing w:after="0" w:line="295" w:lineRule="auto"/>
        <w:rPr>
          <w:sz w:val="20"/>
          <w:szCs w:val="20"/>
          <w:color w:val="auto"/>
        </w:rPr>
      </w:pPr>
      <w:r>
        <w:rPr>
          <w:rFonts w:ascii="Arial" w:cs="Arial" w:eastAsia="Arial" w:hAnsi="Arial"/>
          <w:sz w:val="14"/>
          <w:szCs w:val="14"/>
          <w:color w:val="auto"/>
        </w:rPr>
        <w:t>no material relationship with the Company (either directly or as a partner, shareholder or officer of an organization that has a relationship with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Departures</w:t>
      </w:r>
    </w:p>
    <w:p>
      <w:pPr>
        <w:spacing w:after="0" w:line="108" w:lineRule="exact"/>
        <w:rPr>
          <w:sz w:val="20"/>
          <w:szCs w:val="20"/>
          <w:color w:val="auto"/>
        </w:rPr>
      </w:pPr>
    </w:p>
    <w:p>
      <w:pPr>
        <w:ind w:right="30"/>
        <w:spacing w:after="0" w:line="289" w:lineRule="auto"/>
        <w:rPr>
          <w:sz w:val="20"/>
          <w:szCs w:val="20"/>
          <w:color w:val="auto"/>
        </w:rPr>
      </w:pPr>
      <w:r>
        <w:rPr>
          <w:rFonts w:ascii="Arial" w:cs="Arial" w:eastAsia="Arial" w:hAnsi="Arial"/>
          <w:sz w:val="14"/>
          <w:szCs w:val="14"/>
          <w:color w:val="auto"/>
        </w:rPr>
        <w:t>Wayne Edmunds, who joined the Board in 2015, retired at the 2025 annual meeting of shareholders after nearly 10 years of service, including as Chair of the Audit Committee.</w:t>
      </w:r>
    </w:p>
    <w:p>
      <w:pPr>
        <w:spacing w:after="0" w:line="116" w:lineRule="exact"/>
        <w:rPr>
          <w:sz w:val="20"/>
          <w:szCs w:val="20"/>
          <w:color w:val="auto"/>
        </w:rPr>
      </w:pPr>
    </w:p>
    <w:p>
      <w:pPr>
        <w:ind w:right="130"/>
        <w:spacing w:after="0" w:line="289" w:lineRule="auto"/>
        <w:rPr>
          <w:sz w:val="20"/>
          <w:szCs w:val="20"/>
          <w:color w:val="auto"/>
        </w:rPr>
      </w:pPr>
      <w:r>
        <w:rPr>
          <w:rFonts w:ascii="Arial" w:cs="Arial" w:eastAsia="Arial" w:hAnsi="Arial"/>
          <w:sz w:val="14"/>
          <w:szCs w:val="14"/>
          <w:color w:val="auto"/>
        </w:rPr>
        <w:t>C.D. Baer Pettit, who joined the Board in 2023, ceased serving in his position as President and a director effective March 1, 2026, after more than 25 years in senior leadership roles at MSCI.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auto"/>
        </w:rPr>
        <w:t>Committee Rotations</w:t>
      </w:r>
    </w:p>
    <w:p>
      <w:pPr>
        <w:spacing w:after="0" w:line="108" w:lineRule="exact"/>
        <w:rPr>
          <w:sz w:val="20"/>
          <w:szCs w:val="20"/>
          <w:color w:val="auto"/>
        </w:rPr>
      </w:pPr>
    </w:p>
    <w:p>
      <w:pPr>
        <w:ind w:left="10" w:right="80"/>
        <w:spacing w:after="0" w:line="289" w:lineRule="auto"/>
        <w:rPr>
          <w:sz w:val="20"/>
          <w:szCs w:val="20"/>
          <w:color w:val="auto"/>
        </w:rPr>
      </w:pPr>
      <w:r>
        <w:rPr>
          <w:rFonts w:ascii="Arial" w:cs="Arial" w:eastAsia="Arial" w:hAnsi="Arial"/>
          <w:sz w:val="14"/>
          <w:szCs w:val="14"/>
          <w:color w:val="auto"/>
        </w:rPr>
        <w:t>We periodically rotate committee assignments and committee chair positions. In 2025, we rotated committee assignments in light of director appointments:</w:t>
      </w:r>
    </w:p>
    <w:p>
      <w:pPr>
        <w:spacing w:after="0" w:line="116" w:lineRule="exact"/>
        <w:rPr>
          <w:sz w:val="20"/>
          <w:szCs w:val="20"/>
          <w:color w:val="auto"/>
        </w:rPr>
      </w:pPr>
    </w:p>
    <w:p>
      <w:pPr>
        <w:ind w:left="190" w:right="260" w:hanging="190"/>
        <w:spacing w:after="0" w:line="325" w:lineRule="auto"/>
        <w:tabs>
          <w:tab w:leader="none" w:pos="153" w:val="left"/>
        </w:tabs>
        <w:numPr>
          <w:ilvl w:val="0"/>
          <w:numId w:val="24"/>
        </w:numPr>
        <w:rPr>
          <w:rFonts w:ascii="Arial" w:cs="Arial" w:eastAsia="Arial" w:hAnsi="Arial"/>
          <w:sz w:val="14"/>
          <w:szCs w:val="14"/>
          <w:color w:val="00A798"/>
        </w:rPr>
      </w:pPr>
      <w:r>
        <w:rPr>
          <w:rFonts w:ascii="Arial" w:cs="Arial" w:eastAsia="Arial" w:hAnsi="Arial"/>
          <w:sz w:val="14"/>
          <w:szCs w:val="14"/>
          <w:color w:val="auto"/>
        </w:rPr>
        <w:t>Robin L. Matlock appointed to Compensation Committee (from Audit).</w:t>
      </w:r>
    </w:p>
    <w:p>
      <w:pPr>
        <w:spacing w:after="0" w:line="9" w:lineRule="exact"/>
        <w:rPr>
          <w:rFonts w:ascii="Arial" w:cs="Arial" w:eastAsia="Arial" w:hAnsi="Arial"/>
          <w:sz w:val="14"/>
          <w:szCs w:val="14"/>
          <w:color w:val="00A798"/>
        </w:rPr>
      </w:pPr>
    </w:p>
    <w:p>
      <w:pPr>
        <w:ind w:left="190" w:right="100" w:hanging="190"/>
        <w:spacing w:after="0" w:line="325" w:lineRule="auto"/>
        <w:tabs>
          <w:tab w:leader="none" w:pos="153" w:val="left"/>
        </w:tabs>
        <w:numPr>
          <w:ilvl w:val="0"/>
          <w:numId w:val="24"/>
        </w:numPr>
        <w:rPr>
          <w:rFonts w:ascii="Arial" w:cs="Arial" w:eastAsia="Arial" w:hAnsi="Arial"/>
          <w:sz w:val="14"/>
          <w:szCs w:val="14"/>
          <w:color w:val="00A798"/>
        </w:rPr>
      </w:pPr>
      <w:r>
        <w:rPr>
          <w:rFonts w:ascii="Arial" w:cs="Arial" w:eastAsia="Arial" w:hAnsi="Arial"/>
          <w:sz w:val="14"/>
          <w:szCs w:val="14"/>
          <w:color w:val="auto"/>
        </w:rPr>
        <w:t>Michelle Seitz appointed to Strategy Committee (from Audit).</w:t>
      </w:r>
    </w:p>
    <w:p>
      <w:pPr>
        <w:spacing w:after="0" w:line="9" w:lineRule="exact"/>
        <w:rPr>
          <w:rFonts w:ascii="Arial" w:cs="Arial" w:eastAsia="Arial" w:hAnsi="Arial"/>
          <w:sz w:val="14"/>
          <w:szCs w:val="14"/>
          <w:color w:val="00A798"/>
        </w:rPr>
      </w:pPr>
    </w:p>
    <w:p>
      <w:pPr>
        <w:ind w:left="150" w:hanging="150"/>
        <w:spacing w:after="0"/>
        <w:tabs>
          <w:tab w:leader="none" w:pos="150" w:val="left"/>
        </w:tabs>
        <w:numPr>
          <w:ilvl w:val="0"/>
          <w:numId w:val="24"/>
        </w:numPr>
        <w:rPr>
          <w:rFonts w:ascii="Arial" w:cs="Arial" w:eastAsia="Arial" w:hAnsi="Arial"/>
          <w:sz w:val="14"/>
          <w:szCs w:val="14"/>
          <w:color w:val="00A798"/>
        </w:rPr>
      </w:pPr>
      <w:r>
        <w:rPr>
          <w:rFonts w:ascii="Arial" w:cs="Arial" w:eastAsia="Arial" w:hAnsi="Arial"/>
          <w:sz w:val="14"/>
          <w:szCs w:val="14"/>
          <w:color w:val="auto"/>
        </w:rPr>
        <w:t>June Yang appointed to Audit Committee.</w:t>
      </w:r>
    </w:p>
    <w:p>
      <w:pPr>
        <w:spacing w:after="0" w:line="200" w:lineRule="exact"/>
        <w:rPr>
          <w:sz w:val="20"/>
          <w:szCs w:val="20"/>
          <w:color w:val="auto"/>
        </w:rPr>
      </w:pPr>
    </w:p>
    <w:p>
      <w:pPr>
        <w:sectPr>
          <w:pgSz w:w="11900" w:h="16838" w:orient="portrait"/>
          <w:cols w:equalWidth="0" w:num="3">
            <w:col w:w="3260" w:space="720"/>
            <w:col w:w="3250" w:space="720"/>
            <w:col w:w="3290"/>
          </w:cols>
          <w:pgMar w:left="320" w:top="130"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9000"/>
        <w:spacing w:after="0"/>
        <w:tabs>
          <w:tab w:leader="none" w:pos="1104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Re-Nomination</w:t>
      </w:r>
    </w:p>
    <w:p>
      <w:pPr>
        <w:spacing w:after="0" w:line="119"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The Governance Committee also assesses the performance of current directors in its evaluation of current directors for re-nomination to the Board or re-appointment to any Board committees.</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New Director Search Process</w:t>
      </w:r>
    </w:p>
    <w:p>
      <w:pPr>
        <w:spacing w:after="0" w:line="11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are committed to ongoing thoughtful refreshment, with two directors added in 2024, expanding the Board’s expertise in AI, cyber and asset-management depth. Director appointments are the result of the search process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5203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52031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Director</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Recruitment</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Process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Identification</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and Interview</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of Candidates</w:t>
      </w: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Board</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Decision and</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499870" cy="7886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Active Board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right="60"/>
        <w:spacing w:after="0" w:line="303" w:lineRule="auto"/>
        <w:rPr>
          <w:sz w:val="20"/>
          <w:szCs w:val="20"/>
          <w:color w:val="auto"/>
        </w:rPr>
      </w:pPr>
      <w:r>
        <w:rPr>
          <w:rFonts w:ascii="Arial" w:cs="Arial" w:eastAsia="Arial" w:hAnsi="Arial"/>
          <w:sz w:val="14"/>
          <w:szCs w:val="14"/>
          <w:color w:val="auto"/>
        </w:rPr>
        <w:t>The Governance Committee, with the feedback of the full Board, identifies key skills that would best serve the future needs of the Board and the Company, while helping the Board to execute on its current strategic priorities. This includes considering feedback from the Board’s annual self-evaluation process.</w:t>
      </w:r>
    </w:p>
    <w:p>
      <w:pPr>
        <w:spacing w:after="0" w:line="92" w:lineRule="exact"/>
        <w:rPr>
          <w:sz w:val="20"/>
          <w:szCs w:val="20"/>
          <w:color w:val="auto"/>
        </w:rPr>
      </w:pPr>
    </w:p>
    <w:p>
      <w:pPr>
        <w:ind w:right="300"/>
        <w:spacing w:after="0" w:line="325" w:lineRule="auto"/>
        <w:rPr>
          <w:sz w:val="20"/>
          <w:szCs w:val="20"/>
          <w:color w:val="auto"/>
        </w:rPr>
      </w:pPr>
      <w:r>
        <w:rPr>
          <w:rFonts w:ascii="Arial" w:cs="Arial" w:eastAsia="Arial" w:hAnsi="Arial"/>
          <w:sz w:val="14"/>
          <w:szCs w:val="14"/>
          <w:color w:val="auto"/>
        </w:rPr>
        <w:t>The Governance Committee may retain a professional search firm to identify and evaluate director candidates, prioritizing relevant experience. This ensures a comprehensive search and broad pool of potential candidates, with input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114935</wp:posOffset>
            </wp:positionV>
            <wp:extent cx="56318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32" w:lineRule="exact"/>
        <w:rPr>
          <w:sz w:val="20"/>
          <w:szCs w:val="20"/>
          <w:color w:val="auto"/>
        </w:rPr>
      </w:pPr>
    </w:p>
    <w:p>
      <w:pPr>
        <w:ind w:right="200"/>
        <w:spacing w:after="0" w:line="325" w:lineRule="auto"/>
        <w:rPr>
          <w:sz w:val="20"/>
          <w:szCs w:val="20"/>
          <w:color w:val="auto"/>
        </w:rPr>
      </w:pPr>
      <w:r>
        <w:rPr>
          <w:rFonts w:ascii="Arial" w:cs="Arial" w:eastAsia="Arial" w:hAnsi="Arial"/>
          <w:sz w:val="14"/>
          <w:szCs w:val="14"/>
          <w:color w:val="auto"/>
        </w:rPr>
        <w:t>The Governance Committee identifies a short list of high-potential candidates, and the search firm conducts an initial assessment of these candidates’ skills, experience, background and availability to commit to Board service.</w:t>
      </w:r>
    </w:p>
    <w:p>
      <w:pPr>
        <w:spacing w:after="0" w:line="90" w:lineRule="exact"/>
        <w:rPr>
          <w:sz w:val="20"/>
          <w:szCs w:val="20"/>
          <w:color w:val="auto"/>
        </w:rPr>
      </w:pPr>
    </w:p>
    <w:p>
      <w:pPr>
        <w:ind w:right="420"/>
        <w:spacing w:after="0" w:line="305" w:lineRule="auto"/>
        <w:rPr>
          <w:sz w:val="20"/>
          <w:szCs w:val="20"/>
          <w:color w:val="auto"/>
        </w:rPr>
      </w:pPr>
      <w:r>
        <w:rPr>
          <w:rFonts w:ascii="Arial" w:cs="Arial" w:eastAsia="Arial" w:hAnsi="Arial"/>
          <w:sz w:val="14"/>
          <w:szCs w:val="14"/>
          <w:color w:val="auto"/>
        </w:rPr>
        <w:t>The Chair of the Governance Committee meets with a number of candidates. Certain candidates also meet with members of the Governance Committee, the Chairman and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123190</wp:posOffset>
            </wp:positionV>
            <wp:extent cx="56318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46"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The Governance Committee presents qualified candidates to the Board. In reviewing the potential candidates, the Board takes into account the qualifications discussed in “Director Qualifications” of this Proxy Statement and in MSCI’s Corporate Governance Policies. Upon completion of its assessment, the Governance Committee reports its recommendations for nominations to the</w:t>
      </w:r>
    </w:p>
    <w:p>
      <w:pPr>
        <w:spacing w:after="0" w:line="1" w:lineRule="exact"/>
        <w:rPr>
          <w:sz w:val="20"/>
          <w:szCs w:val="20"/>
          <w:color w:val="auto"/>
        </w:rPr>
      </w:pPr>
    </w:p>
    <w:p>
      <w:pPr>
        <w:ind w:right="480"/>
        <w:spacing w:after="0" w:line="323" w:lineRule="auto"/>
        <w:rPr>
          <w:sz w:val="20"/>
          <w:szCs w:val="20"/>
          <w:color w:val="auto"/>
        </w:rPr>
      </w:pPr>
      <w:r>
        <w:rPr>
          <w:rFonts w:ascii="Arial" w:cs="Arial" w:eastAsia="Arial" w:hAnsi="Arial"/>
          <w:sz w:val="14"/>
          <w:szCs w:val="14"/>
          <w:color w:val="auto"/>
        </w:rPr>
        <w:t>full Board. Following discussion of a candidate’s qualifications and consideration of the independence of such candidate, where applicable, the Board formally appoints the candidate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132715</wp:posOffset>
            </wp:positionV>
            <wp:extent cx="56318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61" w:lineRule="exact"/>
        <w:rPr>
          <w:sz w:val="20"/>
          <w:szCs w:val="20"/>
          <w:color w:val="auto"/>
        </w:rPr>
      </w:pPr>
    </w:p>
    <w:p>
      <w:pPr>
        <w:ind w:right="200"/>
        <w:spacing w:after="0" w:line="325" w:lineRule="auto"/>
        <w:rPr>
          <w:sz w:val="20"/>
          <w:szCs w:val="20"/>
          <w:color w:val="auto"/>
        </w:rPr>
      </w:pPr>
      <w:r>
        <w:rPr>
          <w:rFonts w:ascii="Arial" w:cs="Arial" w:eastAsia="Arial" w:hAnsi="Arial"/>
          <w:sz w:val="14"/>
          <w:szCs w:val="14"/>
          <w:color w:val="auto"/>
        </w:rPr>
        <w:t>Our Board has shown an ongoing commitment to Board refreshment and to having highly qualified, independent perspectives in the boardroom. Six of the Company’s director nominees have been added to the Board since the beginning of 2020.</w:t>
      </w:r>
    </w:p>
    <w:p>
      <w:pPr>
        <w:spacing w:after="0" w:line="90"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color w:val="auto"/>
        </w:rPr>
        <w:t>Our Board blends industry-specific experience in investment management and global markets with expertise in key strategic areas such as technology, marketing and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149225</wp:posOffset>
            </wp:positionV>
            <wp:extent cx="56318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8560"/>
          </w:cols>
          <w:pgMar w:left="320" w:top="130" w:right="37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Access</w:t>
      </w:r>
    </w:p>
    <w:p>
      <w:pPr>
        <w:spacing w:after="0" w:line="11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Bylaws permit a shareholder, or a group of up to 20 shareholders, owning at least three percent of the Company’s outstanding common stock continuously for at least three years to nominate and include in the Company’s annual meeting proxy materials director nominees constituting the greater of two directors or twenty percent of the total number of directors on the Board, provided that such shareholder(s) and nominee(s) satisfy the requirements specified in the Bylaws.</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Right to Call a Special Meeting</w:t>
      </w:r>
    </w:p>
    <w:p>
      <w:pPr>
        <w:spacing w:after="0" w:line="119"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Our Bylaws permit shareholders of record or beneficial owners holding not less than 15% of our outstanding shares continuously for at least one year the right to call a special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390525</wp:posOffset>
            </wp:positionV>
            <wp:extent cx="55689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1" w:name="page32"/>
    <w:bookmarkEnd w:id="31"/>
    <w:p>
      <w:pPr>
        <w:ind w:left="9780"/>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Culture</w:t>
      </w:r>
    </w:p>
    <w:p>
      <w:pPr>
        <w:spacing w:after="0" w:line="1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Board has established a boardroom dynamic that supports informed decision-making and oversight. One of the hallmarks of the Board’s culture is meaningful and robust discussion, where views are thoroughly debated and varied perspectives and independent thinking are encouraged and welcomed. Directors consistently ask probing questions of both management and each other so that decisions reflect thorough deliberation. The independent directors meet regularly in executive session without management present, and individual directors have direct access to senior leaders across the organization. Each member of the Board is committed to promoting shareholder interests, and members of our Board regularly engage directly with our shareholders.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2460" w:type="dxa"/>
            <w:vAlign w:val="bottom"/>
            <w:shd w:val="clear" w:color="auto" w:fill="1A3FD6"/>
          </w:tcPr>
          <w:p>
            <w:pPr>
              <w:jc w:val="center"/>
              <w:ind w:left="130"/>
              <w:spacing w:after="0"/>
              <w:rPr>
                <w:sz w:val="20"/>
                <w:szCs w:val="20"/>
                <w:color w:val="auto"/>
              </w:rPr>
            </w:pPr>
            <w:r>
              <w:rPr>
                <w:rFonts w:ascii="Arial" w:cs="Arial" w:eastAsia="Arial" w:hAnsi="Arial"/>
                <w:sz w:val="22"/>
                <w:szCs w:val="22"/>
                <w:b w:val="1"/>
                <w:bCs w:val="1"/>
                <w:color w:val="FFFFFF"/>
                <w:w w:val="97"/>
              </w:rPr>
              <w:t>6</w:t>
            </w:r>
          </w:p>
        </w:tc>
        <w:tc>
          <w:tcPr>
            <w:tcW w:w="3140" w:type="dxa"/>
            <w:vAlign w:val="bottom"/>
            <w:gridSpan w:val="3"/>
            <w:shd w:val="clear" w:color="auto" w:fill="1A3FD6"/>
          </w:tcPr>
          <w:p>
            <w:pPr>
              <w:jc w:val="center"/>
              <w:ind w:left="206"/>
              <w:spacing w:after="0"/>
              <w:rPr>
                <w:sz w:val="20"/>
                <w:szCs w:val="20"/>
                <w:color w:val="auto"/>
              </w:rPr>
            </w:pPr>
            <w:r>
              <w:rPr>
                <w:rFonts w:ascii="Arial" w:cs="Arial" w:eastAsia="Arial" w:hAnsi="Arial"/>
                <w:sz w:val="22"/>
                <w:szCs w:val="22"/>
                <w:b w:val="1"/>
                <w:bCs w:val="1"/>
                <w:color w:val="FFFFFF"/>
                <w:w w:val="96"/>
              </w:rPr>
              <w:t>Balanced Tenure</w:t>
            </w:r>
          </w:p>
        </w:tc>
        <w:tc>
          <w:tcPr>
            <w:tcW w:w="2840" w:type="dxa"/>
            <w:vAlign w:val="bottom"/>
            <w:gridSpan w:val="3"/>
            <w:shd w:val="clear" w:color="auto" w:fill="1A3FD6"/>
          </w:tcPr>
          <w:p>
            <w:pPr>
              <w:jc w:val="center"/>
              <w:ind w:left="26"/>
              <w:spacing w:after="0"/>
              <w:rPr>
                <w:sz w:val="20"/>
                <w:szCs w:val="20"/>
                <w:color w:val="auto"/>
              </w:rPr>
            </w:pPr>
            <w:r>
              <w:rPr>
                <w:rFonts w:ascii="Arial" w:cs="Arial" w:eastAsia="Arial" w:hAnsi="Arial"/>
                <w:sz w:val="22"/>
                <w:szCs w:val="22"/>
                <w:b w:val="1"/>
                <w:bCs w:val="1"/>
                <w:color w:val="FFFFFF"/>
                <w:w w:val="97"/>
              </w:rPr>
              <w:t>Independent Lead</w:t>
            </w:r>
          </w:p>
        </w:tc>
        <w:tc>
          <w:tcPr>
            <w:tcW w:w="2800" w:type="dxa"/>
            <w:vAlign w:val="bottom"/>
            <w:gridSpan w:val="2"/>
            <w:shd w:val="clear" w:color="auto" w:fill="1A3FD6"/>
          </w:tcPr>
          <w:p>
            <w:pPr>
              <w:jc w:val="center"/>
              <w:spacing w:after="0"/>
              <w:rPr>
                <w:sz w:val="20"/>
                <w:szCs w:val="20"/>
                <w:color w:val="auto"/>
              </w:rPr>
            </w:pPr>
            <w:r>
              <w:rPr>
                <w:rFonts w:ascii="Arial" w:cs="Arial" w:eastAsia="Arial" w:hAnsi="Arial"/>
                <w:sz w:val="22"/>
                <w:szCs w:val="22"/>
                <w:b w:val="1"/>
                <w:bCs w:val="1"/>
                <w:color w:val="FFFFFF"/>
                <w:w w:val="96"/>
              </w:rPr>
              <w:t>Annual</w:t>
            </w:r>
          </w:p>
        </w:tc>
        <w:tc>
          <w:tcPr>
            <w:tcW w:w="0" w:type="dxa"/>
            <w:vAlign w:val="bottom"/>
          </w:tcPr>
          <w:p>
            <w:pPr>
              <w:spacing w:after="0"/>
              <w:rPr>
                <w:sz w:val="1"/>
                <w:szCs w:val="1"/>
                <w:color w:val="auto"/>
              </w:rPr>
            </w:pPr>
          </w:p>
        </w:tc>
      </w:tr>
      <w:tr>
        <w:trPr>
          <w:trHeight w:val="217"/>
        </w:trPr>
        <w:tc>
          <w:tcPr>
            <w:tcW w:w="2460" w:type="dxa"/>
            <w:vAlign w:val="bottom"/>
            <w:shd w:val="clear" w:color="auto" w:fill="1A3FD6"/>
          </w:tcPr>
          <w:p>
            <w:pPr>
              <w:jc w:val="center"/>
              <w:ind w:left="130"/>
              <w:spacing w:after="0"/>
              <w:rPr>
                <w:sz w:val="20"/>
                <w:szCs w:val="20"/>
                <w:color w:val="auto"/>
              </w:rPr>
            </w:pPr>
            <w:r>
              <w:rPr>
                <w:rFonts w:ascii="Arial" w:cs="Arial" w:eastAsia="Arial" w:hAnsi="Arial"/>
                <w:sz w:val="16"/>
                <w:szCs w:val="16"/>
                <w:color w:val="FFFFFF"/>
              </w:rPr>
              <w:t>Independent Directors</w:t>
            </w:r>
          </w:p>
        </w:tc>
        <w:tc>
          <w:tcPr>
            <w:tcW w:w="1080" w:type="dxa"/>
            <w:vAlign w:val="bottom"/>
            <w:shd w:val="clear" w:color="auto" w:fill="1A3FD6"/>
          </w:tcPr>
          <w:p>
            <w:pPr>
              <w:spacing w:after="0"/>
              <w:rPr>
                <w:sz w:val="18"/>
                <w:szCs w:val="18"/>
                <w:color w:val="auto"/>
              </w:rPr>
            </w:pPr>
          </w:p>
        </w:tc>
        <w:tc>
          <w:tcPr>
            <w:tcW w:w="2060" w:type="dxa"/>
            <w:vAlign w:val="bottom"/>
            <w:gridSpan w:val="2"/>
            <w:shd w:val="clear" w:color="auto" w:fill="1A3FD6"/>
          </w:tcPr>
          <w:p>
            <w:pPr>
              <w:jc w:val="center"/>
              <w:ind w:right="760"/>
              <w:spacing w:after="0"/>
              <w:rPr>
                <w:sz w:val="20"/>
                <w:szCs w:val="20"/>
                <w:color w:val="auto"/>
              </w:rPr>
            </w:pPr>
            <w:r>
              <w:rPr>
                <w:rFonts w:ascii="Arial" w:cs="Arial" w:eastAsia="Arial" w:hAnsi="Arial"/>
                <w:sz w:val="16"/>
                <w:szCs w:val="16"/>
                <w:color w:val="FFFFFF"/>
              </w:rPr>
              <w:t>4 directors: &lt;5 yrs</w:t>
            </w:r>
          </w:p>
        </w:tc>
        <w:tc>
          <w:tcPr>
            <w:tcW w:w="2840" w:type="dxa"/>
            <w:vAlign w:val="bottom"/>
            <w:gridSpan w:val="3"/>
            <w:shd w:val="clear" w:color="auto" w:fill="1A3FD6"/>
          </w:tcPr>
          <w:p>
            <w:pPr>
              <w:jc w:val="center"/>
              <w:ind w:left="6"/>
              <w:spacing w:after="0" w:line="218" w:lineRule="exact"/>
              <w:rPr>
                <w:sz w:val="20"/>
                <w:szCs w:val="20"/>
                <w:color w:val="auto"/>
              </w:rPr>
            </w:pPr>
            <w:r>
              <w:rPr>
                <w:rFonts w:ascii="Arial" w:cs="Arial" w:eastAsia="Arial" w:hAnsi="Arial"/>
                <w:sz w:val="22"/>
                <w:szCs w:val="22"/>
                <w:b w:val="1"/>
                <w:bCs w:val="1"/>
                <w:color w:val="FFFFFF"/>
                <w:w w:val="97"/>
              </w:rPr>
              <w:t>Director</w:t>
            </w:r>
          </w:p>
        </w:tc>
        <w:tc>
          <w:tcPr>
            <w:tcW w:w="2800" w:type="dxa"/>
            <w:vAlign w:val="bottom"/>
            <w:gridSpan w:val="2"/>
            <w:shd w:val="clear" w:color="auto" w:fill="1A3FD6"/>
          </w:tcPr>
          <w:p>
            <w:pPr>
              <w:jc w:val="center"/>
              <w:spacing w:after="0"/>
              <w:rPr>
                <w:sz w:val="20"/>
                <w:szCs w:val="20"/>
                <w:color w:val="auto"/>
              </w:rPr>
            </w:pPr>
            <w:r>
              <w:rPr>
                <w:rFonts w:ascii="Arial" w:cs="Arial" w:eastAsia="Arial" w:hAnsi="Arial"/>
                <w:sz w:val="16"/>
                <w:szCs w:val="16"/>
                <w:color w:val="FFFFFF"/>
              </w:rPr>
              <w:t>Board and Committee Self-</w:t>
            </w:r>
          </w:p>
        </w:tc>
        <w:tc>
          <w:tcPr>
            <w:tcW w:w="0" w:type="dxa"/>
            <w:vAlign w:val="bottom"/>
          </w:tcPr>
          <w:p>
            <w:pPr>
              <w:spacing w:after="0"/>
              <w:rPr>
                <w:sz w:val="1"/>
                <w:szCs w:val="1"/>
                <w:color w:val="auto"/>
              </w:rPr>
            </w:pPr>
          </w:p>
        </w:tc>
      </w:tr>
      <w:tr>
        <w:trPr>
          <w:trHeight w:val="215"/>
        </w:trPr>
        <w:tc>
          <w:tcPr>
            <w:tcW w:w="2460" w:type="dxa"/>
            <w:vAlign w:val="bottom"/>
            <w:shd w:val="clear" w:color="auto" w:fill="1A3FD6"/>
          </w:tcPr>
          <w:p>
            <w:pPr>
              <w:jc w:val="center"/>
              <w:ind w:left="150"/>
              <w:spacing w:after="0"/>
              <w:rPr>
                <w:sz w:val="20"/>
                <w:szCs w:val="20"/>
                <w:color w:val="auto"/>
              </w:rPr>
            </w:pPr>
            <w:r>
              <w:rPr>
                <w:rFonts w:ascii="Arial" w:cs="Arial" w:eastAsia="Arial" w:hAnsi="Arial"/>
                <w:sz w:val="16"/>
                <w:szCs w:val="16"/>
                <w:color w:val="FFFFFF"/>
              </w:rPr>
              <w:t>Appointed Since 2020</w:t>
            </w:r>
          </w:p>
        </w:tc>
        <w:tc>
          <w:tcPr>
            <w:tcW w:w="3140" w:type="dxa"/>
            <w:vAlign w:val="bottom"/>
            <w:gridSpan w:val="3"/>
            <w:shd w:val="clear" w:color="auto" w:fill="1A3FD6"/>
          </w:tcPr>
          <w:p>
            <w:pPr>
              <w:jc w:val="center"/>
              <w:ind w:left="226"/>
              <w:spacing w:after="0"/>
              <w:rPr>
                <w:sz w:val="20"/>
                <w:szCs w:val="20"/>
                <w:color w:val="auto"/>
              </w:rPr>
            </w:pPr>
            <w:r>
              <w:rPr>
                <w:rFonts w:ascii="Arial" w:cs="Arial" w:eastAsia="Arial" w:hAnsi="Arial"/>
                <w:sz w:val="16"/>
                <w:szCs w:val="16"/>
                <w:color w:val="FFFFFF"/>
              </w:rPr>
              <w:t>3 directors: 5-9 yrs</w:t>
            </w:r>
          </w:p>
        </w:tc>
        <w:tc>
          <w:tcPr>
            <w:tcW w:w="2840" w:type="dxa"/>
            <w:vAlign w:val="bottom"/>
            <w:gridSpan w:val="3"/>
            <w:vMerge w:val="restart"/>
            <w:shd w:val="clear" w:color="auto" w:fill="1A3FD6"/>
          </w:tcPr>
          <w:p>
            <w:pPr>
              <w:jc w:val="center"/>
              <w:ind w:left="26"/>
              <w:spacing w:after="0"/>
              <w:rPr>
                <w:sz w:val="20"/>
                <w:szCs w:val="20"/>
                <w:color w:val="auto"/>
              </w:rPr>
            </w:pPr>
            <w:r>
              <w:rPr>
                <w:rFonts w:ascii="Arial" w:cs="Arial" w:eastAsia="Arial" w:hAnsi="Arial"/>
                <w:sz w:val="16"/>
                <w:szCs w:val="16"/>
                <w:color w:val="FFFFFF"/>
              </w:rPr>
              <w:t>With a Robust Set of</w:t>
            </w:r>
          </w:p>
        </w:tc>
        <w:tc>
          <w:tcPr>
            <w:tcW w:w="2800" w:type="dxa"/>
            <w:vAlign w:val="bottom"/>
            <w:gridSpan w:val="2"/>
            <w:shd w:val="clear" w:color="auto" w:fill="1A3FD6"/>
          </w:tcPr>
          <w:p>
            <w:pPr>
              <w:jc w:val="center"/>
              <w:spacing w:after="0"/>
              <w:rPr>
                <w:sz w:val="20"/>
                <w:szCs w:val="20"/>
                <w:color w:val="auto"/>
              </w:rPr>
            </w:pPr>
            <w:r>
              <w:rPr>
                <w:rFonts w:ascii="Arial" w:cs="Arial" w:eastAsia="Arial" w:hAnsi="Arial"/>
                <w:sz w:val="16"/>
                <w:szCs w:val="16"/>
                <w:color w:val="FFFFFF"/>
              </w:rPr>
              <w:t>Assessment</w:t>
            </w:r>
          </w:p>
        </w:tc>
        <w:tc>
          <w:tcPr>
            <w:tcW w:w="0" w:type="dxa"/>
            <w:vAlign w:val="bottom"/>
          </w:tcPr>
          <w:p>
            <w:pPr>
              <w:spacing w:after="0"/>
              <w:rPr>
                <w:sz w:val="1"/>
                <w:szCs w:val="1"/>
                <w:color w:val="auto"/>
              </w:rPr>
            </w:pPr>
          </w:p>
        </w:tc>
      </w:tr>
      <w:tr>
        <w:trPr>
          <w:trHeight w:val="53"/>
        </w:trPr>
        <w:tc>
          <w:tcPr>
            <w:tcW w:w="2460" w:type="dxa"/>
            <w:vAlign w:val="bottom"/>
            <w:shd w:val="clear" w:color="auto" w:fill="1A3FD6"/>
          </w:tcPr>
          <w:p>
            <w:pPr>
              <w:spacing w:after="0"/>
              <w:rPr>
                <w:sz w:val="4"/>
                <w:szCs w:val="4"/>
                <w:color w:val="auto"/>
              </w:rPr>
            </w:pPr>
          </w:p>
        </w:tc>
        <w:tc>
          <w:tcPr>
            <w:tcW w:w="1080" w:type="dxa"/>
            <w:vAlign w:val="bottom"/>
            <w:shd w:val="clear" w:color="auto" w:fill="1A3FD6"/>
          </w:tcPr>
          <w:p>
            <w:pPr>
              <w:spacing w:after="0"/>
              <w:rPr>
                <w:sz w:val="4"/>
                <w:szCs w:val="4"/>
                <w:color w:val="auto"/>
              </w:rPr>
            </w:pPr>
          </w:p>
        </w:tc>
        <w:tc>
          <w:tcPr>
            <w:tcW w:w="2060" w:type="dxa"/>
            <w:vAlign w:val="bottom"/>
            <w:gridSpan w:val="2"/>
            <w:vMerge w:val="restart"/>
            <w:shd w:val="clear" w:color="auto" w:fill="1A3FD6"/>
          </w:tcPr>
          <w:p>
            <w:pPr>
              <w:jc w:val="center"/>
              <w:ind w:right="760"/>
              <w:spacing w:after="0"/>
              <w:rPr>
                <w:sz w:val="20"/>
                <w:szCs w:val="20"/>
                <w:color w:val="auto"/>
              </w:rPr>
            </w:pPr>
            <w:r>
              <w:rPr>
                <w:rFonts w:ascii="Arial" w:cs="Arial" w:eastAsia="Arial" w:hAnsi="Arial"/>
                <w:sz w:val="16"/>
                <w:szCs w:val="16"/>
                <w:color w:val="FFFFFF"/>
              </w:rPr>
              <w:t>4 directors: &gt;9 yrs</w:t>
            </w:r>
          </w:p>
        </w:tc>
        <w:tc>
          <w:tcPr>
            <w:tcW w:w="2840" w:type="dxa"/>
            <w:vAlign w:val="bottom"/>
            <w:gridSpan w:val="3"/>
            <w:vMerge w:val="continue"/>
            <w:shd w:val="clear" w:color="auto" w:fill="1A3FD6"/>
          </w:tcPr>
          <w:p>
            <w:pPr>
              <w:spacing w:after="0"/>
              <w:rPr>
                <w:sz w:val="4"/>
                <w:szCs w:val="4"/>
                <w:color w:val="auto"/>
              </w:rPr>
            </w:pPr>
          </w:p>
        </w:tc>
        <w:tc>
          <w:tcPr>
            <w:tcW w:w="2780" w:type="dxa"/>
            <w:vAlign w:val="bottom"/>
            <w:shd w:val="clear" w:color="auto" w:fill="1A3FD6"/>
          </w:tcPr>
          <w:p>
            <w:pPr>
              <w:spacing w:after="0"/>
              <w:rPr>
                <w:sz w:val="4"/>
                <w:szCs w:val="4"/>
                <w:color w:val="auto"/>
              </w:rPr>
            </w:pPr>
          </w:p>
        </w:tc>
        <w:tc>
          <w:tcPr>
            <w:tcW w:w="20" w:type="dxa"/>
            <w:vAlign w:val="bottom"/>
            <w:shd w:val="clear" w:color="auto" w:fill="1A3FD6"/>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1A3FD6"/>
          </w:tcPr>
          <w:p>
            <w:pPr>
              <w:spacing w:after="0"/>
              <w:rPr>
                <w:sz w:val="14"/>
                <w:szCs w:val="14"/>
                <w:color w:val="auto"/>
              </w:rPr>
            </w:pPr>
          </w:p>
        </w:tc>
        <w:tc>
          <w:tcPr>
            <w:tcW w:w="1080" w:type="dxa"/>
            <w:vAlign w:val="bottom"/>
            <w:shd w:val="clear" w:color="auto" w:fill="1A3FD6"/>
          </w:tcPr>
          <w:p>
            <w:pPr>
              <w:spacing w:after="0"/>
              <w:rPr>
                <w:sz w:val="14"/>
                <w:szCs w:val="14"/>
                <w:color w:val="auto"/>
              </w:rPr>
            </w:pPr>
          </w:p>
        </w:tc>
        <w:tc>
          <w:tcPr>
            <w:tcW w:w="2060" w:type="dxa"/>
            <w:vAlign w:val="bottom"/>
            <w:gridSpan w:val="2"/>
            <w:vMerge w:val="continue"/>
            <w:shd w:val="clear" w:color="auto" w:fill="1A3FD6"/>
          </w:tcPr>
          <w:p>
            <w:pPr>
              <w:spacing w:after="0"/>
              <w:rPr>
                <w:sz w:val="14"/>
                <w:szCs w:val="14"/>
                <w:color w:val="auto"/>
              </w:rPr>
            </w:pPr>
          </w:p>
        </w:tc>
        <w:tc>
          <w:tcPr>
            <w:tcW w:w="2840" w:type="dxa"/>
            <w:vAlign w:val="bottom"/>
            <w:gridSpan w:val="3"/>
            <w:vMerge w:val="restart"/>
            <w:shd w:val="clear" w:color="auto" w:fill="1A3FD6"/>
          </w:tcPr>
          <w:p>
            <w:pPr>
              <w:jc w:val="center"/>
              <w:ind w:left="26"/>
              <w:spacing w:after="0"/>
              <w:rPr>
                <w:sz w:val="20"/>
                <w:szCs w:val="20"/>
                <w:color w:val="auto"/>
              </w:rPr>
            </w:pPr>
            <w:r>
              <w:rPr>
                <w:rFonts w:ascii="Arial" w:cs="Arial" w:eastAsia="Arial" w:hAnsi="Arial"/>
                <w:sz w:val="16"/>
                <w:szCs w:val="16"/>
                <w:color w:val="FFFFFF"/>
              </w:rPr>
              <w:t>Responsibilities</w:t>
            </w:r>
          </w:p>
        </w:tc>
        <w:tc>
          <w:tcPr>
            <w:tcW w:w="2780" w:type="dxa"/>
            <w:vAlign w:val="bottom"/>
            <w:shd w:val="clear" w:color="auto" w:fill="1A3FD6"/>
          </w:tcPr>
          <w:p>
            <w:pPr>
              <w:spacing w:after="0"/>
              <w:rPr>
                <w:sz w:val="14"/>
                <w:szCs w:val="14"/>
                <w:color w:val="auto"/>
              </w:rPr>
            </w:pPr>
          </w:p>
        </w:tc>
        <w:tc>
          <w:tcPr>
            <w:tcW w:w="20" w:type="dxa"/>
            <w:vAlign w:val="bottom"/>
            <w:shd w:val="clear" w:color="auto" w:fill="1A3FD6"/>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460" w:type="dxa"/>
            <w:vAlign w:val="bottom"/>
            <w:shd w:val="clear" w:color="auto" w:fill="1A3FD6"/>
          </w:tcPr>
          <w:p>
            <w:pPr>
              <w:spacing w:after="0"/>
              <w:rPr>
                <w:sz w:val="4"/>
                <w:szCs w:val="4"/>
                <w:color w:val="auto"/>
              </w:rPr>
            </w:pPr>
          </w:p>
        </w:tc>
        <w:tc>
          <w:tcPr>
            <w:tcW w:w="1080" w:type="dxa"/>
            <w:vAlign w:val="bottom"/>
            <w:shd w:val="clear" w:color="auto" w:fill="1A3FD6"/>
          </w:tcPr>
          <w:p>
            <w:pPr>
              <w:spacing w:after="0"/>
              <w:rPr>
                <w:sz w:val="4"/>
                <w:szCs w:val="4"/>
                <w:color w:val="auto"/>
              </w:rPr>
            </w:pPr>
          </w:p>
        </w:tc>
        <w:tc>
          <w:tcPr>
            <w:tcW w:w="240" w:type="dxa"/>
            <w:vAlign w:val="bottom"/>
            <w:shd w:val="clear" w:color="auto" w:fill="1A3FD6"/>
          </w:tcPr>
          <w:p>
            <w:pPr>
              <w:spacing w:after="0"/>
              <w:rPr>
                <w:sz w:val="4"/>
                <w:szCs w:val="4"/>
                <w:color w:val="auto"/>
              </w:rPr>
            </w:pPr>
          </w:p>
        </w:tc>
        <w:tc>
          <w:tcPr>
            <w:tcW w:w="1820" w:type="dxa"/>
            <w:vAlign w:val="bottom"/>
            <w:shd w:val="clear" w:color="auto" w:fill="1A3FD6"/>
          </w:tcPr>
          <w:p>
            <w:pPr>
              <w:spacing w:after="0"/>
              <w:rPr>
                <w:sz w:val="4"/>
                <w:szCs w:val="4"/>
                <w:color w:val="auto"/>
              </w:rPr>
            </w:pPr>
          </w:p>
        </w:tc>
        <w:tc>
          <w:tcPr>
            <w:tcW w:w="2840" w:type="dxa"/>
            <w:vAlign w:val="bottom"/>
            <w:gridSpan w:val="3"/>
            <w:vMerge w:val="continue"/>
            <w:shd w:val="clear" w:color="auto" w:fill="1A3FD6"/>
          </w:tcPr>
          <w:p>
            <w:pPr>
              <w:spacing w:after="0"/>
              <w:rPr>
                <w:sz w:val="4"/>
                <w:szCs w:val="4"/>
                <w:color w:val="auto"/>
              </w:rPr>
            </w:pPr>
          </w:p>
        </w:tc>
        <w:tc>
          <w:tcPr>
            <w:tcW w:w="2780" w:type="dxa"/>
            <w:vAlign w:val="bottom"/>
            <w:shd w:val="clear" w:color="auto" w:fill="1A3FD6"/>
          </w:tcPr>
          <w:p>
            <w:pPr>
              <w:spacing w:after="0"/>
              <w:rPr>
                <w:sz w:val="4"/>
                <w:szCs w:val="4"/>
                <w:color w:val="auto"/>
              </w:rPr>
            </w:pPr>
          </w:p>
        </w:tc>
        <w:tc>
          <w:tcPr>
            <w:tcW w:w="20" w:type="dxa"/>
            <w:vAlign w:val="bottom"/>
            <w:shd w:val="clear" w:color="auto" w:fill="1A3FD6"/>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1A3FD6"/>
          </w:tcPr>
          <w:p>
            <w:pPr>
              <w:spacing w:after="0"/>
              <w:rPr>
                <w:sz w:val="17"/>
                <w:szCs w:val="17"/>
                <w:color w:val="auto"/>
              </w:rPr>
            </w:pPr>
          </w:p>
        </w:tc>
        <w:tc>
          <w:tcPr>
            <w:tcW w:w="1080" w:type="dxa"/>
            <w:vAlign w:val="bottom"/>
            <w:shd w:val="clear" w:color="auto" w:fill="1A3FD6"/>
          </w:tcPr>
          <w:p>
            <w:pPr>
              <w:spacing w:after="0"/>
              <w:rPr>
                <w:sz w:val="17"/>
                <w:szCs w:val="17"/>
                <w:color w:val="auto"/>
              </w:rPr>
            </w:pPr>
          </w:p>
        </w:tc>
        <w:tc>
          <w:tcPr>
            <w:tcW w:w="240" w:type="dxa"/>
            <w:vAlign w:val="bottom"/>
            <w:shd w:val="clear" w:color="auto" w:fill="1A3FD6"/>
          </w:tcPr>
          <w:p>
            <w:pPr>
              <w:spacing w:after="0"/>
              <w:rPr>
                <w:sz w:val="17"/>
                <w:szCs w:val="17"/>
                <w:color w:val="auto"/>
              </w:rPr>
            </w:pPr>
          </w:p>
        </w:tc>
        <w:tc>
          <w:tcPr>
            <w:tcW w:w="1820" w:type="dxa"/>
            <w:vAlign w:val="bottom"/>
            <w:shd w:val="clear" w:color="auto" w:fill="1A3FD6"/>
          </w:tcPr>
          <w:p>
            <w:pPr>
              <w:spacing w:after="0"/>
              <w:rPr>
                <w:sz w:val="17"/>
                <w:szCs w:val="17"/>
                <w:color w:val="auto"/>
              </w:rPr>
            </w:pPr>
          </w:p>
        </w:tc>
        <w:tc>
          <w:tcPr>
            <w:tcW w:w="1760" w:type="dxa"/>
            <w:vAlign w:val="bottom"/>
            <w:shd w:val="clear" w:color="auto" w:fill="1A3FD6"/>
          </w:tcPr>
          <w:p>
            <w:pPr>
              <w:spacing w:after="0"/>
              <w:rPr>
                <w:sz w:val="17"/>
                <w:szCs w:val="17"/>
                <w:color w:val="auto"/>
              </w:rPr>
            </w:pPr>
          </w:p>
        </w:tc>
        <w:tc>
          <w:tcPr>
            <w:tcW w:w="240" w:type="dxa"/>
            <w:vAlign w:val="bottom"/>
            <w:shd w:val="clear" w:color="auto" w:fill="1A3FD6"/>
          </w:tcPr>
          <w:p>
            <w:pPr>
              <w:spacing w:after="0"/>
              <w:rPr>
                <w:sz w:val="17"/>
                <w:szCs w:val="17"/>
                <w:color w:val="auto"/>
              </w:rPr>
            </w:pPr>
          </w:p>
        </w:tc>
        <w:tc>
          <w:tcPr>
            <w:tcW w:w="840" w:type="dxa"/>
            <w:vAlign w:val="bottom"/>
            <w:shd w:val="clear" w:color="auto" w:fill="1A3FD6"/>
          </w:tcPr>
          <w:p>
            <w:pPr>
              <w:spacing w:after="0"/>
              <w:rPr>
                <w:sz w:val="17"/>
                <w:szCs w:val="17"/>
                <w:color w:val="auto"/>
              </w:rPr>
            </w:pPr>
          </w:p>
        </w:tc>
        <w:tc>
          <w:tcPr>
            <w:tcW w:w="2780" w:type="dxa"/>
            <w:vAlign w:val="bottom"/>
            <w:shd w:val="clear" w:color="auto" w:fill="1A3FD6"/>
          </w:tcPr>
          <w:p>
            <w:pPr>
              <w:spacing w:after="0"/>
              <w:rPr>
                <w:sz w:val="17"/>
                <w:szCs w:val="17"/>
                <w:color w:val="auto"/>
              </w:rPr>
            </w:pPr>
          </w:p>
        </w:tc>
        <w:tc>
          <w:tcPr>
            <w:tcW w:w="20" w:type="dxa"/>
            <w:vAlign w:val="bottom"/>
            <w:shd w:val="clear" w:color="auto" w:fill="1A3FD6"/>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460" w:type="dxa"/>
            <w:vAlign w:val="bottom"/>
            <w:tcBorders>
              <w:bottom w:val="single" w:sz="8" w:color="1A3FD6"/>
            </w:tcBorders>
          </w:tcPr>
          <w:p>
            <w:pPr>
              <w:spacing w:after="0"/>
              <w:rPr>
                <w:sz w:val="24"/>
                <w:szCs w:val="24"/>
                <w:color w:val="auto"/>
              </w:rPr>
            </w:pPr>
          </w:p>
        </w:tc>
        <w:tc>
          <w:tcPr>
            <w:tcW w:w="1080" w:type="dxa"/>
            <w:vAlign w:val="bottom"/>
            <w:tcBorders>
              <w:bottom w:val="single" w:sz="8" w:color="1A3FD6"/>
            </w:tcBorders>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Borders>
              <w:bottom w:val="single" w:sz="8" w:color="1A3FD6"/>
            </w:tcBorders>
          </w:tcPr>
          <w:p>
            <w:pPr>
              <w:spacing w:after="0"/>
              <w:rPr>
                <w:sz w:val="24"/>
                <w:szCs w:val="24"/>
                <w:color w:val="auto"/>
              </w:rPr>
            </w:pPr>
          </w:p>
        </w:tc>
        <w:tc>
          <w:tcPr>
            <w:tcW w:w="1760" w:type="dxa"/>
            <w:vAlign w:val="bottom"/>
            <w:tcBorders>
              <w:bottom w:val="single" w:sz="8" w:color="1A3FD6"/>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bottom w:val="single" w:sz="8" w:color="1A3FD6"/>
            </w:tcBorders>
          </w:tcPr>
          <w:p>
            <w:pPr>
              <w:spacing w:after="0"/>
              <w:rPr>
                <w:sz w:val="24"/>
                <w:szCs w:val="24"/>
                <w:color w:val="auto"/>
              </w:rPr>
            </w:pPr>
          </w:p>
        </w:tc>
        <w:tc>
          <w:tcPr>
            <w:tcW w:w="2780" w:type="dxa"/>
            <w:vAlign w:val="bottom"/>
            <w:tcBorders>
              <w:bottom w:val="single" w:sz="8" w:color="1A3FD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-959485</wp:posOffset>
            </wp:positionV>
            <wp:extent cx="8255" cy="660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66040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-959485</wp:posOffset>
            </wp:positionV>
            <wp:extent cx="8255" cy="660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66040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-959485</wp:posOffset>
            </wp:positionV>
            <wp:extent cx="8890" cy="660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660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14147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5175" cy="141478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4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1A3FD6"/>
        </w:rPr>
        <w:t>Composition and</w:t>
      </w:r>
    </w:p>
    <w:p>
      <w:pPr>
        <w:spacing w:after="0" w:line="2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1A3FD6"/>
        </w:rPr>
        <w:t>Refreshment</w:t>
      </w:r>
    </w:p>
    <w:p>
      <w:pPr>
        <w:spacing w:after="0" w:line="144" w:lineRule="exact"/>
        <w:rPr>
          <w:sz w:val="20"/>
          <w:szCs w:val="20"/>
          <w:color w:val="auto"/>
        </w:rPr>
      </w:pPr>
    </w:p>
    <w:p>
      <w:pPr>
        <w:ind w:left="260"/>
        <w:spacing w:after="0" w:line="282" w:lineRule="auto"/>
        <w:rPr>
          <w:sz w:val="20"/>
          <w:szCs w:val="20"/>
          <w:color w:val="auto"/>
        </w:rPr>
      </w:pPr>
      <w:r>
        <w:rPr>
          <w:rFonts w:ascii="Arial" w:cs="Arial" w:eastAsia="Arial" w:hAnsi="Arial"/>
          <w:sz w:val="16"/>
          <w:szCs w:val="16"/>
          <w:color w:val="auto"/>
        </w:rPr>
        <w:t>The Board is committed to the right mix of skills, backgrounds and perspectives that reflect our strategic priorities. Two directors added in 2024, expanding the Board’s expertise in AI, cyber and asset-management depth.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237105" cy="1525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37105" cy="152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Independence</w:t>
      </w: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Board maintains fully independent Board Committees, all independent committee chairs and regular executive sessions that support independent oversight and rigorous evaluation of risks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227330</wp:posOffset>
            </wp:positionV>
            <wp:extent cx="2263140" cy="1525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63140" cy="152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ind w:right="200"/>
        <w:spacing w:after="0"/>
        <w:rPr>
          <w:sz w:val="20"/>
          <w:szCs w:val="20"/>
          <w:color w:val="auto"/>
        </w:rPr>
      </w:pPr>
      <w:r>
        <w:rPr>
          <w:rFonts w:ascii="Arial" w:cs="Arial" w:eastAsia="Arial" w:hAnsi="Arial"/>
          <w:sz w:val="18"/>
          <w:szCs w:val="18"/>
          <w:b w:val="1"/>
          <w:bCs w:val="1"/>
          <w:color w:val="1A3FD6"/>
        </w:rPr>
        <w:t>Shareholder Engagement</w:t>
      </w:r>
    </w:p>
    <w:p>
      <w:pPr>
        <w:spacing w:after="0" w:line="378" w:lineRule="exact"/>
        <w:rPr>
          <w:sz w:val="20"/>
          <w:szCs w:val="20"/>
          <w:color w:val="auto"/>
        </w:rPr>
      </w:pPr>
    </w:p>
    <w:p>
      <w:pPr>
        <w:ind w:right="580"/>
        <w:spacing w:after="0" w:line="287" w:lineRule="auto"/>
        <w:rPr>
          <w:sz w:val="20"/>
          <w:szCs w:val="20"/>
          <w:color w:val="auto"/>
        </w:rPr>
      </w:pPr>
      <w:r>
        <w:rPr>
          <w:rFonts w:ascii="Arial" w:cs="Arial" w:eastAsia="Arial" w:hAnsi="Arial"/>
          <w:sz w:val="16"/>
          <w:szCs w:val="16"/>
          <w:color w:val="auto"/>
        </w:rPr>
        <w:t>The Board values candid shareholder feedback. Directors and senior leaders engage directly with shareholders on business, strategy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321945</wp:posOffset>
            </wp:positionV>
            <wp:extent cx="2289175" cy="1525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89175" cy="152590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3">
            <w:col w:w="3340" w:space="720"/>
            <w:col w:w="3180" w:space="660"/>
            <w:col w:w="3340"/>
          </w:cols>
          <w:pgMar w:left="320" w:top="130" w:right="339" w:bottom="1440" w:gutter="0" w:footer="0" w:header="0"/>
          <w:type w:val="continuous"/>
        </w:sectPr>
      </w:pP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1A3FD6"/>
        </w:rPr>
        <w:t>Open Discussion</w:t>
      </w:r>
    </w:p>
    <w:p>
      <w:pPr>
        <w:spacing w:after="0" w:line="324" w:lineRule="exact"/>
        <w:rPr>
          <w:sz w:val="20"/>
          <w:szCs w:val="20"/>
          <w:color w:val="auto"/>
        </w:rPr>
      </w:pPr>
    </w:p>
    <w:p>
      <w:pPr>
        <w:ind w:left="260" w:right="60"/>
        <w:spacing w:after="0" w:line="282" w:lineRule="auto"/>
        <w:rPr>
          <w:sz w:val="20"/>
          <w:szCs w:val="20"/>
          <w:color w:val="auto"/>
        </w:rPr>
      </w:pPr>
      <w:r>
        <w:rPr>
          <w:rFonts w:ascii="Arial" w:cs="Arial" w:eastAsia="Arial" w:hAnsi="Arial"/>
          <w:sz w:val="16"/>
          <w:szCs w:val="16"/>
          <w:color w:val="auto"/>
        </w:rPr>
        <w:t>The Board prioritizes rigorous decision-making through robust debate and constructive challenge. Directors actively probe assumptions, and the Lead Director facilitates discussions where varied perspectives are valued and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3463290" cy="9772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6329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Strategy Review</w:t>
      </w:r>
    </w:p>
    <w:p>
      <w:pPr>
        <w:spacing w:after="0" w:line="324"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The Board oversees a dedicated annual strategy process with rigorous review of management plans and has a year-round culture of dialogue, with regular process updates. Directors engage on long-term value creation, capital allocation and emerging risks.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Evaluation</w:t>
      </w:r>
    </w:p>
    <w:p>
      <w:pPr>
        <w:spacing w:after="0" w:line="324"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Board conducts an annual self-assessment of Board culture, leadership structure, committee effectiveness, skills and continuing education, which includes individual director feedback and 1:1 meetings with the Lead Director, with findings driving ongoing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273685</wp:posOffset>
            </wp:positionV>
            <wp:extent cx="3489325" cy="9772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89325" cy="977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40" w:space="720"/>
            <w:col w:w="3120" w:space="720"/>
            <w:col w:w="3340"/>
          </w:cols>
          <w:pgMar w:left="320" w:top="130" w:right="3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1A3FD6"/>
        </w:rPr>
        <w:t>Engagement with Management</w:t>
      </w:r>
    </w:p>
    <w:p>
      <w:pPr>
        <w:spacing w:after="0" w:line="324" w:lineRule="exact"/>
        <w:rPr>
          <w:sz w:val="20"/>
          <w:szCs w:val="20"/>
          <w:color w:val="auto"/>
        </w:rPr>
      </w:pPr>
    </w:p>
    <w:p>
      <w:pPr>
        <w:jc w:val="both"/>
        <w:ind w:left="260" w:right="460"/>
        <w:spacing w:after="0" w:line="292" w:lineRule="auto"/>
        <w:rPr>
          <w:sz w:val="20"/>
          <w:szCs w:val="20"/>
          <w:color w:val="auto"/>
        </w:rPr>
      </w:pPr>
      <w:r>
        <w:rPr>
          <w:rFonts w:ascii="Arial" w:cs="Arial" w:eastAsia="Arial" w:hAnsi="Arial"/>
          <w:sz w:val="16"/>
          <w:szCs w:val="16"/>
          <w:color w:val="auto"/>
        </w:rPr>
        <w:t>Directors have direct access to any employee and participate in Company events. Independent Board members are paired with management for mentorship and deeper engagement.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1A3FD6"/>
        </w:rPr>
        <w:t>Orientation and Continuing Education</w:t>
      </w:r>
    </w:p>
    <w:p>
      <w:pPr>
        <w:spacing w:after="0" w:line="324"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New directors meet with Management Committee members and business heads. The Board has a culture of ongoing director education, including regular deep-dives with Company management.</w:t>
      </w:r>
    </w:p>
    <w:p>
      <w:pPr>
        <w:spacing w:after="0" w:line="200" w:lineRule="exact"/>
        <w:rPr>
          <w:sz w:val="20"/>
          <w:szCs w:val="20"/>
          <w:color w:val="auto"/>
        </w:rPr>
      </w:pPr>
    </w:p>
    <w:p>
      <w:pPr>
        <w:sectPr>
          <w:pgSz w:w="11900" w:h="16838" w:orient="portrait"/>
          <w:cols w:equalWidth="0" w:num="2">
            <w:col w:w="5280" w:space="720"/>
            <w:col w:w="5240"/>
          </w:cols>
          <w:pgMar w:left="320" w:top="130" w:right="3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Structure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Substantially Independent Board</w:t>
      </w:r>
    </w:p>
    <w:p>
      <w:pPr>
        <w:spacing w:after="0" w:line="119" w:lineRule="exact"/>
        <w:rPr>
          <w:sz w:val="20"/>
          <w:szCs w:val="20"/>
          <w:color w:val="auto"/>
        </w:rPr>
      </w:pPr>
    </w:p>
    <w:p>
      <w:pPr>
        <w:ind w:right="5520"/>
        <w:spacing w:after="0" w:line="259" w:lineRule="auto"/>
        <w:rPr>
          <w:sz w:val="20"/>
          <w:szCs w:val="20"/>
          <w:color w:val="auto"/>
        </w:rPr>
      </w:pPr>
      <w:r>
        <w:rPr>
          <w:rFonts w:ascii="Arial" w:cs="Arial" w:eastAsia="Arial" w:hAnsi="Arial"/>
          <w:sz w:val="16"/>
          <w:szCs w:val="16"/>
          <w:color w:val="auto"/>
        </w:rPr>
        <w:t>Under the MSCI Corporate Governance Policies, the full Board affirmatively determines the independence of directors and reviews the financial and other relationships between the independent directors and MSCI as part of its assessment of director independence. The Governance Committee also makes specific determinations as to the independence of each candidate when reviewing candidates’ qualifications for membership on the Board or a committee of the Board. Director independence is also monitored by the full Board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-998855</wp:posOffset>
            </wp:positionV>
            <wp:extent cx="2880360" cy="16459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80360" cy="1645920"/>
                    </a:xfrm>
                    <a:prstGeom prst="rect">
                      <a:avLst/>
                    </a:prstGeom>
                    <a:noFill/>
                  </pic:spPr>
                </pic:pic>
              </a:graphicData>
            </a:graphic>
          </wp:anchor>
        </w:drawing>
      </w:r>
    </w:p>
    <w:p>
      <w:pPr>
        <w:spacing w:after="0" w:line="93" w:lineRule="exact"/>
        <w:rPr>
          <w:sz w:val="20"/>
          <w:szCs w:val="20"/>
          <w:color w:val="auto"/>
        </w:rPr>
      </w:pPr>
    </w:p>
    <w:p>
      <w:pPr>
        <w:ind w:right="5680"/>
        <w:spacing w:after="0" w:line="265" w:lineRule="auto"/>
        <w:rPr>
          <w:sz w:val="20"/>
          <w:szCs w:val="20"/>
          <w:color w:val="auto"/>
        </w:rPr>
      </w:pPr>
      <w:r>
        <w:rPr>
          <w:rFonts w:ascii="Arial" w:cs="Arial" w:eastAsia="Arial" w:hAnsi="Arial"/>
          <w:sz w:val="16"/>
          <w:szCs w:val="16"/>
          <w:color w:val="auto"/>
        </w:rPr>
        <w:t>Our Corporate Governance Policies provide that the Board should have a significant majority of independent directors meeting the independence requirements of the NYSE. Currently, a significant majority of the directors on our Board are independent. As of March 11, 2026,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135890</wp:posOffset>
            </wp:positionV>
            <wp:extent cx="3240405"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40405" cy="257175"/>
                    </a:xfrm>
                    <a:prstGeom prst="rect">
                      <a:avLst/>
                    </a:prstGeom>
                    <a:noFill/>
                  </pic:spPr>
                </pic:pic>
              </a:graphicData>
            </a:graphic>
          </wp:anchor>
        </w:drawing>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FFFFFF"/>
        </w:rPr>
        <w:t>All of our non-employee directors are independent</w:t>
      </w:r>
    </w:p>
    <w:p>
      <w:pPr>
        <w:spacing w:after="0" w:line="27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are 11 directors on our Board, comprised of: (i) our Chairman and CEO and (ii) 10 independent directors. Our Board has determined that each of Messrs. Ashe, Perold, Rattray, Smith, and Taneja and Mmes. Matlock, Riefler, Seitz, Volent and Yang is independent in accordance with the requirements of our Corporate Governance Policies, which follow NYSE rules and guidelines. In making such determinations, there were no material transactions, relationships or arrangements not disclosed in this Proxy Statement under “Other Matters—Certain Transactions” to be considered by the Board in determining whether each director was independent. Therefore, 10 of our 11 current directors are independent. Mr. Fernandez is not independent because of his position as CEO of MSCI.</w:t>
      </w:r>
    </w:p>
    <w:p>
      <w:pPr>
        <w:spacing w:after="0" w:line="10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All members of the Audit Committee, Compensation Committee, Governance Committee and Strategy Committee satisfy the independence requirements of the NYSE. In addition, each member of the Audit Committee and Compensation Committee meets the heightened independence standards of the NYSE required for audit committee and compensation committee members,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Leadership</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Board seeks to achieve the best board leadership structure for the effective oversight of MSCI’s affairs. The Board believes that its leadership structure must be considered in the context of the individuals involved and the specific circumstances facing MSCI. The Governance Committee is responsible for the ongoing review of the governance structure of the Board and for recommending to the Board those structures and practices best suited to MSCI and its shareholders.</w:t>
      </w:r>
    </w:p>
    <w:p>
      <w:pPr>
        <w:spacing w:after="0" w:line="10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Board regularly reviews its leadership structure and believes that it is in the best interests of MSCI and its shareholders to combine the roles of Chairman and CEO at this time, alongside a robust and independent Lead Director. The Board believes that the decision as to whether the positions of Chairman and CEO should be combined or separated, and whether an executive or an independent director should serve as Chairman if the roles are split, should be based upon the particular circumstances facing MSCI. Maintaining a flexible policy allows the Board to choose the leadership structure that best serves the interests of the Company and its shareholders at any particular time.</w:t>
      </w:r>
    </w:p>
    <w:p>
      <w:pPr>
        <w:spacing w:after="0" w:line="10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determining the Board’s current leadership, among other factors, the Board considered and evaluated the importance of consistent, unified leadership to execute and oversee the Company’s strategy; the strength of Mr. Fernandez’s vision for the Company and the quality of his leadership; the strong and highly independent composition of the Board, including having fully independent committee leadership and membership; the views and feedback heard from our investors through our ongoing engagement programs expressing support for our Board leadership structure; and the meaningful and robust responsibilities of the independent Lead Director. As Chairman, Mr. Fernandez chairs Board meetings and the annual shareholder meeting, works with the Lead Director to set agendas for Board meetings (which the Lead Director approves), collaborates with the Board on the Company’s strategy and leads management in implementing that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326390</wp:posOffset>
            </wp:positionV>
            <wp:extent cx="556895"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A strong, independent Lead Director with clearly defined duties and responsibilities further enhances the contributions of MSCI’s independent directors, which have been, and continue to be, substantial. Our Corporate Governance Policies provide for the appointment of a Lead Director from among the Board’s independent directors whenever the Chairman is not independent. The Lead Director role supports the independent directors to provide effective, independent Board leadership and oversight of management.</w:t>
      </w:r>
    </w:p>
    <w:p>
      <w:pPr>
        <w:spacing w:after="0" w:line="9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Robert G. Ashe has been our Lead Director since April 2018. As a former member of other public company boards, the former CEO and CFO of a public company and an audit committee financial expert, Mr. Ashe also has significant experience with respect to the Board’s roles and responsibilities, including those related to risk oversight and the Board’s design and leadership structure. Further, our Chairman and Lead Director work closely to discuss strategic initiatives for the Company and to ensure the Board is effectively exercising its oversight responsibilities and its consideration of the Company’s significant risks and opportunities. The Board, in executive sessions of independent directors (which are presided over by the Lead Director), also considers and discusses risk-related matters. These sessions provide a forum for candid discussion of risk-related matters, without management or the Chairman and CEO 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Lead Director’s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474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Board</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FFFFFF"/>
        </w:rPr>
        <w:t>Structure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03" w:right="340" w:hanging="203"/>
        <w:spacing w:after="0" w:line="322" w:lineRule="auto"/>
        <w:tabs>
          <w:tab w:leader="none" w:pos="164" w:val="left"/>
        </w:tabs>
        <w:numPr>
          <w:ilvl w:val="0"/>
          <w:numId w:val="25"/>
        </w:numPr>
        <w:rPr>
          <w:rFonts w:ascii="Arial" w:cs="Arial" w:eastAsia="Arial" w:hAnsi="Arial"/>
          <w:sz w:val="13"/>
          <w:szCs w:val="13"/>
          <w:color w:val="00A798"/>
        </w:rPr>
      </w:pPr>
      <w:r>
        <w:rPr>
          <w:rFonts w:ascii="Arial" w:cs="Arial" w:eastAsia="Arial" w:hAnsi="Arial"/>
          <w:sz w:val="14"/>
          <w:szCs w:val="14"/>
          <w:color w:val="auto"/>
        </w:rPr>
        <w:t>Advises and provides feedback to the Governance Committee and the Chairman on the structure of the Board and its leadership, including membership of Board committees and the selection of committee chairs</w:t>
      </w:r>
    </w:p>
    <w:p>
      <w:pPr>
        <w:ind w:left="163" w:hanging="163"/>
        <w:spacing w:after="0"/>
        <w:tabs>
          <w:tab w:leader="none" w:pos="163" w:val="left"/>
        </w:tabs>
        <w:numPr>
          <w:ilvl w:val="0"/>
          <w:numId w:val="25"/>
        </w:numPr>
        <w:rPr>
          <w:rFonts w:ascii="Arial" w:cs="Arial" w:eastAsia="Arial" w:hAnsi="Arial"/>
          <w:sz w:val="13"/>
          <w:szCs w:val="13"/>
          <w:color w:val="00A798"/>
        </w:rPr>
      </w:pPr>
      <w:r>
        <w:rPr>
          <w:rFonts w:ascii="Arial" w:cs="Arial" w:eastAsia="Arial" w:hAnsi="Arial"/>
          <w:sz w:val="14"/>
          <w:szCs w:val="14"/>
          <w:color w:val="auto"/>
        </w:rPr>
        <w:t>Maintains authority to retain independent legal, accounting or other advisors in connection with meetings of independent directors</w:t>
      </w:r>
    </w:p>
    <w:p>
      <w:pPr>
        <w:spacing w:after="0" w:line="82" w:lineRule="exact"/>
        <w:rPr>
          <w:rFonts w:ascii="Arial" w:cs="Arial" w:eastAsia="Arial" w:hAnsi="Arial"/>
          <w:sz w:val="13"/>
          <w:szCs w:val="13"/>
          <w:color w:val="00A798"/>
        </w:rPr>
      </w:pPr>
    </w:p>
    <w:p>
      <w:pPr>
        <w:ind w:left="203" w:right="300" w:hanging="203"/>
        <w:spacing w:after="0" w:line="325" w:lineRule="auto"/>
        <w:tabs>
          <w:tab w:leader="none" w:pos="164" w:val="left"/>
        </w:tabs>
        <w:numPr>
          <w:ilvl w:val="0"/>
          <w:numId w:val="25"/>
        </w:numPr>
        <w:rPr>
          <w:rFonts w:ascii="Arial" w:cs="Arial" w:eastAsia="Arial" w:hAnsi="Arial"/>
          <w:sz w:val="13"/>
          <w:szCs w:val="13"/>
          <w:color w:val="00A798"/>
        </w:rPr>
      </w:pPr>
      <w:r>
        <w:rPr>
          <w:rFonts w:ascii="Arial" w:cs="Arial" w:eastAsia="Arial" w:hAnsi="Arial"/>
          <w:sz w:val="14"/>
          <w:szCs w:val="14"/>
          <w:color w:val="auto"/>
        </w:rPr>
        <w:t>Acts as a key advisor to the Chairman on a wide variety of Company matters, including with respect to strategic and risk oversight matters,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71755</wp:posOffset>
            </wp:positionV>
            <wp:extent cx="56921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17" w:space="720"/>
            <w:col w:w="8703"/>
          </w:cols>
          <w:pgMar w:left="320" w:top="130" w:right="339" w:bottom="1440" w:gutter="0" w:footer="0" w:header="0"/>
          <w:type w:val="continuous"/>
        </w:sectPr>
      </w:pP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Board</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FFFFF"/>
        </w:rPr>
        <w:t>Culture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63" w:hanging="163"/>
        <w:spacing w:after="0"/>
        <w:tabs>
          <w:tab w:leader="none" w:pos="163" w:val="left"/>
        </w:tabs>
        <w:numPr>
          <w:ilvl w:val="0"/>
          <w:numId w:val="26"/>
        </w:numPr>
        <w:rPr>
          <w:rFonts w:ascii="Arial" w:cs="Arial" w:eastAsia="Arial" w:hAnsi="Arial"/>
          <w:sz w:val="13"/>
          <w:szCs w:val="13"/>
          <w:color w:val="00A798"/>
        </w:rPr>
      </w:pPr>
      <w:r>
        <w:rPr>
          <w:rFonts w:ascii="Arial" w:cs="Arial" w:eastAsia="Arial" w:hAnsi="Arial"/>
          <w:sz w:val="14"/>
          <w:szCs w:val="14"/>
          <w:color w:val="auto"/>
        </w:rPr>
        <w:t>Serves as a liaison between the Chairman and independent directors</w:t>
      </w:r>
    </w:p>
    <w:p>
      <w:pPr>
        <w:spacing w:after="0" w:line="82" w:lineRule="exact"/>
        <w:rPr>
          <w:rFonts w:ascii="Arial" w:cs="Arial" w:eastAsia="Arial" w:hAnsi="Arial"/>
          <w:sz w:val="13"/>
          <w:szCs w:val="13"/>
          <w:color w:val="00A798"/>
        </w:rPr>
      </w:pPr>
    </w:p>
    <w:p>
      <w:pPr>
        <w:ind w:left="163" w:hanging="163"/>
        <w:spacing w:after="0"/>
        <w:tabs>
          <w:tab w:leader="none" w:pos="163" w:val="left"/>
        </w:tabs>
        <w:numPr>
          <w:ilvl w:val="0"/>
          <w:numId w:val="26"/>
        </w:numPr>
        <w:rPr>
          <w:rFonts w:ascii="Arial" w:cs="Arial" w:eastAsia="Arial" w:hAnsi="Arial"/>
          <w:sz w:val="13"/>
          <w:szCs w:val="13"/>
          <w:color w:val="00A798"/>
        </w:rPr>
      </w:pPr>
      <w:r>
        <w:rPr>
          <w:rFonts w:ascii="Arial" w:cs="Arial" w:eastAsia="Arial" w:hAnsi="Arial"/>
          <w:sz w:val="14"/>
          <w:szCs w:val="14"/>
          <w:color w:val="auto"/>
        </w:rPr>
        <w:t>Facilitates teamwork and communication among the independent directors</w:t>
      </w:r>
    </w:p>
    <w:p>
      <w:pPr>
        <w:spacing w:after="0" w:line="82" w:lineRule="exact"/>
        <w:rPr>
          <w:rFonts w:ascii="Arial" w:cs="Arial" w:eastAsia="Arial" w:hAnsi="Arial"/>
          <w:sz w:val="13"/>
          <w:szCs w:val="13"/>
          <w:color w:val="00A798"/>
        </w:rPr>
      </w:pPr>
    </w:p>
    <w:p>
      <w:pPr>
        <w:ind w:left="163" w:hanging="163"/>
        <w:spacing w:after="0"/>
        <w:tabs>
          <w:tab w:leader="none" w:pos="163" w:val="left"/>
        </w:tabs>
        <w:numPr>
          <w:ilvl w:val="0"/>
          <w:numId w:val="26"/>
        </w:numPr>
        <w:rPr>
          <w:rFonts w:ascii="Arial" w:cs="Arial" w:eastAsia="Arial" w:hAnsi="Arial"/>
          <w:sz w:val="13"/>
          <w:szCs w:val="13"/>
          <w:color w:val="00A798"/>
        </w:rPr>
      </w:pPr>
      <w:r>
        <w:rPr>
          <w:rFonts w:ascii="Arial" w:cs="Arial" w:eastAsia="Arial" w:hAnsi="Arial"/>
          <w:sz w:val="14"/>
          <w:szCs w:val="14"/>
          <w:color w:val="auto"/>
        </w:rPr>
        <w:t>Fosters an environment of open dialogue, effective information flow and constructive feedback</w:t>
      </w:r>
    </w:p>
    <w:p>
      <w:pPr>
        <w:spacing w:after="0" w:line="82" w:lineRule="exact"/>
        <w:rPr>
          <w:rFonts w:ascii="Arial" w:cs="Arial" w:eastAsia="Arial" w:hAnsi="Arial"/>
          <w:sz w:val="13"/>
          <w:szCs w:val="13"/>
          <w:color w:val="00A798"/>
        </w:rPr>
      </w:pPr>
    </w:p>
    <w:p>
      <w:pPr>
        <w:ind w:left="203" w:right="1100" w:hanging="203"/>
        <w:spacing w:after="0" w:line="325" w:lineRule="auto"/>
        <w:tabs>
          <w:tab w:leader="none" w:pos="164" w:val="left"/>
        </w:tabs>
        <w:numPr>
          <w:ilvl w:val="0"/>
          <w:numId w:val="26"/>
        </w:numPr>
        <w:rPr>
          <w:rFonts w:ascii="Arial" w:cs="Arial" w:eastAsia="Arial" w:hAnsi="Arial"/>
          <w:sz w:val="13"/>
          <w:szCs w:val="13"/>
          <w:color w:val="00A798"/>
        </w:rPr>
      </w:pPr>
      <w:r>
        <w:rPr>
          <w:rFonts w:ascii="Arial" w:cs="Arial" w:eastAsia="Arial" w:hAnsi="Arial"/>
          <w:sz w:val="14"/>
          <w:szCs w:val="14"/>
          <w:color w:val="auto"/>
        </w:rPr>
        <w:t>Ensures Board discussions effectively and appropriately engage management, including with respect to strategic and risk oversight matters,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71755</wp:posOffset>
            </wp:positionV>
            <wp:extent cx="56921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17" w:space="720"/>
            <w:col w:w="8703"/>
          </w:cols>
          <w:pgMar w:left="320" w:top="130"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80" w:type="dxa"/>
            <w:vAlign w:val="bottom"/>
          </w:tcPr>
          <w:p>
            <w:pPr>
              <w:ind w:left="300"/>
              <w:spacing w:after="0"/>
              <w:rPr>
                <w:sz w:val="20"/>
                <w:szCs w:val="20"/>
                <w:color w:val="auto"/>
              </w:rPr>
            </w:pPr>
            <w:r>
              <w:rPr>
                <w:rFonts w:ascii="Arial" w:cs="Arial" w:eastAsia="Arial" w:hAnsi="Arial"/>
                <w:sz w:val="18"/>
                <w:szCs w:val="18"/>
                <w:b w:val="1"/>
                <w:bCs w:val="1"/>
                <w:color w:val="FFFFFF"/>
              </w:rPr>
              <w:t>Board</w:t>
            </w:r>
          </w:p>
        </w:tc>
        <w:tc>
          <w:tcPr>
            <w:tcW w:w="360" w:type="dxa"/>
            <w:vAlign w:val="bottom"/>
          </w:tcPr>
          <w:p>
            <w:pPr>
              <w:ind w:left="260"/>
              <w:spacing w:after="0"/>
              <w:rPr>
                <w:sz w:val="20"/>
                <w:szCs w:val="20"/>
                <w:color w:val="auto"/>
              </w:rPr>
            </w:pPr>
            <w:r>
              <w:rPr>
                <w:rFonts w:ascii="Arial" w:cs="Arial" w:eastAsia="Arial" w:hAnsi="Arial"/>
                <w:sz w:val="13"/>
                <w:szCs w:val="13"/>
                <w:color w:val="00A798"/>
              </w:rPr>
              <w:t>•</w:t>
            </w:r>
          </w:p>
        </w:tc>
        <w:tc>
          <w:tcPr>
            <w:tcW w:w="8600" w:type="dxa"/>
            <w:vAlign w:val="bottom"/>
          </w:tcPr>
          <w:p>
            <w:pPr>
              <w:ind w:left="60"/>
              <w:spacing w:after="0"/>
              <w:rPr>
                <w:sz w:val="20"/>
                <w:szCs w:val="20"/>
                <w:color w:val="auto"/>
              </w:rPr>
            </w:pPr>
            <w:r>
              <w:rPr>
                <w:rFonts w:ascii="Arial" w:cs="Arial" w:eastAsia="Arial" w:hAnsi="Arial"/>
                <w:sz w:val="14"/>
                <w:szCs w:val="14"/>
                <w:color w:val="auto"/>
              </w:rPr>
              <w:t>Presides at all meetings of the Board at which the Chairman is not present</w:t>
            </w:r>
          </w:p>
        </w:tc>
        <w:tc>
          <w:tcPr>
            <w:tcW w:w="0" w:type="dxa"/>
            <w:vAlign w:val="bottom"/>
          </w:tcPr>
          <w:p>
            <w:pPr>
              <w:spacing w:after="0"/>
              <w:rPr>
                <w:sz w:val="1"/>
                <w:szCs w:val="1"/>
                <w:color w:val="auto"/>
              </w:rPr>
            </w:pPr>
          </w:p>
        </w:tc>
      </w:tr>
      <w:tr>
        <w:trPr>
          <w:trHeight w:val="247"/>
        </w:trPr>
        <w:tc>
          <w:tcPr>
            <w:tcW w:w="2280" w:type="dxa"/>
            <w:vAlign w:val="bottom"/>
          </w:tcPr>
          <w:p>
            <w:pPr>
              <w:ind w:left="300"/>
              <w:spacing w:after="0"/>
              <w:rPr>
                <w:sz w:val="20"/>
                <w:szCs w:val="20"/>
                <w:color w:val="auto"/>
              </w:rPr>
            </w:pPr>
            <w:r>
              <w:rPr>
                <w:rFonts w:ascii="Arial" w:cs="Arial" w:eastAsia="Arial" w:hAnsi="Arial"/>
                <w:sz w:val="18"/>
                <w:szCs w:val="18"/>
                <w:b w:val="1"/>
                <w:bCs w:val="1"/>
                <w:color w:val="FFFFFF"/>
              </w:rPr>
              <w:t>Meetings</w:t>
            </w:r>
          </w:p>
        </w:tc>
        <w:tc>
          <w:tcPr>
            <w:tcW w:w="360" w:type="dxa"/>
            <w:vAlign w:val="bottom"/>
          </w:tcPr>
          <w:p>
            <w:pPr>
              <w:ind w:left="260"/>
              <w:spacing w:after="0"/>
              <w:rPr>
                <w:sz w:val="20"/>
                <w:szCs w:val="20"/>
                <w:color w:val="auto"/>
              </w:rPr>
            </w:pPr>
            <w:r>
              <w:rPr>
                <w:rFonts w:ascii="Arial" w:cs="Arial" w:eastAsia="Arial" w:hAnsi="Arial"/>
                <w:sz w:val="13"/>
                <w:szCs w:val="13"/>
                <w:color w:val="00A798"/>
              </w:rPr>
              <w:t>•</w:t>
            </w:r>
          </w:p>
        </w:tc>
        <w:tc>
          <w:tcPr>
            <w:tcW w:w="8600" w:type="dxa"/>
            <w:vAlign w:val="bottom"/>
          </w:tcPr>
          <w:p>
            <w:pPr>
              <w:ind w:left="60"/>
              <w:spacing w:after="0"/>
              <w:rPr>
                <w:sz w:val="20"/>
                <w:szCs w:val="20"/>
                <w:color w:val="auto"/>
              </w:rPr>
            </w:pPr>
            <w:r>
              <w:rPr>
                <w:rFonts w:ascii="Arial" w:cs="Arial" w:eastAsia="Arial" w:hAnsi="Arial"/>
                <w:sz w:val="14"/>
                <w:szCs w:val="14"/>
                <w:color w:val="auto"/>
              </w:rPr>
              <w:t>Has authority to call, and lead, independent director sessions</w:t>
            </w: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8960" w:type="dxa"/>
            <w:vAlign w:val="bottom"/>
            <w:gridSpan w:val="2"/>
          </w:tcPr>
          <w:p>
            <w:pPr>
              <w:ind w:left="260"/>
              <w:spacing w:after="0"/>
              <w:rPr>
                <w:sz w:val="20"/>
                <w:szCs w:val="20"/>
                <w:color w:val="auto"/>
              </w:rPr>
            </w:pPr>
            <w:r>
              <w:rPr>
                <w:rFonts w:ascii="Arial" w:cs="Arial" w:eastAsia="Arial" w:hAnsi="Arial"/>
                <w:sz w:val="13"/>
                <w:szCs w:val="13"/>
                <w:color w:val="00A798"/>
              </w:rPr>
              <w:t xml:space="preserve">•  </w:t>
            </w:r>
            <w:r>
              <w:rPr>
                <w:rFonts w:ascii="Arial" w:cs="Arial" w:eastAsia="Arial" w:hAnsi="Arial"/>
                <w:sz w:val="14"/>
                <w:szCs w:val="14"/>
                <w:color w:val="000000"/>
              </w:rPr>
              <w:t>Approves all Board meeting agendas and schedules to ensure appropriate topics and sufficient time for discussion of all items</w:t>
            </w:r>
          </w:p>
        </w:tc>
        <w:tc>
          <w:tcPr>
            <w:tcW w:w="0" w:type="dxa"/>
            <w:vAlign w:val="bottom"/>
          </w:tcPr>
          <w:p>
            <w:pPr>
              <w:spacing w:after="0"/>
              <w:rPr>
                <w:sz w:val="1"/>
                <w:szCs w:val="1"/>
                <w:color w:val="auto"/>
              </w:rPr>
            </w:pPr>
          </w:p>
        </w:tc>
      </w:tr>
      <w:tr>
        <w:trPr>
          <w:trHeight w:val="242"/>
        </w:trPr>
        <w:tc>
          <w:tcPr>
            <w:tcW w:w="2280" w:type="dxa"/>
            <w:vAlign w:val="bottom"/>
          </w:tcPr>
          <w:p>
            <w:pPr>
              <w:spacing w:after="0"/>
              <w:rPr>
                <w:sz w:val="21"/>
                <w:szCs w:val="21"/>
                <w:color w:val="auto"/>
              </w:rPr>
            </w:pPr>
          </w:p>
        </w:tc>
        <w:tc>
          <w:tcPr>
            <w:tcW w:w="8960" w:type="dxa"/>
            <w:vAlign w:val="bottom"/>
            <w:gridSpan w:val="2"/>
          </w:tcPr>
          <w:p>
            <w:pPr>
              <w:ind w:left="260"/>
              <w:spacing w:after="0"/>
              <w:rPr>
                <w:sz w:val="20"/>
                <w:szCs w:val="20"/>
                <w:color w:val="auto"/>
              </w:rPr>
            </w:pPr>
            <w:r>
              <w:rPr>
                <w:rFonts w:ascii="Arial" w:cs="Arial" w:eastAsia="Arial" w:hAnsi="Arial"/>
                <w:sz w:val="13"/>
                <w:szCs w:val="13"/>
                <w:color w:val="00A798"/>
              </w:rPr>
              <w:t xml:space="preserve">•  </w:t>
            </w:r>
            <w:r>
              <w:rPr>
                <w:rFonts w:ascii="Arial" w:cs="Arial" w:eastAsia="Arial" w:hAnsi="Arial"/>
                <w:sz w:val="14"/>
                <w:szCs w:val="14"/>
                <w:color w:val="000000"/>
              </w:rPr>
              <w:t>Provides approval for other Board related materials (e.g., directors, acting through the Lead Director, may propose matters to be</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0" w:type="dxa"/>
            <w:vAlign w:val="bottom"/>
          </w:tcPr>
          <w:p>
            <w:pPr>
              <w:ind w:left="100"/>
              <w:spacing w:after="0"/>
              <w:rPr>
                <w:sz w:val="20"/>
                <w:szCs w:val="20"/>
                <w:color w:val="auto"/>
              </w:rPr>
            </w:pPr>
            <w:r>
              <w:rPr>
                <w:rFonts w:ascii="Arial" w:cs="Arial" w:eastAsia="Arial" w:hAnsi="Arial"/>
                <w:sz w:val="14"/>
                <w:szCs w:val="14"/>
                <w:color w:val="auto"/>
              </w:rPr>
              <w:t>included on the agenda for a meeting)</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8960" w:type="dxa"/>
            <w:vAlign w:val="bottom"/>
            <w:gridSpan w:val="2"/>
          </w:tcPr>
          <w:p>
            <w:pPr>
              <w:ind w:left="260"/>
              <w:spacing w:after="0"/>
              <w:rPr>
                <w:sz w:val="20"/>
                <w:szCs w:val="20"/>
                <w:color w:val="auto"/>
              </w:rPr>
            </w:pPr>
            <w:r>
              <w:rPr>
                <w:rFonts w:ascii="Arial" w:cs="Arial" w:eastAsia="Arial" w:hAnsi="Arial"/>
                <w:sz w:val="13"/>
                <w:szCs w:val="13"/>
                <w:color w:val="00A798"/>
              </w:rPr>
              <w:t xml:space="preserve">•  </w:t>
            </w:r>
            <w:r>
              <w:rPr>
                <w:rFonts w:ascii="Arial" w:cs="Arial" w:eastAsia="Arial" w:hAnsi="Arial"/>
                <w:sz w:val="14"/>
                <w:szCs w:val="14"/>
                <w:color w:val="000000"/>
              </w:rPr>
              <w:t>Facilitates strong, independent oversight by leading executive sessions of independent directors at least after every quarterly Board</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0" w:type="dxa"/>
            <w:vAlign w:val="bottom"/>
          </w:tcPr>
          <w:p>
            <w:pPr>
              <w:ind w:left="100"/>
              <w:spacing w:after="0"/>
              <w:rPr>
                <w:sz w:val="20"/>
                <w:szCs w:val="20"/>
                <w:color w:val="auto"/>
              </w:rPr>
            </w:pPr>
            <w:r>
              <w:rPr>
                <w:rFonts w:ascii="Arial" w:cs="Arial" w:eastAsia="Arial" w:hAnsi="Arial"/>
                <w:sz w:val="14"/>
                <w:szCs w:val="14"/>
                <w:color w:val="auto"/>
              </w:rPr>
              <w:t>meeting</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360" w:type="dxa"/>
            <w:vAlign w:val="bottom"/>
            <w:tcBorders>
              <w:bottom w:val="single" w:sz="8" w:color="E6E7E8"/>
            </w:tcBorders>
          </w:tcPr>
          <w:p>
            <w:pPr>
              <w:spacing w:after="0"/>
              <w:rPr>
                <w:sz w:val="15"/>
                <w:szCs w:val="15"/>
                <w:color w:val="auto"/>
              </w:rPr>
            </w:pPr>
          </w:p>
        </w:tc>
        <w:tc>
          <w:tcPr>
            <w:tcW w:w="8600" w:type="dxa"/>
            <w:vAlign w:val="bottom"/>
            <w:tcBorders>
              <w:bottom w:val="single" w:sz="8" w:color="E6E7E8"/>
            </w:tcBorders>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280" w:type="dxa"/>
            <w:vAlign w:val="bottom"/>
          </w:tcPr>
          <w:p>
            <w:pPr>
              <w:ind w:left="300"/>
              <w:spacing w:after="0"/>
              <w:rPr>
                <w:sz w:val="20"/>
                <w:szCs w:val="20"/>
                <w:color w:val="auto"/>
              </w:rPr>
            </w:pPr>
            <w:r>
              <w:rPr>
                <w:rFonts w:ascii="Arial" w:cs="Arial" w:eastAsia="Arial" w:hAnsi="Arial"/>
                <w:sz w:val="18"/>
                <w:szCs w:val="18"/>
                <w:b w:val="1"/>
                <w:bCs w:val="1"/>
                <w:color w:val="FFFFFF"/>
              </w:rPr>
              <w:t>Performance,</w:t>
            </w:r>
          </w:p>
        </w:tc>
        <w:tc>
          <w:tcPr>
            <w:tcW w:w="360" w:type="dxa"/>
            <w:vAlign w:val="bottom"/>
          </w:tcPr>
          <w:p>
            <w:pPr>
              <w:ind w:left="260"/>
              <w:spacing w:after="0"/>
              <w:rPr>
                <w:sz w:val="20"/>
                <w:szCs w:val="20"/>
                <w:color w:val="auto"/>
              </w:rPr>
            </w:pPr>
            <w:r>
              <w:rPr>
                <w:rFonts w:ascii="Arial" w:cs="Arial" w:eastAsia="Arial" w:hAnsi="Arial"/>
                <w:sz w:val="13"/>
                <w:szCs w:val="13"/>
                <w:color w:val="00A798"/>
              </w:rPr>
              <w:t>•</w:t>
            </w:r>
          </w:p>
        </w:tc>
        <w:tc>
          <w:tcPr>
            <w:tcW w:w="8600" w:type="dxa"/>
            <w:vAlign w:val="bottom"/>
          </w:tcPr>
          <w:p>
            <w:pPr>
              <w:ind w:left="60"/>
              <w:spacing w:after="0"/>
              <w:rPr>
                <w:sz w:val="20"/>
                <w:szCs w:val="20"/>
                <w:color w:val="auto"/>
              </w:rPr>
            </w:pPr>
            <w:r>
              <w:rPr>
                <w:rFonts w:ascii="Arial" w:cs="Arial" w:eastAsia="Arial" w:hAnsi="Arial"/>
                <w:sz w:val="14"/>
                <w:szCs w:val="14"/>
                <w:color w:val="auto"/>
              </w:rPr>
              <w:t>Conducts individual director evaluations with independent directors, discussing topics including the Board’s culture, leadership</w:t>
            </w:r>
          </w:p>
        </w:tc>
        <w:tc>
          <w:tcPr>
            <w:tcW w:w="0" w:type="dxa"/>
            <w:vAlign w:val="bottom"/>
          </w:tcPr>
          <w:p>
            <w:pPr>
              <w:spacing w:after="0"/>
              <w:rPr>
                <w:sz w:val="1"/>
                <w:szCs w:val="1"/>
                <w:color w:val="auto"/>
              </w:rPr>
            </w:pPr>
          </w:p>
        </w:tc>
      </w:tr>
      <w:tr>
        <w:trPr>
          <w:trHeight w:val="190"/>
        </w:trPr>
        <w:tc>
          <w:tcPr>
            <w:tcW w:w="2280" w:type="dxa"/>
            <w:vAlign w:val="bottom"/>
            <w:vMerge w:val="restart"/>
          </w:tcPr>
          <w:p>
            <w:pPr>
              <w:ind w:left="300"/>
              <w:spacing w:after="0"/>
              <w:rPr>
                <w:sz w:val="20"/>
                <w:szCs w:val="20"/>
                <w:color w:val="auto"/>
              </w:rPr>
            </w:pPr>
            <w:r>
              <w:rPr>
                <w:rFonts w:ascii="Arial" w:cs="Arial" w:eastAsia="Arial" w:hAnsi="Arial"/>
                <w:sz w:val="18"/>
                <w:szCs w:val="18"/>
                <w:b w:val="1"/>
                <w:bCs w:val="1"/>
                <w:color w:val="FFFFFF"/>
              </w:rPr>
              <w:t>Development</w:t>
            </w:r>
          </w:p>
        </w:tc>
        <w:tc>
          <w:tcPr>
            <w:tcW w:w="360" w:type="dxa"/>
            <w:vAlign w:val="bottom"/>
          </w:tcPr>
          <w:p>
            <w:pPr>
              <w:spacing w:after="0"/>
              <w:rPr>
                <w:sz w:val="16"/>
                <w:szCs w:val="16"/>
                <w:color w:val="auto"/>
              </w:rPr>
            </w:pPr>
          </w:p>
        </w:tc>
        <w:tc>
          <w:tcPr>
            <w:tcW w:w="8600" w:type="dxa"/>
            <w:vAlign w:val="bottom"/>
          </w:tcPr>
          <w:p>
            <w:pPr>
              <w:ind w:left="100"/>
              <w:spacing w:after="0"/>
              <w:rPr>
                <w:sz w:val="20"/>
                <w:szCs w:val="20"/>
                <w:color w:val="auto"/>
              </w:rPr>
            </w:pPr>
            <w:r>
              <w:rPr>
                <w:rFonts w:ascii="Arial" w:cs="Arial" w:eastAsia="Arial" w:hAnsi="Arial"/>
                <w:sz w:val="14"/>
                <w:szCs w:val="14"/>
                <w:color w:val="auto"/>
              </w:rPr>
              <w:t>structure, committee effectiveness, continuing education, skills and expertise, and other areas</w:t>
            </w:r>
          </w:p>
        </w:tc>
        <w:tc>
          <w:tcPr>
            <w:tcW w:w="0" w:type="dxa"/>
            <w:vAlign w:val="bottom"/>
          </w:tcPr>
          <w:p>
            <w:pPr>
              <w:spacing w:after="0"/>
              <w:rPr>
                <w:sz w:val="1"/>
                <w:szCs w:val="1"/>
                <w:color w:val="auto"/>
              </w:rPr>
            </w:pPr>
          </w:p>
        </w:tc>
      </w:tr>
      <w:tr>
        <w:trPr>
          <w:trHeight w:val="97"/>
        </w:trPr>
        <w:tc>
          <w:tcPr>
            <w:tcW w:w="2280" w:type="dxa"/>
            <w:vAlign w:val="bottom"/>
            <w:vMerge w:val="continue"/>
          </w:tcPr>
          <w:p>
            <w:pPr>
              <w:spacing w:after="0"/>
              <w:rPr>
                <w:sz w:val="8"/>
                <w:szCs w:val="8"/>
                <w:color w:val="auto"/>
              </w:rPr>
            </w:pPr>
          </w:p>
        </w:tc>
        <w:tc>
          <w:tcPr>
            <w:tcW w:w="8960" w:type="dxa"/>
            <w:vAlign w:val="bottom"/>
            <w:gridSpan w:val="2"/>
            <w:vMerge w:val="restart"/>
          </w:tcPr>
          <w:p>
            <w:pPr>
              <w:ind w:left="260"/>
              <w:spacing w:after="0"/>
              <w:rPr>
                <w:sz w:val="20"/>
                <w:szCs w:val="20"/>
                <w:color w:val="auto"/>
              </w:rPr>
            </w:pPr>
            <w:r>
              <w:rPr>
                <w:rFonts w:ascii="Arial" w:cs="Arial" w:eastAsia="Arial" w:hAnsi="Arial"/>
                <w:sz w:val="13"/>
                <w:szCs w:val="13"/>
                <w:color w:val="00A798"/>
              </w:rPr>
              <w:t xml:space="preserve">•  </w:t>
            </w:r>
            <w:r>
              <w:rPr>
                <w:rFonts w:ascii="Arial" w:cs="Arial" w:eastAsia="Arial" w:hAnsi="Arial"/>
                <w:sz w:val="14"/>
                <w:szCs w:val="14"/>
                <w:color w:val="000000"/>
              </w:rPr>
              <w:t>Reports to the Board, in conjunction with the Governance Committee, on the Board’s annual self-assessment and provides</w:t>
            </w:r>
          </w:p>
        </w:tc>
        <w:tc>
          <w:tcPr>
            <w:tcW w:w="0" w:type="dxa"/>
            <w:vAlign w:val="bottom"/>
          </w:tcPr>
          <w:p>
            <w:pPr>
              <w:spacing w:after="0"/>
              <w:rPr>
                <w:sz w:val="1"/>
                <w:szCs w:val="1"/>
                <w:color w:val="auto"/>
              </w:rPr>
            </w:pPr>
          </w:p>
        </w:tc>
      </w:tr>
      <w:tr>
        <w:trPr>
          <w:trHeight w:val="145"/>
        </w:trPr>
        <w:tc>
          <w:tcPr>
            <w:tcW w:w="2280" w:type="dxa"/>
            <w:vAlign w:val="bottom"/>
            <w:vMerge w:val="restart"/>
          </w:tcPr>
          <w:p>
            <w:pPr>
              <w:ind w:left="300"/>
              <w:spacing w:after="0"/>
              <w:rPr>
                <w:sz w:val="20"/>
                <w:szCs w:val="20"/>
                <w:color w:val="auto"/>
              </w:rPr>
            </w:pPr>
            <w:r>
              <w:rPr>
                <w:rFonts w:ascii="Arial" w:cs="Arial" w:eastAsia="Arial" w:hAnsi="Arial"/>
                <w:sz w:val="18"/>
                <w:szCs w:val="18"/>
                <w:b w:val="1"/>
                <w:bCs w:val="1"/>
                <w:color w:val="FFFFFF"/>
              </w:rPr>
              <w:t>and</w:t>
            </w:r>
          </w:p>
        </w:tc>
        <w:tc>
          <w:tcPr>
            <w:tcW w:w="8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600" w:type="dxa"/>
            <w:vAlign w:val="bottom"/>
            <w:vMerge w:val="restart"/>
          </w:tcPr>
          <w:p>
            <w:pPr>
              <w:ind w:left="100"/>
              <w:spacing w:after="0"/>
              <w:rPr>
                <w:sz w:val="20"/>
                <w:szCs w:val="20"/>
                <w:color w:val="auto"/>
              </w:rPr>
            </w:pPr>
            <w:r>
              <w:rPr>
                <w:rFonts w:ascii="Arial" w:cs="Arial" w:eastAsia="Arial" w:hAnsi="Arial"/>
                <w:sz w:val="14"/>
                <w:szCs w:val="14"/>
                <w:color w:val="auto"/>
              </w:rPr>
              <w:t>recommendations for improvement, including relating to the Board’s oversight efforts and engagement with management</w:t>
            </w:r>
          </w:p>
        </w:tc>
        <w:tc>
          <w:tcPr>
            <w:tcW w:w="0" w:type="dxa"/>
            <w:vAlign w:val="bottom"/>
          </w:tcPr>
          <w:p>
            <w:pPr>
              <w:spacing w:after="0"/>
              <w:rPr>
                <w:sz w:val="1"/>
                <w:szCs w:val="1"/>
                <w:color w:val="auto"/>
              </w:rPr>
            </w:pPr>
          </w:p>
        </w:tc>
      </w:tr>
      <w:tr>
        <w:trPr>
          <w:trHeight w:val="105"/>
        </w:trPr>
        <w:tc>
          <w:tcPr>
            <w:tcW w:w="2280" w:type="dxa"/>
            <w:vAlign w:val="bottom"/>
            <w:vMerge w:val="restart"/>
          </w:tcPr>
          <w:p>
            <w:pPr>
              <w:ind w:left="300"/>
              <w:spacing w:after="0"/>
              <w:rPr>
                <w:sz w:val="20"/>
                <w:szCs w:val="20"/>
                <w:color w:val="auto"/>
              </w:rPr>
            </w:pPr>
            <w:r>
              <w:rPr>
                <w:rFonts w:ascii="Arial" w:cs="Arial" w:eastAsia="Arial" w:hAnsi="Arial"/>
                <w:sz w:val="18"/>
                <w:szCs w:val="18"/>
                <w:b w:val="1"/>
                <w:bCs w:val="1"/>
                <w:color w:val="FFFFFF"/>
              </w:rPr>
              <w:t>Succession</w:t>
            </w:r>
          </w:p>
        </w:tc>
        <w:tc>
          <w:tcPr>
            <w:tcW w:w="360" w:type="dxa"/>
            <w:vAlign w:val="bottom"/>
          </w:tcPr>
          <w:p>
            <w:pPr>
              <w:spacing w:after="0"/>
              <w:rPr>
                <w:sz w:val="9"/>
                <w:szCs w:val="9"/>
                <w:color w:val="auto"/>
              </w:rPr>
            </w:pPr>
          </w:p>
        </w:tc>
        <w:tc>
          <w:tcPr>
            <w:tcW w:w="8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280" w:type="dxa"/>
            <w:vAlign w:val="bottom"/>
            <w:vMerge w:val="continue"/>
          </w:tcPr>
          <w:p>
            <w:pPr>
              <w:spacing w:after="0"/>
              <w:rPr>
                <w:sz w:val="12"/>
                <w:szCs w:val="12"/>
                <w:color w:val="auto"/>
              </w:rPr>
            </w:pPr>
          </w:p>
        </w:tc>
        <w:tc>
          <w:tcPr>
            <w:tcW w:w="360" w:type="dxa"/>
            <w:vAlign w:val="bottom"/>
            <w:vMerge w:val="restart"/>
          </w:tcPr>
          <w:p>
            <w:pPr>
              <w:ind w:left="260"/>
              <w:spacing w:after="0"/>
              <w:rPr>
                <w:sz w:val="20"/>
                <w:szCs w:val="20"/>
                <w:color w:val="auto"/>
              </w:rPr>
            </w:pPr>
            <w:r>
              <w:rPr>
                <w:rFonts w:ascii="Arial" w:cs="Arial" w:eastAsia="Arial" w:hAnsi="Arial"/>
                <w:sz w:val="13"/>
                <w:szCs w:val="13"/>
                <w:color w:val="00A798"/>
              </w:rPr>
              <w:t>•</w:t>
            </w:r>
          </w:p>
        </w:tc>
        <w:tc>
          <w:tcPr>
            <w:tcW w:w="8600" w:type="dxa"/>
            <w:vAlign w:val="bottom"/>
            <w:vMerge w:val="restart"/>
          </w:tcPr>
          <w:p>
            <w:pPr>
              <w:ind w:left="60"/>
              <w:spacing w:after="0"/>
              <w:rPr>
                <w:sz w:val="20"/>
                <w:szCs w:val="20"/>
                <w:color w:val="auto"/>
              </w:rPr>
            </w:pPr>
            <w:r>
              <w:rPr>
                <w:rFonts w:ascii="Arial" w:cs="Arial" w:eastAsia="Arial" w:hAnsi="Arial"/>
                <w:sz w:val="14"/>
                <w:szCs w:val="14"/>
                <w:color w:val="auto"/>
              </w:rPr>
              <w:t>Collaborates with the Compensation Committee to oversee management succession and progression planning efforts</w:t>
            </w: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8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8960" w:type="dxa"/>
            <w:vAlign w:val="bottom"/>
            <w:gridSpan w:val="2"/>
          </w:tcPr>
          <w:p>
            <w:pPr>
              <w:ind w:left="260"/>
              <w:spacing w:after="0"/>
              <w:rPr>
                <w:sz w:val="20"/>
                <w:szCs w:val="20"/>
                <w:color w:val="auto"/>
              </w:rPr>
            </w:pPr>
            <w:r>
              <w:rPr>
                <w:rFonts w:ascii="Arial" w:cs="Arial" w:eastAsia="Arial" w:hAnsi="Arial"/>
                <w:sz w:val="13"/>
                <w:szCs w:val="13"/>
                <w:color w:val="00A798"/>
              </w:rPr>
              <w:t xml:space="preserve">•  </w:t>
            </w:r>
            <w:r>
              <w:rPr>
                <w:rFonts w:ascii="Arial" w:cs="Arial" w:eastAsia="Arial" w:hAnsi="Arial"/>
                <w:sz w:val="14"/>
                <w:szCs w:val="14"/>
                <w:color w:val="000000"/>
              </w:rPr>
              <w:t>Meets directly with management of the Company</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360" w:type="dxa"/>
            <w:vAlign w:val="bottom"/>
            <w:tcBorders>
              <w:bottom w:val="single" w:sz="8" w:color="E6E7E8"/>
            </w:tcBorders>
          </w:tcPr>
          <w:p>
            <w:pPr>
              <w:spacing w:after="0"/>
              <w:rPr>
                <w:sz w:val="15"/>
                <w:szCs w:val="15"/>
                <w:color w:val="auto"/>
              </w:rPr>
            </w:pPr>
          </w:p>
        </w:tc>
        <w:tc>
          <w:tcPr>
            <w:tcW w:w="8600" w:type="dxa"/>
            <w:vAlign w:val="bottom"/>
            <w:tcBorders>
              <w:bottom w:val="single" w:sz="8" w:color="E6E7E8"/>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280" w:type="dxa"/>
            <w:vAlign w:val="bottom"/>
          </w:tcPr>
          <w:p>
            <w:pPr>
              <w:ind w:left="300"/>
              <w:spacing w:after="0"/>
              <w:rPr>
                <w:sz w:val="20"/>
                <w:szCs w:val="20"/>
                <w:color w:val="auto"/>
              </w:rPr>
            </w:pPr>
            <w:r>
              <w:rPr>
                <w:rFonts w:ascii="Arial" w:cs="Arial" w:eastAsia="Arial" w:hAnsi="Arial"/>
                <w:sz w:val="18"/>
                <w:szCs w:val="18"/>
                <w:b w:val="1"/>
                <w:bCs w:val="1"/>
                <w:color w:val="FFFFFF"/>
              </w:rPr>
              <w:t>Shareholder</w:t>
            </w:r>
          </w:p>
        </w:tc>
        <w:tc>
          <w:tcPr>
            <w:tcW w:w="360" w:type="dxa"/>
            <w:vAlign w:val="bottom"/>
          </w:tcPr>
          <w:p>
            <w:pPr>
              <w:ind w:left="260"/>
              <w:spacing w:after="0"/>
              <w:rPr>
                <w:sz w:val="20"/>
                <w:szCs w:val="20"/>
                <w:color w:val="auto"/>
              </w:rPr>
            </w:pPr>
            <w:r>
              <w:rPr>
                <w:rFonts w:ascii="Arial" w:cs="Arial" w:eastAsia="Arial" w:hAnsi="Arial"/>
                <w:sz w:val="13"/>
                <w:szCs w:val="13"/>
                <w:color w:val="00A798"/>
              </w:rPr>
              <w:t>•</w:t>
            </w:r>
          </w:p>
        </w:tc>
        <w:tc>
          <w:tcPr>
            <w:tcW w:w="8600" w:type="dxa"/>
            <w:vAlign w:val="bottom"/>
          </w:tcPr>
          <w:p>
            <w:pPr>
              <w:ind w:left="60"/>
              <w:spacing w:after="0"/>
              <w:rPr>
                <w:sz w:val="20"/>
                <w:szCs w:val="20"/>
                <w:color w:val="auto"/>
              </w:rPr>
            </w:pPr>
            <w:r>
              <w:rPr>
                <w:rFonts w:ascii="Arial" w:cs="Arial" w:eastAsia="Arial" w:hAnsi="Arial"/>
                <w:sz w:val="14"/>
                <w:szCs w:val="14"/>
                <w:color w:val="auto"/>
              </w:rPr>
              <w:t>Consults and directly communicates with shareholders and other key constituents, as appropriate</w:t>
            </w:r>
          </w:p>
        </w:tc>
        <w:tc>
          <w:tcPr>
            <w:tcW w:w="0" w:type="dxa"/>
            <w:vAlign w:val="bottom"/>
          </w:tcPr>
          <w:p>
            <w:pPr>
              <w:spacing w:after="0"/>
              <w:rPr>
                <w:sz w:val="1"/>
                <w:szCs w:val="1"/>
                <w:color w:val="auto"/>
              </w:rPr>
            </w:pPr>
          </w:p>
        </w:tc>
      </w:tr>
      <w:tr>
        <w:trPr>
          <w:trHeight w:val="199"/>
        </w:trPr>
        <w:tc>
          <w:tcPr>
            <w:tcW w:w="2280" w:type="dxa"/>
            <w:vAlign w:val="bottom"/>
          </w:tcPr>
          <w:p>
            <w:pPr>
              <w:ind w:left="300"/>
              <w:spacing w:after="0" w:line="199" w:lineRule="exact"/>
              <w:rPr>
                <w:sz w:val="20"/>
                <w:szCs w:val="20"/>
                <w:color w:val="auto"/>
              </w:rPr>
            </w:pPr>
            <w:r>
              <w:rPr>
                <w:rFonts w:ascii="Arial" w:cs="Arial" w:eastAsia="Arial" w:hAnsi="Arial"/>
                <w:sz w:val="18"/>
                <w:szCs w:val="18"/>
                <w:b w:val="1"/>
                <w:bCs w:val="1"/>
                <w:color w:val="FFFFFF"/>
              </w:rPr>
              <w:t>Engagement</w:t>
            </w:r>
          </w:p>
        </w:tc>
        <w:tc>
          <w:tcPr>
            <w:tcW w:w="360" w:type="dxa"/>
            <w:vAlign w:val="bottom"/>
          </w:tcPr>
          <w:p>
            <w:pPr>
              <w:ind w:left="260"/>
              <w:spacing w:after="0"/>
              <w:rPr>
                <w:sz w:val="20"/>
                <w:szCs w:val="20"/>
                <w:color w:val="auto"/>
              </w:rPr>
            </w:pPr>
            <w:r>
              <w:rPr>
                <w:rFonts w:ascii="Arial" w:cs="Arial" w:eastAsia="Arial" w:hAnsi="Arial"/>
                <w:sz w:val="13"/>
                <w:szCs w:val="13"/>
                <w:color w:val="00A798"/>
              </w:rPr>
              <w:t>•</w:t>
            </w:r>
          </w:p>
        </w:tc>
        <w:tc>
          <w:tcPr>
            <w:tcW w:w="8600" w:type="dxa"/>
            <w:vAlign w:val="bottom"/>
          </w:tcPr>
          <w:p>
            <w:pPr>
              <w:ind w:left="60"/>
              <w:spacing w:after="0"/>
              <w:rPr>
                <w:sz w:val="20"/>
                <w:szCs w:val="20"/>
                <w:color w:val="auto"/>
              </w:rPr>
            </w:pPr>
            <w:r>
              <w:rPr>
                <w:rFonts w:ascii="Arial" w:cs="Arial" w:eastAsia="Arial" w:hAnsi="Arial"/>
                <w:sz w:val="14"/>
                <w:szCs w:val="14"/>
                <w:color w:val="auto"/>
              </w:rPr>
              <w:t>Participates in our annual off-season engagement efforts where we meet with many of our top shareholders to discuss our corporate</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0" w:type="dxa"/>
            <w:vAlign w:val="bottom"/>
          </w:tcPr>
          <w:p>
            <w:pPr>
              <w:ind w:left="100"/>
              <w:spacing w:after="0"/>
              <w:rPr>
                <w:sz w:val="20"/>
                <w:szCs w:val="20"/>
                <w:color w:val="auto"/>
              </w:rPr>
            </w:pPr>
            <w:r>
              <w:rPr>
                <w:rFonts w:ascii="Arial" w:cs="Arial" w:eastAsia="Arial" w:hAnsi="Arial"/>
                <w:sz w:val="14"/>
                <w:szCs w:val="14"/>
                <w:color w:val="auto"/>
              </w:rPr>
              <w:t>responsibility practices, among other topics</w:t>
            </w:r>
          </w:p>
        </w:tc>
        <w:tc>
          <w:tcPr>
            <w:tcW w:w="0" w:type="dxa"/>
            <w:vAlign w:val="bottom"/>
          </w:tcPr>
          <w:p>
            <w:pPr>
              <w:spacing w:after="0"/>
              <w:rPr>
                <w:sz w:val="1"/>
                <w:szCs w:val="1"/>
                <w:color w:val="auto"/>
              </w:rPr>
            </w:pPr>
          </w:p>
        </w:tc>
      </w:tr>
      <w:tr>
        <w:trPr>
          <w:trHeight w:val="184"/>
        </w:trPr>
        <w:tc>
          <w:tcPr>
            <w:tcW w:w="2280" w:type="dxa"/>
            <w:vAlign w:val="bottom"/>
            <w:tcBorders>
              <w:bottom w:val="single" w:sz="8" w:color="00C4B3"/>
            </w:tcBorders>
          </w:tcPr>
          <w:p>
            <w:pPr>
              <w:spacing w:after="0"/>
              <w:rPr>
                <w:sz w:val="15"/>
                <w:szCs w:val="15"/>
                <w:color w:val="auto"/>
              </w:rPr>
            </w:pPr>
          </w:p>
        </w:tc>
        <w:tc>
          <w:tcPr>
            <w:tcW w:w="360" w:type="dxa"/>
            <w:vAlign w:val="bottom"/>
            <w:tcBorders>
              <w:bottom w:val="single" w:sz="8" w:color="00C4B3"/>
            </w:tcBorders>
          </w:tcPr>
          <w:p>
            <w:pPr>
              <w:spacing w:after="0"/>
              <w:rPr>
                <w:sz w:val="15"/>
                <w:szCs w:val="15"/>
                <w:color w:val="auto"/>
              </w:rPr>
            </w:pPr>
          </w:p>
        </w:tc>
        <w:tc>
          <w:tcPr>
            <w:tcW w:w="8600" w:type="dxa"/>
            <w:vAlign w:val="bottom"/>
            <w:tcBorders>
              <w:bottom w:val="single" w:sz="8" w:color="00C4B3"/>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While we believe that combining the roles of Chairman and CEO is the most effective leadership structure for our Board and the Company at this time, our Bylaws and Corporate Governance Policies also permit a structure where the CEO would not serve contemporaneously as the Chairman of the Board should the separation of such roles be determined appropriate and in the best interests of MSCI and its shareholders in the future.</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Committees of the Board of Directors</w:t>
      </w:r>
    </w:p>
    <w:p>
      <w:pPr>
        <w:spacing w:after="0" w:line="11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Board has adopted a written charter for each of the Audit Committee, Compensation Committee, Governance Committee and Strategy Committee setting forth the roles and responsibilities of each committee. The Board and each committee may, from time-to-time, form and delegate authority to subcommittees when appropriate. Each committee annually reviews and assesses the adequacy of its charter and recommends any proposed changes to the Board for approval. You may access these charters through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detail on the composition of each of our designated standing committees as of March 11,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780" w:type="dxa"/>
            <w:vAlign w:val="bottom"/>
          </w:tcPr>
          <w:p>
            <w:pPr>
              <w:jc w:val="center"/>
              <w:ind w:left="1200"/>
              <w:spacing w:after="0"/>
              <w:rPr>
                <w:sz w:val="20"/>
                <w:szCs w:val="20"/>
                <w:color w:val="auto"/>
              </w:rPr>
            </w:pPr>
            <w:r>
              <w:rPr>
                <w:rFonts w:ascii="Arial" w:cs="Arial" w:eastAsia="Arial" w:hAnsi="Arial"/>
                <w:sz w:val="14"/>
                <w:szCs w:val="14"/>
                <w:b w:val="1"/>
                <w:bCs w:val="1"/>
                <w:color w:val="auto"/>
              </w:rPr>
              <w:t>Audit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Strategy</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780" w:type="dxa"/>
            <w:vAlign w:val="bottom"/>
          </w:tcPr>
          <w:p>
            <w:pPr>
              <w:jc w:val="center"/>
              <w:ind w:left="1180"/>
              <w:spacing w:after="0"/>
              <w:rPr>
                <w:sz w:val="20"/>
                <w:szCs w:val="20"/>
                <w:color w:val="auto"/>
              </w:rPr>
            </w:pPr>
            <w:r>
              <w:rPr>
                <w:rFonts w:ascii="Arial" w:cs="Arial" w:eastAsia="Arial" w:hAnsi="Arial"/>
                <w:sz w:val="14"/>
                <w:szCs w:val="14"/>
                <w:b w:val="1"/>
                <w:bCs w:val="1"/>
                <w:color w:val="auto"/>
              </w:rPr>
              <w:t>Committee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29"/>
        </w:trPr>
        <w:tc>
          <w:tcPr>
            <w:tcW w:w="3460" w:type="dxa"/>
            <w:vAlign w:val="bottom"/>
            <w:tcBorders>
              <w:bottom w:val="single" w:sz="8" w:color="1A3FD6"/>
            </w:tcBorders>
            <w:gridSpan w:val="2"/>
          </w:tcPr>
          <w:p>
            <w:pPr>
              <w:spacing w:after="0"/>
              <w:rPr>
                <w:sz w:val="2"/>
                <w:szCs w:val="2"/>
                <w:color w:val="auto"/>
              </w:rPr>
            </w:pPr>
          </w:p>
        </w:tc>
        <w:tc>
          <w:tcPr>
            <w:tcW w:w="2780" w:type="dxa"/>
            <w:vAlign w:val="bottom"/>
            <w:tcBorders>
              <w:bottom w:val="single" w:sz="8" w:color="1A3FD6"/>
            </w:tcBorders>
          </w:tcPr>
          <w:p>
            <w:pPr>
              <w:spacing w:after="0"/>
              <w:rPr>
                <w:sz w:val="2"/>
                <w:szCs w:val="2"/>
                <w:color w:val="auto"/>
              </w:rPr>
            </w:pPr>
          </w:p>
        </w:tc>
        <w:tc>
          <w:tcPr>
            <w:tcW w:w="1760" w:type="dxa"/>
            <w:vAlign w:val="bottom"/>
            <w:tcBorders>
              <w:bottom w:val="single" w:sz="8" w:color="1A3FD6"/>
            </w:tcBorders>
          </w:tcPr>
          <w:p>
            <w:pPr>
              <w:spacing w:after="0"/>
              <w:rPr>
                <w:sz w:val="2"/>
                <w:szCs w:val="2"/>
                <w:color w:val="auto"/>
              </w:rPr>
            </w:pPr>
          </w:p>
        </w:tc>
        <w:tc>
          <w:tcPr>
            <w:tcW w:w="1640" w:type="dxa"/>
            <w:vAlign w:val="bottom"/>
            <w:tcBorders>
              <w:bottom w:val="single" w:sz="8" w:color="1A3FD6"/>
            </w:tcBorders>
          </w:tcPr>
          <w:p>
            <w:pPr>
              <w:spacing w:after="0"/>
              <w:rPr>
                <w:sz w:val="2"/>
                <w:szCs w:val="2"/>
                <w:color w:val="auto"/>
              </w:rPr>
            </w:pPr>
          </w:p>
        </w:tc>
        <w:tc>
          <w:tcPr>
            <w:tcW w:w="160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2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460" w:type="dxa"/>
            <w:vAlign w:val="bottom"/>
            <w:tcBorders>
              <w:bottom w:val="single" w:sz="8" w:color="E6E7E8"/>
            </w:tcBorders>
            <w:gridSpan w:val="2"/>
          </w:tcPr>
          <w:p>
            <w:pPr>
              <w:spacing w:after="0"/>
              <w:rPr>
                <w:sz w:val="3"/>
                <w:szCs w:val="3"/>
                <w:color w:val="auto"/>
              </w:rPr>
            </w:pPr>
          </w:p>
        </w:tc>
        <w:tc>
          <w:tcPr>
            <w:tcW w:w="2780" w:type="dxa"/>
            <w:vAlign w:val="bottom"/>
            <w:tcBorders>
              <w:bottom w:val="single" w:sz="8" w:color="E6E7E8"/>
            </w:tcBorders>
          </w:tcPr>
          <w:p>
            <w:pPr>
              <w:spacing w:after="0"/>
              <w:rPr>
                <w:sz w:val="3"/>
                <w:szCs w:val="3"/>
                <w:color w:val="auto"/>
              </w:rPr>
            </w:pPr>
          </w:p>
        </w:tc>
        <w:tc>
          <w:tcPr>
            <w:tcW w:w="1760" w:type="dxa"/>
            <w:vAlign w:val="bottom"/>
            <w:tcBorders>
              <w:bottom w:val="single" w:sz="8" w:color="E6E7E8"/>
            </w:tcBorders>
          </w:tcPr>
          <w:p>
            <w:pPr>
              <w:spacing w:after="0"/>
              <w:rPr>
                <w:sz w:val="3"/>
                <w:szCs w:val="3"/>
                <w:color w:val="auto"/>
              </w:rPr>
            </w:pPr>
          </w:p>
        </w:tc>
        <w:tc>
          <w:tcPr>
            <w:tcW w:w="1640" w:type="dxa"/>
            <w:vAlign w:val="bottom"/>
            <w:tcBorders>
              <w:bottom w:val="single" w:sz="8" w:color="E6E7E8"/>
            </w:tcBorders>
          </w:tcPr>
          <w:p>
            <w:pPr>
              <w:spacing w:after="0"/>
              <w:rPr>
                <w:sz w:val="3"/>
                <w:szCs w:val="3"/>
                <w:color w:val="auto"/>
              </w:rPr>
            </w:pPr>
          </w:p>
        </w:tc>
        <w:tc>
          <w:tcPr>
            <w:tcW w:w="160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Robert G. Ashe</w:t>
            </w:r>
          </w:p>
        </w:tc>
        <w:tc>
          <w:tcPr>
            <w:tcW w:w="2780" w:type="dxa"/>
            <w:vAlign w:val="bottom"/>
            <w:vMerge w:val="restart"/>
          </w:tcPr>
          <w:p>
            <w:pPr>
              <w:jc w:val="center"/>
              <w:ind w:left="1180"/>
              <w:spacing w:after="0"/>
              <w:rPr>
                <w:sz w:val="20"/>
                <w:szCs w:val="20"/>
                <w:color w:val="auto"/>
              </w:rPr>
            </w:pPr>
            <w:r>
              <w:rPr>
                <w:rFonts w:ascii="Webdings" w:cs="Webdings" w:eastAsia="Webdings" w:hAnsi="Webdings"/>
                <w:sz w:val="11"/>
                <w:szCs w:val="11"/>
                <w:b w:val="1"/>
                <w:bCs w:val="1"/>
                <w:color w:val="7188EF"/>
                <w:w w:val="90"/>
              </w:rPr>
              <w:t>n</w:t>
            </w:r>
          </w:p>
        </w:tc>
        <w:tc>
          <w:tcPr>
            <w:tcW w:w="176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60" w:type="dxa"/>
            <w:vAlign w:val="bottom"/>
            <w:tcBorders>
              <w:bottom w:val="single" w:sz="8" w:color="E6E7E8"/>
            </w:tcBorders>
            <w:gridSpan w:val="2"/>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Robin Matlock</w:t>
            </w:r>
          </w:p>
        </w:tc>
        <w:tc>
          <w:tcPr>
            <w:tcW w:w="278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164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60" w:type="dxa"/>
            <w:vAlign w:val="bottom"/>
            <w:tcBorders>
              <w:bottom w:val="single" w:sz="8" w:color="E6E7E8"/>
            </w:tcBorders>
            <w:gridSpan w:val="2"/>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Jacques P. Perold</w:t>
            </w:r>
          </w:p>
        </w:tc>
        <w:tc>
          <w:tcPr>
            <w:tcW w:w="278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rPr>
              <w:t>n</w:t>
            </w:r>
          </w:p>
        </w:tc>
        <w:tc>
          <w:tcPr>
            <w:tcW w:w="16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60" w:type="dxa"/>
            <w:vAlign w:val="bottom"/>
            <w:tcBorders>
              <w:bottom w:val="single" w:sz="8" w:color="E6E7E8"/>
            </w:tcBorders>
            <w:gridSpan w:val="2"/>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Sandy C. Rattray</w:t>
            </w:r>
          </w:p>
        </w:tc>
        <w:tc>
          <w:tcPr>
            <w:tcW w:w="2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160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60" w:type="dxa"/>
            <w:vAlign w:val="bottom"/>
            <w:tcBorders>
              <w:bottom w:val="single" w:sz="8" w:color="E6E7E8"/>
            </w:tcBorders>
            <w:gridSpan w:val="2"/>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Linda H. Riefler</w:t>
            </w:r>
          </w:p>
        </w:tc>
        <w:tc>
          <w:tcPr>
            <w:tcW w:w="278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164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rPr>
              <w:t>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60" w:type="dxa"/>
            <w:vAlign w:val="bottom"/>
            <w:tcBorders>
              <w:bottom w:val="single" w:sz="8" w:color="E6E7E8"/>
            </w:tcBorders>
            <w:gridSpan w:val="2"/>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Michelle Seitz</w:t>
            </w:r>
          </w:p>
        </w:tc>
        <w:tc>
          <w:tcPr>
            <w:tcW w:w="2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460" w:type="dxa"/>
            <w:vAlign w:val="bottom"/>
            <w:tcBorders>
              <w:bottom w:val="single" w:sz="8" w:color="E6E7E8"/>
            </w:tcBorders>
            <w:gridSpan w:val="2"/>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46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1A3FD6"/>
              </w:rPr>
              <w:t>Marcus L. Smith</w:t>
            </w:r>
          </w:p>
        </w:tc>
        <w:tc>
          <w:tcPr>
            <w:tcW w:w="2780" w:type="dxa"/>
            <w:vAlign w:val="bottom"/>
            <w:vMerge w:val="restart"/>
          </w:tcPr>
          <w:p>
            <w:pPr>
              <w:jc w:val="center"/>
              <w:ind w:left="1180"/>
              <w:spacing w:after="0"/>
              <w:rPr>
                <w:sz w:val="20"/>
                <w:szCs w:val="20"/>
                <w:color w:val="auto"/>
              </w:rPr>
            </w:pPr>
            <w:r>
              <w:rPr>
                <w:rFonts w:ascii="Webdings" w:cs="Webdings" w:eastAsia="Webdings" w:hAnsi="Webdings"/>
                <w:sz w:val="11"/>
                <w:szCs w:val="11"/>
                <w:b w:val="1"/>
                <w:bCs w:val="1"/>
                <w:color w:val="0626A9"/>
                <w:w w:val="90"/>
              </w:rPr>
              <w:t>n</w:t>
            </w: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20" w:type="dxa"/>
            <w:vAlign w:val="bottom"/>
            <w:tcBorders>
              <w:bottom w:val="single" w:sz="8" w:color="E6E7E8"/>
            </w:tcBorders>
          </w:tcPr>
          <w:p>
            <w:pPr>
              <w:spacing w:after="0"/>
              <w:rPr>
                <w:sz w:val="7"/>
                <w:szCs w:val="7"/>
                <w:color w:val="auto"/>
              </w:rPr>
            </w:pPr>
          </w:p>
        </w:tc>
        <w:tc>
          <w:tcPr>
            <w:tcW w:w="2440" w:type="dxa"/>
            <w:vAlign w:val="bottom"/>
            <w:tcBorders>
              <w:bottom w:val="single" w:sz="8" w:color="E6E7E8"/>
            </w:tcBorders>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line="155" w:lineRule="exact"/>
              <w:rPr>
                <w:sz w:val="20"/>
                <w:szCs w:val="20"/>
                <w:color w:val="auto"/>
              </w:rPr>
            </w:pPr>
            <w:r>
              <w:rPr>
                <w:rFonts w:ascii="Arial" w:cs="Arial" w:eastAsia="Arial" w:hAnsi="Arial"/>
                <w:sz w:val="16"/>
                <w:szCs w:val="16"/>
                <w:b w:val="1"/>
                <w:bCs w:val="1"/>
                <w:color w:val="1A3FD6"/>
              </w:rPr>
              <w:t>Rajat Taneja</w:t>
            </w:r>
          </w:p>
        </w:tc>
        <w:tc>
          <w:tcPr>
            <w:tcW w:w="2440" w:type="dxa"/>
            <w:vAlign w:val="bottom"/>
          </w:tcPr>
          <w:p>
            <w:pPr>
              <w:spacing w:after="0"/>
              <w:rPr>
                <w:sz w:val="13"/>
                <w:szCs w:val="13"/>
                <w:color w:val="auto"/>
              </w:rPr>
            </w:pPr>
          </w:p>
        </w:tc>
        <w:tc>
          <w:tcPr>
            <w:tcW w:w="2780" w:type="dxa"/>
            <w:vAlign w:val="bottom"/>
            <w:vMerge w:val="restart"/>
          </w:tcPr>
          <w:p>
            <w:pPr>
              <w:jc w:val="center"/>
              <w:ind w:left="1180"/>
              <w:spacing w:after="0"/>
              <w:rPr>
                <w:sz w:val="20"/>
                <w:szCs w:val="20"/>
                <w:color w:val="auto"/>
              </w:rPr>
            </w:pPr>
            <w:r>
              <w:rPr>
                <w:rFonts w:ascii="Webdings" w:cs="Webdings" w:eastAsia="Webdings" w:hAnsi="Webdings"/>
                <w:sz w:val="11"/>
                <w:szCs w:val="11"/>
                <w:b w:val="1"/>
                <w:bCs w:val="1"/>
                <w:color w:val="7188EF"/>
                <w:w w:val="90"/>
              </w:rPr>
              <w:t>n</w:t>
            </w: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20" w:type="dxa"/>
            <w:vAlign w:val="bottom"/>
            <w:tcBorders>
              <w:bottom w:val="single" w:sz="8" w:color="E6E7E8"/>
            </w:tcBorders>
          </w:tcPr>
          <w:p>
            <w:pPr>
              <w:spacing w:after="0"/>
              <w:rPr>
                <w:sz w:val="7"/>
                <w:szCs w:val="7"/>
                <w:color w:val="auto"/>
              </w:rPr>
            </w:pPr>
          </w:p>
        </w:tc>
        <w:tc>
          <w:tcPr>
            <w:tcW w:w="2440" w:type="dxa"/>
            <w:vAlign w:val="bottom"/>
            <w:tcBorders>
              <w:bottom w:val="single" w:sz="8" w:color="E6E7E8"/>
            </w:tcBorders>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line="155" w:lineRule="exact"/>
              <w:rPr>
                <w:sz w:val="20"/>
                <w:szCs w:val="20"/>
                <w:color w:val="auto"/>
              </w:rPr>
            </w:pPr>
            <w:r>
              <w:rPr>
                <w:rFonts w:ascii="Arial" w:cs="Arial" w:eastAsia="Arial" w:hAnsi="Arial"/>
                <w:sz w:val="16"/>
                <w:szCs w:val="16"/>
                <w:b w:val="1"/>
                <w:bCs w:val="1"/>
                <w:color w:val="1A3FD6"/>
              </w:rPr>
              <w:t>Paula Volent</w:t>
            </w:r>
          </w:p>
        </w:tc>
        <w:tc>
          <w:tcPr>
            <w:tcW w:w="24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164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20" w:type="dxa"/>
            <w:vAlign w:val="bottom"/>
            <w:tcBorders>
              <w:bottom w:val="single" w:sz="8" w:color="E6E7E8"/>
            </w:tcBorders>
          </w:tcPr>
          <w:p>
            <w:pPr>
              <w:spacing w:after="0"/>
              <w:rPr>
                <w:sz w:val="7"/>
                <w:szCs w:val="7"/>
                <w:color w:val="auto"/>
              </w:rPr>
            </w:pPr>
          </w:p>
        </w:tc>
        <w:tc>
          <w:tcPr>
            <w:tcW w:w="2440" w:type="dxa"/>
            <w:vAlign w:val="bottom"/>
            <w:tcBorders>
              <w:bottom w:val="single" w:sz="8" w:color="E6E7E8"/>
            </w:tcBorders>
          </w:tcPr>
          <w:p>
            <w:pPr>
              <w:spacing w:after="0"/>
              <w:rPr>
                <w:sz w:val="7"/>
                <w:szCs w:val="7"/>
                <w:color w:val="auto"/>
              </w:rPr>
            </w:pPr>
          </w:p>
        </w:tc>
        <w:tc>
          <w:tcPr>
            <w:tcW w:w="2780" w:type="dxa"/>
            <w:vAlign w:val="bottom"/>
            <w:tcBorders>
              <w:bottom w:val="single" w:sz="8" w:color="E6E7E8"/>
            </w:tcBorders>
          </w:tcPr>
          <w:p>
            <w:pPr>
              <w:spacing w:after="0"/>
              <w:rPr>
                <w:sz w:val="7"/>
                <w:szCs w:val="7"/>
                <w:color w:val="auto"/>
              </w:rPr>
            </w:pPr>
          </w:p>
        </w:tc>
        <w:tc>
          <w:tcPr>
            <w:tcW w:w="1760" w:type="dxa"/>
            <w:vAlign w:val="bottom"/>
            <w:tcBorders>
              <w:bottom w:val="single" w:sz="8" w:color="E6E7E8"/>
            </w:tcBorders>
          </w:tcPr>
          <w:p>
            <w:pPr>
              <w:spacing w:after="0"/>
              <w:rPr>
                <w:sz w:val="7"/>
                <w:szCs w:val="7"/>
                <w:color w:val="auto"/>
              </w:rPr>
            </w:pPr>
          </w:p>
        </w:tc>
        <w:tc>
          <w:tcPr>
            <w:tcW w:w="1640" w:type="dxa"/>
            <w:vAlign w:val="bottom"/>
            <w:tcBorders>
              <w:bottom w:val="single" w:sz="8" w:color="E6E7E8"/>
            </w:tcBorders>
          </w:tcPr>
          <w:p>
            <w:pPr>
              <w:spacing w:after="0"/>
              <w:rPr>
                <w:sz w:val="7"/>
                <w:szCs w:val="7"/>
                <w:color w:val="auto"/>
              </w:rPr>
            </w:pPr>
          </w:p>
        </w:tc>
        <w:tc>
          <w:tcPr>
            <w:tcW w:w="1600" w:type="dxa"/>
            <w:vAlign w:val="bottom"/>
            <w:tcBorders>
              <w:bottom w:val="single" w:sz="8" w:color="E6E7E8"/>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5" w:lineRule="exact"/>
              <w:rPr>
                <w:sz w:val="20"/>
                <w:szCs w:val="20"/>
                <w:color w:val="auto"/>
              </w:rPr>
            </w:pPr>
            <w:r>
              <w:rPr>
                <w:rFonts w:ascii="Arial" w:cs="Arial" w:eastAsia="Arial" w:hAnsi="Arial"/>
                <w:sz w:val="16"/>
                <w:szCs w:val="16"/>
                <w:b w:val="1"/>
                <w:bCs w:val="1"/>
                <w:color w:val="1A3FD6"/>
              </w:rPr>
              <w:t>June Yang</w:t>
            </w:r>
          </w:p>
        </w:tc>
        <w:tc>
          <w:tcPr>
            <w:tcW w:w="2440" w:type="dxa"/>
            <w:vAlign w:val="bottom"/>
          </w:tcPr>
          <w:p>
            <w:pPr>
              <w:spacing w:after="0"/>
              <w:rPr>
                <w:sz w:val="13"/>
                <w:szCs w:val="13"/>
                <w:color w:val="auto"/>
              </w:rPr>
            </w:pPr>
          </w:p>
        </w:tc>
        <w:tc>
          <w:tcPr>
            <w:tcW w:w="2780" w:type="dxa"/>
            <w:vAlign w:val="bottom"/>
            <w:vMerge w:val="restart"/>
          </w:tcPr>
          <w:p>
            <w:pPr>
              <w:jc w:val="center"/>
              <w:ind w:left="1180"/>
              <w:spacing w:after="0"/>
              <w:rPr>
                <w:sz w:val="20"/>
                <w:szCs w:val="20"/>
                <w:color w:val="auto"/>
              </w:rPr>
            </w:pPr>
            <w:r>
              <w:rPr>
                <w:rFonts w:ascii="Webdings" w:cs="Webdings" w:eastAsia="Webdings" w:hAnsi="Webdings"/>
                <w:sz w:val="11"/>
                <w:szCs w:val="11"/>
                <w:b w:val="1"/>
                <w:bCs w:val="1"/>
                <w:color w:val="7188EF"/>
                <w:w w:val="90"/>
              </w:rPr>
              <w:t>n</w:t>
            </w:r>
          </w:p>
        </w:tc>
        <w:tc>
          <w:tcPr>
            <w:tcW w:w="1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20" w:type="dxa"/>
            <w:vAlign w:val="bottom"/>
            <w:tcBorders>
              <w:bottom w:val="single" w:sz="8" w:color="1A3FD6"/>
            </w:tcBorders>
          </w:tcPr>
          <w:p>
            <w:pPr>
              <w:spacing w:after="0"/>
              <w:rPr>
                <w:sz w:val="7"/>
                <w:szCs w:val="7"/>
                <w:color w:val="auto"/>
              </w:rPr>
            </w:pPr>
          </w:p>
        </w:tc>
        <w:tc>
          <w:tcPr>
            <w:tcW w:w="2440" w:type="dxa"/>
            <w:vAlign w:val="bottom"/>
            <w:tcBorders>
              <w:bottom w:val="single" w:sz="8" w:color="1A3FD6"/>
            </w:tcBorders>
          </w:tcPr>
          <w:p>
            <w:pPr>
              <w:spacing w:after="0"/>
              <w:rPr>
                <w:sz w:val="7"/>
                <w:szCs w:val="7"/>
                <w:color w:val="auto"/>
              </w:rPr>
            </w:pPr>
          </w:p>
        </w:tc>
        <w:tc>
          <w:tcPr>
            <w:tcW w:w="2780" w:type="dxa"/>
            <w:vAlign w:val="bottom"/>
            <w:tcBorders>
              <w:bottom w:val="single" w:sz="8" w:color="1A3FD6"/>
            </w:tcBorders>
          </w:tcPr>
          <w:p>
            <w:pPr>
              <w:spacing w:after="0"/>
              <w:rPr>
                <w:sz w:val="7"/>
                <w:szCs w:val="7"/>
                <w:color w:val="auto"/>
              </w:rPr>
            </w:pPr>
          </w:p>
        </w:tc>
        <w:tc>
          <w:tcPr>
            <w:tcW w:w="1760" w:type="dxa"/>
            <w:vAlign w:val="bottom"/>
            <w:tcBorders>
              <w:bottom w:val="single" w:sz="8" w:color="1A3FD6"/>
            </w:tcBorders>
          </w:tcPr>
          <w:p>
            <w:pPr>
              <w:spacing w:after="0"/>
              <w:rPr>
                <w:sz w:val="7"/>
                <w:szCs w:val="7"/>
                <w:color w:val="auto"/>
              </w:rPr>
            </w:pPr>
          </w:p>
        </w:tc>
        <w:tc>
          <w:tcPr>
            <w:tcW w:w="1640" w:type="dxa"/>
            <w:vAlign w:val="bottom"/>
            <w:tcBorders>
              <w:bottom w:val="single" w:sz="8" w:color="1A3FD6"/>
            </w:tcBorders>
          </w:tcPr>
          <w:p>
            <w:pPr>
              <w:spacing w:after="0"/>
              <w:rPr>
                <w:sz w:val="7"/>
                <w:szCs w:val="7"/>
                <w:color w:val="auto"/>
              </w:rPr>
            </w:pPr>
          </w:p>
        </w:tc>
        <w:tc>
          <w:tcPr>
            <w:tcW w:w="1600" w:type="dxa"/>
            <w:vAlign w:val="bottom"/>
            <w:tcBorders>
              <w:bottom w:val="single" w:sz="8" w:color="1A3FD6"/>
            </w:tcBorders>
          </w:tcPr>
          <w:p>
            <w:pPr>
              <w:spacing w:after="0"/>
              <w:rPr>
                <w:sz w:val="7"/>
                <w:szCs w:val="7"/>
                <w:color w:val="auto"/>
              </w:rPr>
            </w:pPr>
          </w:p>
        </w:tc>
        <w:tc>
          <w:tcPr>
            <w:tcW w:w="0" w:type="dxa"/>
            <w:vAlign w:val="bottom"/>
          </w:tcPr>
          <w:p>
            <w:pPr>
              <w:spacing w:after="0"/>
              <w:rPr>
                <w:sz w:val="1"/>
                <w:szCs w:val="1"/>
                <w:color w:val="auto"/>
              </w:rPr>
            </w:pPr>
          </w:p>
        </w:tc>
      </w:tr>
      <w:tr>
        <w:trPr>
          <w:trHeight w:val="323"/>
        </w:trPr>
        <w:tc>
          <w:tcPr>
            <w:tcW w:w="1020" w:type="dxa"/>
            <w:vAlign w:val="bottom"/>
          </w:tcPr>
          <w:p>
            <w:pPr>
              <w:ind w:left="20"/>
              <w:spacing w:after="0"/>
              <w:rPr>
                <w:sz w:val="20"/>
                <w:szCs w:val="20"/>
                <w:color w:val="auto"/>
              </w:rPr>
            </w:pPr>
            <w:r>
              <w:rPr>
                <w:rFonts w:ascii="Webdings" w:cs="Webdings" w:eastAsia="Webdings" w:hAnsi="Webdings"/>
                <w:sz w:val="11"/>
                <w:szCs w:val="11"/>
                <w:b w:val="1"/>
                <w:bCs w:val="1"/>
                <w:color w:val="0626A9"/>
              </w:rPr>
              <w:t xml:space="preserve">n  </w:t>
            </w:r>
            <w:r>
              <w:rPr>
                <w:rFonts w:ascii="Arial" w:cs="Arial" w:eastAsia="Arial" w:hAnsi="Arial"/>
                <w:sz w:val="14"/>
                <w:szCs w:val="14"/>
                <w:color w:val="000000"/>
              </w:rPr>
              <w:t>Chair</w:t>
            </w:r>
          </w:p>
        </w:tc>
        <w:tc>
          <w:tcPr>
            <w:tcW w:w="2440" w:type="dxa"/>
            <w:vAlign w:val="bottom"/>
          </w:tcPr>
          <w:p>
            <w:pPr>
              <w:ind w:left="20"/>
              <w:spacing w:after="0"/>
              <w:rPr>
                <w:sz w:val="20"/>
                <w:szCs w:val="20"/>
                <w:color w:val="auto"/>
              </w:rPr>
            </w:pPr>
            <w:r>
              <w:rPr>
                <w:rFonts w:ascii="Webdings" w:cs="Webdings" w:eastAsia="Webdings" w:hAnsi="Webdings"/>
                <w:sz w:val="11"/>
                <w:szCs w:val="11"/>
                <w:b w:val="1"/>
                <w:bCs w:val="1"/>
                <w:color w:val="7188EF"/>
              </w:rPr>
              <w:t xml:space="preserve">n  </w:t>
            </w:r>
            <w:r>
              <w:rPr>
                <w:rFonts w:ascii="Arial" w:cs="Arial" w:eastAsia="Arial" w:hAnsi="Arial"/>
                <w:sz w:val="14"/>
                <w:szCs w:val="14"/>
                <w:color w:val="000000"/>
              </w:rPr>
              <w:t>Member</w:t>
            </w:r>
          </w:p>
        </w:tc>
        <w:tc>
          <w:tcPr>
            <w:tcW w:w="2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34</w:t>
            </w:r>
          </w:p>
        </w:tc>
        <w:tc>
          <w:tcPr>
            <w:tcW w:w="24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0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-462280</wp:posOffset>
            </wp:positionV>
            <wp:extent cx="55689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88465" cy="65493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88465" cy="65493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Marcus L. Smith</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CHAIR</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Current Members: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Robert G. Ashe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Rajat Taneja</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June Yang</w:t>
      </w:r>
    </w:p>
    <w:p>
      <w:pPr>
        <w:spacing w:after="0" w:line="240" w:lineRule="exact"/>
        <w:rPr>
          <w:sz w:val="20"/>
          <w:szCs w:val="20"/>
          <w:color w:val="auto"/>
        </w:rPr>
      </w:pPr>
    </w:p>
    <w:p>
      <w:pPr>
        <w:ind w:left="1120" w:right="440" w:hanging="859"/>
        <w:spacing w:after="0" w:line="180" w:lineRule="auto"/>
        <w:tabs>
          <w:tab w:leader="none" w:pos="1100" w:val="left"/>
        </w:tabs>
        <w:rPr>
          <w:sz w:val="20"/>
          <w:szCs w:val="20"/>
          <w:color w:val="auto"/>
        </w:rPr>
      </w:pPr>
      <w:r>
        <w:rPr>
          <w:rFonts w:ascii="Arial" w:cs="Arial" w:eastAsia="Arial" w:hAnsi="Arial"/>
          <w:sz w:val="31"/>
          <w:szCs w:val="31"/>
          <w:b w:val="1"/>
          <w:bCs w:val="1"/>
          <w:color w:val="00C4B3"/>
        </w:rPr>
        <w:t>10</w:t>
      </w:r>
      <w:r>
        <w:rPr>
          <w:sz w:val="20"/>
          <w:szCs w:val="20"/>
          <w:color w:val="auto"/>
        </w:rPr>
        <w:tab/>
      </w:r>
      <w:r>
        <w:rPr>
          <w:rFonts w:ascii="Arial" w:cs="Arial" w:eastAsia="Arial" w:hAnsi="Arial"/>
          <w:sz w:val="12"/>
          <w:szCs w:val="12"/>
          <w:b w:val="1"/>
          <w:bCs w:val="1"/>
          <w:color w:val="FFFFFF"/>
        </w:rPr>
        <w:t>Meetings held in 2025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 w:hanging="191"/>
        <w:spacing w:after="0" w:line="270" w:lineRule="auto"/>
        <w:tabs>
          <w:tab w:leader="none" w:pos="424" w:val="left"/>
        </w:tabs>
        <w:numPr>
          <w:ilvl w:val="0"/>
          <w:numId w:val="27"/>
        </w:numPr>
        <w:rPr>
          <w:rFonts w:ascii="Arial" w:cs="Arial" w:eastAsia="Arial" w:hAnsi="Arial"/>
          <w:sz w:val="14"/>
          <w:szCs w:val="14"/>
          <w:color w:val="00A798"/>
        </w:rPr>
      </w:pPr>
      <w:r>
        <w:rPr>
          <w:rFonts w:ascii="Arial" w:cs="Arial" w:eastAsia="Arial" w:hAnsi="Arial"/>
          <w:sz w:val="16"/>
          <w:szCs w:val="16"/>
          <w:color w:val="FFFFFF"/>
        </w:rPr>
        <w:t>All members are independent within the meaning of the NYSE standards of independence for directors and audit committee members.</w:t>
      </w:r>
    </w:p>
    <w:p>
      <w:pPr>
        <w:spacing w:after="0" w:line="36" w:lineRule="exact"/>
        <w:rPr>
          <w:rFonts w:ascii="Arial" w:cs="Arial" w:eastAsia="Arial" w:hAnsi="Arial"/>
          <w:sz w:val="14"/>
          <w:szCs w:val="14"/>
          <w:color w:val="00A798"/>
        </w:rPr>
      </w:pPr>
    </w:p>
    <w:p>
      <w:pPr>
        <w:ind w:left="460" w:right="60" w:hanging="191"/>
        <w:spacing w:after="0" w:line="267" w:lineRule="auto"/>
        <w:tabs>
          <w:tab w:leader="none" w:pos="424" w:val="left"/>
        </w:tabs>
        <w:numPr>
          <w:ilvl w:val="0"/>
          <w:numId w:val="27"/>
        </w:numPr>
        <w:rPr>
          <w:rFonts w:ascii="Arial" w:cs="Arial" w:eastAsia="Arial" w:hAnsi="Arial"/>
          <w:sz w:val="14"/>
          <w:szCs w:val="14"/>
          <w:color w:val="00A798"/>
        </w:rPr>
      </w:pPr>
      <w:r>
        <w:rPr>
          <w:rFonts w:ascii="Arial" w:cs="Arial" w:eastAsia="Arial" w:hAnsi="Arial"/>
          <w:sz w:val="16"/>
          <w:szCs w:val="16"/>
          <w:color w:val="FFFFFF"/>
        </w:rPr>
        <w:t>All members satisfy NYSE financial literacy requirements, each of Messrs. Ashe and Smith have accounting or other related financial management expertise, and Messrs. Ashe and Smith have been designated as “audit committee financial experts,” as defined by SEC rules.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Primary Responsibilities:</w:t>
      </w:r>
    </w:p>
    <w:p>
      <w:pPr>
        <w:spacing w:after="0" w:line="39" w:lineRule="exact"/>
        <w:rPr>
          <w:sz w:val="20"/>
          <w:szCs w:val="20"/>
          <w:color w:val="auto"/>
        </w:rPr>
      </w:pPr>
    </w:p>
    <w:p>
      <w:pPr>
        <w:ind w:left="200" w:right="80" w:hanging="200"/>
        <w:spacing w:after="0" w:line="322"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Oversees the integrity of the Company’s financial statements, internal controls over financial reporting, risk assessment and risk management (including major financial risk exposures and cybersecurity risks).</w:t>
      </w:r>
    </w:p>
    <w:p>
      <w:pPr>
        <w:spacing w:after="0" w:line="11" w:lineRule="exact"/>
        <w:rPr>
          <w:rFonts w:ascii="Arial" w:cs="Arial" w:eastAsia="Arial" w:hAnsi="Arial"/>
          <w:sz w:val="14"/>
          <w:szCs w:val="14"/>
          <w:color w:val="00A798"/>
        </w:rPr>
      </w:pPr>
    </w:p>
    <w:p>
      <w:pPr>
        <w:ind w:left="160" w:hanging="160"/>
        <w:spacing w:after="0"/>
        <w:tabs>
          <w:tab w:leader="none" w:pos="160"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Oversees the Company’s internal controls over financial reporting, risk assessment and risk management.</w:t>
      </w:r>
    </w:p>
    <w:p>
      <w:pPr>
        <w:spacing w:after="0" w:line="95" w:lineRule="exact"/>
        <w:rPr>
          <w:rFonts w:ascii="Arial" w:cs="Arial" w:eastAsia="Arial" w:hAnsi="Arial"/>
          <w:sz w:val="14"/>
          <w:szCs w:val="14"/>
          <w:color w:val="00A798"/>
        </w:rPr>
      </w:pPr>
    </w:p>
    <w:p>
      <w:pPr>
        <w:ind w:left="200" w:right="200" w:hanging="200"/>
        <w:spacing w:after="0" w:line="303"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Oversees the appointment, compensation, retention, termination and oversight of the work of any accounting firm engaged for the purpose of preparing or issuing an audit report or performing other audit, review or attestation services for the Company, including the independent auditor.</w:t>
      </w:r>
    </w:p>
    <w:p>
      <w:pPr>
        <w:spacing w:after="0" w:line="24" w:lineRule="exact"/>
        <w:rPr>
          <w:rFonts w:ascii="Arial" w:cs="Arial" w:eastAsia="Arial" w:hAnsi="Arial"/>
          <w:sz w:val="14"/>
          <w:szCs w:val="14"/>
          <w:color w:val="00A798"/>
        </w:rPr>
      </w:pPr>
    </w:p>
    <w:p>
      <w:pPr>
        <w:ind w:left="200" w:right="300" w:hanging="200"/>
        <w:spacing w:after="0" w:line="303"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Evaluates the qualifications, independence and performance of the independent auditor, including obtaining a report of the independent auditor describing the items set forth in the Audit and Risk Committee’s charter, including those required by the Public Company Accounting Oversight Board.</w:t>
      </w:r>
    </w:p>
    <w:p>
      <w:pPr>
        <w:spacing w:after="0" w:line="24" w:lineRule="exact"/>
        <w:rPr>
          <w:rFonts w:ascii="Arial" w:cs="Arial" w:eastAsia="Arial" w:hAnsi="Arial"/>
          <w:sz w:val="14"/>
          <w:szCs w:val="14"/>
          <w:color w:val="00A798"/>
        </w:rPr>
      </w:pPr>
    </w:p>
    <w:p>
      <w:pPr>
        <w:ind w:left="160" w:hanging="160"/>
        <w:spacing w:after="0"/>
        <w:tabs>
          <w:tab w:leader="none" w:pos="160"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Pre-approves audit and permitted non-audit services.</w:t>
      </w:r>
    </w:p>
    <w:p>
      <w:pPr>
        <w:spacing w:after="0" w:line="95" w:lineRule="exact"/>
        <w:rPr>
          <w:rFonts w:ascii="Arial" w:cs="Arial" w:eastAsia="Arial" w:hAnsi="Arial"/>
          <w:sz w:val="14"/>
          <w:szCs w:val="14"/>
          <w:color w:val="00A798"/>
        </w:rPr>
      </w:pPr>
    </w:p>
    <w:p>
      <w:pPr>
        <w:ind w:left="200" w:right="460" w:hanging="200"/>
        <w:spacing w:after="0" w:line="325"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Reviews and evaluates the internal audit plan and the performance, responsibilities, budget and staffing of the Company’s internal audit function.</w:t>
      </w:r>
    </w:p>
    <w:p>
      <w:pPr>
        <w:spacing w:after="0" w:line="9" w:lineRule="exact"/>
        <w:rPr>
          <w:rFonts w:ascii="Arial" w:cs="Arial" w:eastAsia="Arial" w:hAnsi="Arial"/>
          <w:sz w:val="14"/>
          <w:szCs w:val="14"/>
          <w:color w:val="00A798"/>
        </w:rPr>
      </w:pPr>
    </w:p>
    <w:p>
      <w:pPr>
        <w:ind w:left="200" w:right="360" w:hanging="200"/>
        <w:spacing w:after="0" w:line="325"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Reviews and discusses with management and the independent auditor the annual audited and quarterly unaudited financial statements included in the Company’s Annual Report on Form 10-K and Quarterly Reports on Form 10-Q, respectively.</w:t>
      </w:r>
    </w:p>
    <w:p>
      <w:pPr>
        <w:spacing w:after="0" w:line="9" w:lineRule="exact"/>
        <w:rPr>
          <w:rFonts w:ascii="Arial" w:cs="Arial" w:eastAsia="Arial" w:hAnsi="Arial"/>
          <w:sz w:val="14"/>
          <w:szCs w:val="14"/>
          <w:color w:val="00A798"/>
        </w:rPr>
      </w:pPr>
    </w:p>
    <w:p>
      <w:pPr>
        <w:ind w:left="200" w:right="500" w:hanging="200"/>
        <w:spacing w:after="0" w:line="282"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Establishes procedures for (i) the receipt, retention and treatment of complaints regarding accounting, internal accounting controls or auditing matters and (ii) the confidential, anonymous submission by the Company’s employees of concerns regarding questionable accounting or auditing matters, and the review of any submissions received pursuant to</w:t>
      </w:r>
    </w:p>
    <w:p>
      <w:pPr>
        <w:ind w:left="200"/>
        <w:spacing w:after="0"/>
        <w:rPr>
          <w:rFonts w:ascii="Arial" w:cs="Arial" w:eastAsia="Arial" w:hAnsi="Arial"/>
          <w:sz w:val="14"/>
          <w:szCs w:val="14"/>
          <w:color w:val="00A798"/>
        </w:rPr>
      </w:pPr>
      <w:r>
        <w:rPr>
          <w:rFonts w:ascii="Arial" w:cs="Arial" w:eastAsia="Arial" w:hAnsi="Arial"/>
          <w:sz w:val="14"/>
          <w:szCs w:val="14"/>
          <w:color w:val="auto"/>
        </w:rPr>
        <w:t>such procedures.</w:t>
      </w:r>
    </w:p>
    <w:p>
      <w:pPr>
        <w:spacing w:after="0" w:line="94" w:lineRule="exact"/>
        <w:rPr>
          <w:rFonts w:ascii="Arial" w:cs="Arial" w:eastAsia="Arial" w:hAnsi="Arial"/>
          <w:sz w:val="14"/>
          <w:szCs w:val="14"/>
          <w:color w:val="00A798"/>
        </w:rPr>
      </w:pPr>
    </w:p>
    <w:p>
      <w:pPr>
        <w:ind w:left="160" w:hanging="160"/>
        <w:spacing w:after="0"/>
        <w:tabs>
          <w:tab w:leader="none" w:pos="160"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Reviews reports from management relating to the status of compliance with legal and regulatory requirements.</w:t>
      </w:r>
    </w:p>
    <w:p>
      <w:pPr>
        <w:spacing w:after="0" w:line="95" w:lineRule="exact"/>
        <w:rPr>
          <w:rFonts w:ascii="Arial" w:cs="Arial" w:eastAsia="Arial" w:hAnsi="Arial"/>
          <w:sz w:val="14"/>
          <w:szCs w:val="14"/>
          <w:color w:val="00A798"/>
        </w:rPr>
      </w:pPr>
    </w:p>
    <w:p>
      <w:pPr>
        <w:ind w:left="200" w:right="140" w:hanging="200"/>
        <w:spacing w:after="0" w:line="296"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Reviews with management (i) the Company’s key business risks, including the Company’s major strategic, operational, regulatory, litigation and financial risk exposures and technology and cybersecurity risks, (ii) policies and practices with respect to risk governance, risk assessment and risk management, and (iii) the steps that have been taken to assess, monitor and control such risks.</w:t>
      </w:r>
    </w:p>
    <w:p>
      <w:pPr>
        <w:spacing w:after="0" w:line="29" w:lineRule="exact"/>
        <w:rPr>
          <w:rFonts w:ascii="Arial" w:cs="Arial" w:eastAsia="Arial" w:hAnsi="Arial"/>
          <w:sz w:val="14"/>
          <w:szCs w:val="14"/>
          <w:color w:val="00A798"/>
        </w:rPr>
      </w:pPr>
    </w:p>
    <w:p>
      <w:pPr>
        <w:ind w:left="200" w:right="240" w:hanging="200"/>
        <w:spacing w:after="0" w:line="325" w:lineRule="auto"/>
        <w:tabs>
          <w:tab w:leader="none" w:pos="164" w:val="left"/>
        </w:tabs>
        <w:numPr>
          <w:ilvl w:val="0"/>
          <w:numId w:val="28"/>
        </w:numPr>
        <w:rPr>
          <w:rFonts w:ascii="Arial" w:cs="Arial" w:eastAsia="Arial" w:hAnsi="Arial"/>
          <w:sz w:val="14"/>
          <w:szCs w:val="14"/>
          <w:color w:val="00A798"/>
        </w:rPr>
      </w:pPr>
      <w:r>
        <w:rPr>
          <w:rFonts w:ascii="Arial" w:cs="Arial" w:eastAsia="Arial" w:hAnsi="Arial"/>
          <w:sz w:val="14"/>
          <w:szCs w:val="14"/>
          <w:color w:val="auto"/>
        </w:rPr>
        <w:t>Reviews the Company’s enterprise risk management program, including its risk governance framework and risk management practices that facilitate the identification, assessment, mitigation and public reporting of risks that may affect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Key Areas of Focus in 2025:</w:t>
      </w:r>
    </w:p>
    <w:p>
      <w:pPr>
        <w:spacing w:after="0" w:line="39" w:lineRule="exact"/>
        <w:rPr>
          <w:sz w:val="20"/>
          <w:szCs w:val="20"/>
          <w:color w:val="auto"/>
        </w:rPr>
      </w:pPr>
    </w:p>
    <w:p>
      <w:pPr>
        <w:ind w:left="200" w:right="600" w:hanging="200"/>
        <w:spacing w:after="0" w:line="322" w:lineRule="auto"/>
        <w:tabs>
          <w:tab w:leader="none" w:pos="164" w:val="left"/>
        </w:tabs>
        <w:numPr>
          <w:ilvl w:val="0"/>
          <w:numId w:val="29"/>
        </w:numPr>
        <w:rPr>
          <w:rFonts w:ascii="Arial" w:cs="Arial" w:eastAsia="Arial" w:hAnsi="Arial"/>
          <w:sz w:val="14"/>
          <w:szCs w:val="14"/>
          <w:color w:val="00A798"/>
        </w:rPr>
      </w:pPr>
      <w:r>
        <w:rPr>
          <w:rFonts w:ascii="Arial" w:cs="Arial" w:eastAsia="Arial" w:hAnsi="Arial"/>
          <w:sz w:val="14"/>
          <w:szCs w:val="14"/>
          <w:color w:val="auto"/>
        </w:rPr>
        <w:t>Risks associated with the evolving macro-economic environment, including as a result of geopolitical landscape, market uncertainty and economic outlook.</w:t>
      </w:r>
    </w:p>
    <w:p>
      <w:pPr>
        <w:spacing w:after="0" w:line="11" w:lineRule="exact"/>
        <w:rPr>
          <w:rFonts w:ascii="Arial" w:cs="Arial" w:eastAsia="Arial" w:hAnsi="Arial"/>
          <w:sz w:val="14"/>
          <w:szCs w:val="14"/>
          <w:color w:val="00A798"/>
        </w:rPr>
      </w:pPr>
    </w:p>
    <w:p>
      <w:pPr>
        <w:ind w:left="160" w:hanging="160"/>
        <w:spacing w:after="0"/>
        <w:tabs>
          <w:tab w:leader="none" w:pos="160" w:val="left"/>
        </w:tabs>
        <w:numPr>
          <w:ilvl w:val="0"/>
          <w:numId w:val="29"/>
        </w:numPr>
        <w:rPr>
          <w:rFonts w:ascii="Arial" w:cs="Arial" w:eastAsia="Arial" w:hAnsi="Arial"/>
          <w:sz w:val="14"/>
          <w:szCs w:val="14"/>
          <w:color w:val="00A798"/>
        </w:rPr>
      </w:pPr>
      <w:r>
        <w:rPr>
          <w:rFonts w:ascii="Arial" w:cs="Arial" w:eastAsia="Arial" w:hAnsi="Arial"/>
          <w:sz w:val="14"/>
          <w:szCs w:val="14"/>
          <w:color w:val="auto"/>
        </w:rPr>
        <w:t>Risks and opportunities related to artificial intelligence.</w:t>
      </w:r>
    </w:p>
    <w:p>
      <w:pPr>
        <w:spacing w:after="0" w:line="95" w:lineRule="exact"/>
        <w:rPr>
          <w:rFonts w:ascii="Arial" w:cs="Arial" w:eastAsia="Arial" w:hAnsi="Arial"/>
          <w:sz w:val="14"/>
          <w:szCs w:val="14"/>
          <w:color w:val="00A798"/>
        </w:rPr>
      </w:pPr>
    </w:p>
    <w:p>
      <w:pPr>
        <w:ind w:left="160" w:hanging="160"/>
        <w:spacing w:after="0"/>
        <w:tabs>
          <w:tab w:leader="none" w:pos="160" w:val="left"/>
        </w:tabs>
        <w:numPr>
          <w:ilvl w:val="0"/>
          <w:numId w:val="29"/>
        </w:numPr>
        <w:rPr>
          <w:rFonts w:ascii="Arial" w:cs="Arial" w:eastAsia="Arial" w:hAnsi="Arial"/>
          <w:sz w:val="14"/>
          <w:szCs w:val="14"/>
          <w:color w:val="00A798"/>
        </w:rPr>
      </w:pPr>
      <w:r>
        <w:rPr>
          <w:rFonts w:ascii="Arial" w:cs="Arial" w:eastAsia="Arial" w:hAnsi="Arial"/>
          <w:sz w:val="14"/>
          <w:szCs w:val="14"/>
          <w:color w:val="auto"/>
        </w:rPr>
        <w:t>Operational resiliency.</w:t>
      </w:r>
    </w:p>
    <w:p>
      <w:pPr>
        <w:spacing w:after="0" w:line="95" w:lineRule="exact"/>
        <w:rPr>
          <w:rFonts w:ascii="Arial" w:cs="Arial" w:eastAsia="Arial" w:hAnsi="Arial"/>
          <w:sz w:val="14"/>
          <w:szCs w:val="14"/>
          <w:color w:val="00A798"/>
        </w:rPr>
      </w:pPr>
    </w:p>
    <w:p>
      <w:pPr>
        <w:ind w:left="160" w:hanging="160"/>
        <w:spacing w:after="0"/>
        <w:tabs>
          <w:tab w:leader="none" w:pos="160" w:val="left"/>
        </w:tabs>
        <w:numPr>
          <w:ilvl w:val="0"/>
          <w:numId w:val="29"/>
        </w:numPr>
        <w:rPr>
          <w:rFonts w:ascii="Arial" w:cs="Arial" w:eastAsia="Arial" w:hAnsi="Arial"/>
          <w:sz w:val="14"/>
          <w:szCs w:val="14"/>
          <w:color w:val="00A798"/>
        </w:rPr>
      </w:pPr>
      <w:r>
        <w:rPr>
          <w:rFonts w:ascii="Arial" w:cs="Arial" w:eastAsia="Arial" w:hAnsi="Arial"/>
          <w:sz w:val="14"/>
          <w:szCs w:val="14"/>
          <w:color w:val="auto"/>
        </w:rPr>
        <w:t>Management of regulatory risks and opportunities.</w:t>
      </w:r>
    </w:p>
    <w:p>
      <w:pPr>
        <w:spacing w:after="0" w:line="95" w:lineRule="exact"/>
        <w:rPr>
          <w:rFonts w:ascii="Arial" w:cs="Arial" w:eastAsia="Arial" w:hAnsi="Arial"/>
          <w:sz w:val="14"/>
          <w:szCs w:val="14"/>
          <w:color w:val="00A798"/>
        </w:rPr>
      </w:pPr>
    </w:p>
    <w:p>
      <w:pPr>
        <w:ind w:left="160" w:hanging="160"/>
        <w:spacing w:after="0"/>
        <w:tabs>
          <w:tab w:leader="none" w:pos="160" w:val="left"/>
        </w:tabs>
        <w:numPr>
          <w:ilvl w:val="0"/>
          <w:numId w:val="29"/>
        </w:numPr>
        <w:rPr>
          <w:rFonts w:ascii="Arial" w:cs="Arial" w:eastAsia="Arial" w:hAnsi="Arial"/>
          <w:sz w:val="14"/>
          <w:szCs w:val="14"/>
          <w:color w:val="00A798"/>
        </w:rPr>
      </w:pPr>
      <w:r>
        <w:rPr>
          <w:rFonts w:ascii="Arial" w:cs="Arial" w:eastAsia="Arial" w:hAnsi="Arial"/>
          <w:sz w:val="14"/>
          <w:szCs w:val="14"/>
          <w:color w:val="auto"/>
        </w:rPr>
        <w:t>Data and technology governance, including cybersecurity and data management capabilities.</w:t>
      </w:r>
    </w:p>
    <w:p>
      <w:pPr>
        <w:spacing w:after="0" w:line="177" w:lineRule="exact"/>
        <w:rPr>
          <w:sz w:val="20"/>
          <w:szCs w:val="20"/>
          <w:color w:val="auto"/>
        </w:rPr>
      </w:pPr>
    </w:p>
    <w:p>
      <w:pPr>
        <w:ind w:right="380"/>
        <w:spacing w:after="0" w:line="325" w:lineRule="auto"/>
        <w:rPr>
          <w:sz w:val="20"/>
          <w:szCs w:val="20"/>
          <w:color w:val="auto"/>
        </w:rPr>
      </w:pPr>
      <w:r>
        <w:rPr>
          <w:rFonts w:ascii="Arial" w:cs="Arial" w:eastAsia="Arial" w:hAnsi="Arial"/>
          <w:sz w:val="14"/>
          <w:szCs w:val="14"/>
          <w:color w:val="auto"/>
        </w:rPr>
        <w:t>Further details on the role of the Audit and Risk Committee, as well as the Audit and Risk Committee Report, may be found in “Audit Matters—Audit and Risk Committee Report” on page 107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1486535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500"/>
            <w:col w:w="836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Talent and Culture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80210" cy="6960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80210" cy="696087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Jacques P. Perold</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CHAIR</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Current Members: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Robin L. Matlock</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Linda H. Riefler</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Paula Volent</w:t>
      </w:r>
    </w:p>
    <w:p>
      <w:pPr>
        <w:spacing w:after="0" w:line="356" w:lineRule="exact"/>
        <w:rPr>
          <w:sz w:val="20"/>
          <w:szCs w:val="20"/>
          <w:color w:val="auto"/>
        </w:rPr>
      </w:pPr>
    </w:p>
    <w:p>
      <w:pPr>
        <w:ind w:left="940" w:right="500" w:hanging="671"/>
        <w:spacing w:after="0" w:line="182" w:lineRule="auto"/>
        <w:tabs>
          <w:tab w:leader="none" w:pos="940" w:val="left"/>
        </w:tabs>
        <w:numPr>
          <w:ilvl w:val="0"/>
          <w:numId w:val="30"/>
        </w:numPr>
        <w:rPr>
          <w:rFonts w:ascii="Arial" w:cs="Arial" w:eastAsia="Arial" w:hAnsi="Arial"/>
          <w:sz w:val="33"/>
          <w:szCs w:val="33"/>
          <w:b w:val="1"/>
          <w:bCs w:val="1"/>
          <w:color w:val="00C4B3"/>
        </w:rPr>
      </w:pPr>
      <w:r>
        <w:rPr>
          <w:rFonts w:ascii="Arial" w:cs="Arial" w:eastAsia="Arial" w:hAnsi="Arial"/>
          <w:sz w:val="14"/>
          <w:szCs w:val="14"/>
          <w:b w:val="1"/>
          <w:bCs w:val="1"/>
          <w:color w:val="FFFFFF"/>
        </w:rPr>
        <w:t>Meetings held in 2025</w:t>
      </w:r>
    </w:p>
    <w:p>
      <w:pPr>
        <w:spacing w:after="0" w:line="200" w:lineRule="exact"/>
        <w:rPr>
          <w:sz w:val="20"/>
          <w:szCs w:val="20"/>
          <w:color w:val="auto"/>
        </w:rPr>
      </w:pPr>
    </w:p>
    <w:p>
      <w:pPr>
        <w:spacing w:after="0" w:line="254" w:lineRule="exact"/>
        <w:rPr>
          <w:sz w:val="20"/>
          <w:szCs w:val="20"/>
          <w:color w:val="auto"/>
        </w:rPr>
      </w:pPr>
    </w:p>
    <w:p>
      <w:pPr>
        <w:ind w:left="460" w:right="120" w:hanging="191"/>
        <w:spacing w:after="0" w:line="269" w:lineRule="auto"/>
        <w:tabs>
          <w:tab w:leader="none" w:pos="427" w:val="left"/>
        </w:tabs>
        <w:numPr>
          <w:ilvl w:val="0"/>
          <w:numId w:val="31"/>
        </w:numPr>
        <w:rPr>
          <w:rFonts w:ascii="Arial" w:cs="Arial" w:eastAsia="Arial" w:hAnsi="Arial"/>
          <w:sz w:val="15"/>
          <w:szCs w:val="15"/>
          <w:color w:val="00A798"/>
        </w:rPr>
      </w:pPr>
      <w:r>
        <w:rPr>
          <w:rFonts w:ascii="Arial" w:cs="Arial" w:eastAsia="Arial" w:hAnsi="Arial"/>
          <w:sz w:val="16"/>
          <w:szCs w:val="16"/>
          <w:color w:val="FFFFFF"/>
        </w:rPr>
        <w:t>All members are independent within the meaning of the NYSE standards of independence for directors and compensation committee members.</w:t>
      </w:r>
    </w:p>
    <w:p>
      <w:pPr>
        <w:spacing w:after="0" w:line="37" w:lineRule="exact"/>
        <w:rPr>
          <w:rFonts w:ascii="Arial" w:cs="Arial" w:eastAsia="Arial" w:hAnsi="Arial"/>
          <w:sz w:val="15"/>
          <w:szCs w:val="15"/>
          <w:color w:val="00A798"/>
        </w:rPr>
      </w:pPr>
    </w:p>
    <w:p>
      <w:pPr>
        <w:ind w:left="460" w:hanging="191"/>
        <w:spacing w:after="0" w:line="277" w:lineRule="auto"/>
        <w:tabs>
          <w:tab w:leader="none" w:pos="427" w:val="left"/>
        </w:tabs>
        <w:numPr>
          <w:ilvl w:val="0"/>
          <w:numId w:val="31"/>
        </w:numPr>
        <w:rPr>
          <w:rFonts w:ascii="Arial" w:cs="Arial" w:eastAsia="Arial" w:hAnsi="Arial"/>
          <w:sz w:val="15"/>
          <w:szCs w:val="15"/>
          <w:color w:val="00A798"/>
        </w:rPr>
      </w:pPr>
      <w:r>
        <w:rPr>
          <w:rFonts w:ascii="Arial" w:cs="Arial" w:eastAsia="Arial" w:hAnsi="Arial"/>
          <w:sz w:val="16"/>
          <w:szCs w:val="16"/>
          <w:color w:val="FFFFFF"/>
        </w:rPr>
        <w:t>All members qualify as “non-employee directors” for purposes of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3987165</wp:posOffset>
            </wp:positionV>
            <wp:extent cx="556895"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Primary Responsibilities:</w:t>
      </w:r>
    </w:p>
    <w:p>
      <w:pPr>
        <w:spacing w:after="0" w:line="39" w:lineRule="exact"/>
        <w:rPr>
          <w:sz w:val="20"/>
          <w:szCs w:val="20"/>
          <w:color w:val="auto"/>
        </w:rPr>
      </w:pPr>
    </w:p>
    <w:p>
      <w:pPr>
        <w:ind w:left="200" w:hanging="194"/>
        <w:spacing w:after="0" w:line="268"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Reviews the Company’s compensation strategy and reviews and approves the Company’s compensation and benefits programs, including reviewing and approving any incentive compensation and equity-based plans of the Company that are subject to Board approval and the Company’s stock ownership guidelines for the Management Committee, which includes senior leaders from across the Company who drive MSCI’s strategy and operations.</w:t>
      </w:r>
    </w:p>
    <w:p>
      <w:pPr>
        <w:spacing w:after="0" w:line="21" w:lineRule="exact"/>
        <w:rPr>
          <w:rFonts w:ascii="Arial" w:cs="Arial" w:eastAsia="Arial" w:hAnsi="Arial"/>
          <w:sz w:val="14"/>
          <w:szCs w:val="14"/>
          <w:color w:val="00A798"/>
        </w:rPr>
      </w:pPr>
    </w:p>
    <w:p>
      <w:pPr>
        <w:ind w:left="200" w:right="140" w:hanging="194"/>
        <w:spacing w:after="0" w:line="273"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Identifies, reviews and approves corporate goals and objectives relevant to the compensation of the Company’s executive officers and such other members of senior management as the Compensation Committee determines (the “Executives”), including pay-for-performance alignment; sets compensation for the Executives, and evaluates each Executive’s performance.</w:t>
      </w:r>
    </w:p>
    <w:p>
      <w:pPr>
        <w:spacing w:after="0" w:line="17" w:lineRule="exact"/>
        <w:rPr>
          <w:rFonts w:ascii="Arial" w:cs="Arial" w:eastAsia="Arial" w:hAnsi="Arial"/>
          <w:sz w:val="14"/>
          <w:szCs w:val="14"/>
          <w:color w:val="00A798"/>
        </w:rPr>
      </w:pPr>
    </w:p>
    <w:p>
      <w:pPr>
        <w:jc w:val="both"/>
        <w:ind w:left="200" w:right="120" w:hanging="194"/>
        <w:spacing w:after="0" w:line="283"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Reviews and approves the compensation of the Company’s CEO and each of the Company’s other Executives, including: base salary; annual incentive compensation; long-term incentive compensation; employment, severance, termination and change in control agreements; and any other compensation, ongoing perquisites or special benefit items.</w:t>
      </w:r>
    </w:p>
    <w:p>
      <w:pPr>
        <w:spacing w:after="0" w:line="10" w:lineRule="exact"/>
        <w:rPr>
          <w:rFonts w:ascii="Arial" w:cs="Arial" w:eastAsia="Arial" w:hAnsi="Arial"/>
          <w:sz w:val="14"/>
          <w:szCs w:val="14"/>
          <w:color w:val="00A798"/>
        </w:rPr>
      </w:pPr>
    </w:p>
    <w:p>
      <w:pPr>
        <w:ind w:left="160" w:hanging="154"/>
        <w:spacing w:after="0"/>
        <w:tabs>
          <w:tab w:leader="none" w:pos="160"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Periodically reviews and administers the Company’s compensation recoupment policies.</w:t>
      </w:r>
    </w:p>
    <w:p>
      <w:pPr>
        <w:spacing w:after="0" w:line="55" w:lineRule="exact"/>
        <w:rPr>
          <w:rFonts w:ascii="Arial" w:cs="Arial" w:eastAsia="Arial" w:hAnsi="Arial"/>
          <w:sz w:val="14"/>
          <w:szCs w:val="14"/>
          <w:color w:val="00A798"/>
        </w:rPr>
      </w:pPr>
    </w:p>
    <w:p>
      <w:pPr>
        <w:ind w:left="160" w:hanging="154"/>
        <w:spacing w:after="0"/>
        <w:tabs>
          <w:tab w:leader="none" w:pos="160"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Reviews non-employee director compensation every two years and recommends changes to the Board, when appropriate.</w:t>
      </w:r>
    </w:p>
    <w:p>
      <w:pPr>
        <w:spacing w:after="0" w:line="68" w:lineRule="exact"/>
        <w:rPr>
          <w:rFonts w:ascii="Arial" w:cs="Arial" w:eastAsia="Arial" w:hAnsi="Arial"/>
          <w:sz w:val="14"/>
          <w:szCs w:val="14"/>
          <w:color w:val="00A798"/>
        </w:rPr>
      </w:pPr>
    </w:p>
    <w:p>
      <w:pPr>
        <w:ind w:left="200" w:right="100" w:hanging="194"/>
        <w:spacing w:after="0" w:line="283"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Periodically reviews, in consultation with the CEO, the Company’s management succession and progression planning and oversees the Company’s talent management, progression planning, career progression and retention strategies and programs, including the Company’s learning and leadership development and inclusion and belonging programs.</w:t>
      </w:r>
    </w:p>
    <w:p>
      <w:pPr>
        <w:spacing w:after="0" w:line="10" w:lineRule="exact"/>
        <w:rPr>
          <w:rFonts w:ascii="Arial" w:cs="Arial" w:eastAsia="Arial" w:hAnsi="Arial"/>
          <w:sz w:val="14"/>
          <w:szCs w:val="14"/>
          <w:color w:val="00A798"/>
        </w:rPr>
      </w:pPr>
    </w:p>
    <w:p>
      <w:pPr>
        <w:ind w:left="160" w:hanging="154"/>
        <w:spacing w:after="0"/>
        <w:tabs>
          <w:tab w:leader="none" w:pos="160"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At least annually, reviews each Executive’s progress on individual performance goals.</w:t>
      </w:r>
    </w:p>
    <w:p>
      <w:pPr>
        <w:spacing w:after="0" w:line="55" w:lineRule="exact"/>
        <w:rPr>
          <w:rFonts w:ascii="Arial" w:cs="Arial" w:eastAsia="Arial" w:hAnsi="Arial"/>
          <w:sz w:val="14"/>
          <w:szCs w:val="14"/>
          <w:color w:val="00A798"/>
        </w:rPr>
      </w:pPr>
    </w:p>
    <w:p>
      <w:pPr>
        <w:ind w:left="200" w:right="140" w:hanging="194"/>
        <w:spacing w:after="0" w:line="283"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Periodically reviews the Company’s initiatives and strategies relating to corporate culture, including considering the Company’s performance, engagement and pay-for-performance alignment when reviewing the workplace environment and culture and periodic reviews of the results of the Company’s employee engagement and external surveys.</w:t>
      </w:r>
    </w:p>
    <w:p>
      <w:pPr>
        <w:spacing w:after="0" w:line="10" w:lineRule="exact"/>
        <w:rPr>
          <w:rFonts w:ascii="Arial" w:cs="Arial" w:eastAsia="Arial" w:hAnsi="Arial"/>
          <w:sz w:val="14"/>
          <w:szCs w:val="14"/>
          <w:color w:val="00A798"/>
        </w:rPr>
      </w:pPr>
    </w:p>
    <w:p>
      <w:pPr>
        <w:ind w:left="200" w:right="120" w:hanging="194"/>
        <w:spacing w:after="0" w:line="269"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Reviews and discusses with management the “Compensation Discussion and Analysis” section of the Company’s annual proxy statement, prepares the Compensation, Talent and Culture Committee Report required by SEC rules and recommends to the Board the inclusion of each in the Company’s annual proxy statement (included on pages 58 and 89 of this Proxy Statement, respectively).</w:t>
      </w:r>
    </w:p>
    <w:p>
      <w:pPr>
        <w:spacing w:after="0" w:line="20" w:lineRule="exact"/>
        <w:rPr>
          <w:rFonts w:ascii="Arial" w:cs="Arial" w:eastAsia="Arial" w:hAnsi="Arial"/>
          <w:sz w:val="14"/>
          <w:szCs w:val="14"/>
          <w:color w:val="00A798"/>
        </w:rPr>
      </w:pPr>
    </w:p>
    <w:p>
      <w:pPr>
        <w:ind w:left="200" w:right="100" w:hanging="194"/>
        <w:spacing w:after="0" w:line="301"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Reviews and makes recommendations to the Board with respect to the frequency with which the Company will conduct “Say on Pay” votes and reviews and approves the proposals regarding the “Say on Pay” vote.</w:t>
      </w:r>
    </w:p>
    <w:p>
      <w:pPr>
        <w:spacing w:after="0" w:line="1" w:lineRule="exact"/>
        <w:rPr>
          <w:rFonts w:ascii="Arial" w:cs="Arial" w:eastAsia="Arial" w:hAnsi="Arial"/>
          <w:sz w:val="14"/>
          <w:szCs w:val="14"/>
          <w:color w:val="00A798"/>
        </w:rPr>
      </w:pPr>
    </w:p>
    <w:p>
      <w:pPr>
        <w:ind w:left="200" w:right="360" w:hanging="194"/>
        <w:spacing w:after="0" w:line="285"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Considers the independence requirements of the NYSE prior to selecting a compensation consultant, legal counsel or other advisor and evaluates the performance of such advisors and approves all related fees.</w:t>
      </w:r>
    </w:p>
    <w:p>
      <w:pPr>
        <w:spacing w:after="0" w:line="9" w:lineRule="exact"/>
        <w:rPr>
          <w:rFonts w:ascii="Arial" w:cs="Arial" w:eastAsia="Arial" w:hAnsi="Arial"/>
          <w:sz w:val="14"/>
          <w:szCs w:val="14"/>
          <w:color w:val="00A798"/>
        </w:rPr>
      </w:pPr>
    </w:p>
    <w:p>
      <w:pPr>
        <w:ind w:left="200" w:right="380" w:hanging="194"/>
        <w:spacing w:after="0" w:line="325" w:lineRule="auto"/>
        <w:tabs>
          <w:tab w:leader="none" w:pos="164" w:val="left"/>
        </w:tabs>
        <w:numPr>
          <w:ilvl w:val="0"/>
          <w:numId w:val="32"/>
        </w:numPr>
        <w:rPr>
          <w:rFonts w:ascii="Arial" w:cs="Arial" w:eastAsia="Arial" w:hAnsi="Arial"/>
          <w:sz w:val="14"/>
          <w:szCs w:val="14"/>
          <w:color w:val="00A798"/>
        </w:rPr>
      </w:pPr>
      <w:r>
        <w:rPr>
          <w:rFonts w:ascii="Arial" w:cs="Arial" w:eastAsia="Arial" w:hAnsi="Arial"/>
          <w:sz w:val="14"/>
          <w:szCs w:val="14"/>
          <w:color w:val="auto"/>
        </w:rPr>
        <w:t>At least annually, reviews and assesses the adequacy of the Company’s Global Human Rights Policy, including any related disclosures.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Key Areas of Focus in 2025:</w:t>
      </w:r>
    </w:p>
    <w:p>
      <w:pPr>
        <w:spacing w:after="0" w:line="37" w:lineRule="exact"/>
        <w:rPr>
          <w:sz w:val="20"/>
          <w:szCs w:val="20"/>
          <w:color w:val="auto"/>
        </w:rPr>
      </w:pPr>
    </w:p>
    <w:p>
      <w:pPr>
        <w:ind w:left="200" w:right="420" w:hanging="194"/>
        <w:spacing w:after="0" w:line="284" w:lineRule="auto"/>
        <w:tabs>
          <w:tab w:leader="none" w:pos="164" w:val="left"/>
        </w:tabs>
        <w:numPr>
          <w:ilvl w:val="0"/>
          <w:numId w:val="33"/>
        </w:numPr>
        <w:rPr>
          <w:rFonts w:ascii="Arial" w:cs="Arial" w:eastAsia="Arial" w:hAnsi="Arial"/>
          <w:sz w:val="14"/>
          <w:szCs w:val="14"/>
          <w:color w:val="00A798"/>
        </w:rPr>
      </w:pPr>
      <w:r>
        <w:rPr>
          <w:rFonts w:ascii="Arial" w:cs="Arial" w:eastAsia="Arial" w:hAnsi="Arial"/>
          <w:sz w:val="14"/>
          <w:szCs w:val="14"/>
          <w:color w:val="auto"/>
        </w:rPr>
        <w:t>Redesign and enhancement of executive compensation programs, including structural changes to the AIP, LTIP and equity award design to strengthen alignment with the Company’s growth strategy.</w:t>
      </w:r>
    </w:p>
    <w:p>
      <w:pPr>
        <w:spacing w:after="0" w:line="9" w:lineRule="exact"/>
        <w:rPr>
          <w:rFonts w:ascii="Arial" w:cs="Arial" w:eastAsia="Arial" w:hAnsi="Arial"/>
          <w:sz w:val="14"/>
          <w:szCs w:val="14"/>
          <w:color w:val="00A798"/>
        </w:rPr>
      </w:pPr>
    </w:p>
    <w:p>
      <w:pPr>
        <w:ind w:left="160" w:hanging="154"/>
        <w:spacing w:after="0"/>
        <w:tabs>
          <w:tab w:leader="none" w:pos="160" w:val="left"/>
        </w:tabs>
        <w:numPr>
          <w:ilvl w:val="0"/>
          <w:numId w:val="33"/>
        </w:numPr>
        <w:rPr>
          <w:rFonts w:ascii="Arial" w:cs="Arial" w:eastAsia="Arial" w:hAnsi="Arial"/>
          <w:sz w:val="14"/>
          <w:szCs w:val="14"/>
          <w:color w:val="00A798"/>
        </w:rPr>
      </w:pPr>
      <w:r>
        <w:rPr>
          <w:rFonts w:ascii="Arial" w:cs="Arial" w:eastAsia="Arial" w:hAnsi="Arial"/>
          <w:sz w:val="14"/>
          <w:szCs w:val="14"/>
          <w:color w:val="auto"/>
        </w:rPr>
        <w:t>Senior leader succession and progression planning.</w:t>
      </w:r>
    </w:p>
    <w:p>
      <w:pPr>
        <w:spacing w:after="0" w:line="68" w:lineRule="exact"/>
        <w:rPr>
          <w:rFonts w:ascii="Arial" w:cs="Arial" w:eastAsia="Arial" w:hAnsi="Arial"/>
          <w:sz w:val="14"/>
          <w:szCs w:val="14"/>
          <w:color w:val="00A798"/>
        </w:rPr>
      </w:pPr>
    </w:p>
    <w:p>
      <w:pPr>
        <w:ind w:left="160" w:hanging="154"/>
        <w:spacing w:after="0"/>
        <w:tabs>
          <w:tab w:leader="none" w:pos="160" w:val="left"/>
        </w:tabs>
        <w:numPr>
          <w:ilvl w:val="0"/>
          <w:numId w:val="33"/>
        </w:numPr>
        <w:rPr>
          <w:rFonts w:ascii="Arial" w:cs="Arial" w:eastAsia="Arial" w:hAnsi="Arial"/>
          <w:sz w:val="14"/>
          <w:szCs w:val="14"/>
          <w:color w:val="00A798"/>
        </w:rPr>
      </w:pPr>
      <w:r>
        <w:rPr>
          <w:rFonts w:ascii="Arial" w:cs="Arial" w:eastAsia="Arial" w:hAnsi="Arial"/>
          <w:sz w:val="14"/>
          <w:szCs w:val="14"/>
          <w:color w:val="auto"/>
        </w:rPr>
        <w:t>Oversight and implementation of compensation plans and practices.</w:t>
      </w:r>
    </w:p>
    <w:p>
      <w:pPr>
        <w:spacing w:after="0" w:line="55" w:lineRule="exact"/>
        <w:rPr>
          <w:rFonts w:ascii="Arial" w:cs="Arial" w:eastAsia="Arial" w:hAnsi="Arial"/>
          <w:sz w:val="14"/>
          <w:szCs w:val="14"/>
          <w:color w:val="00A798"/>
        </w:rPr>
      </w:pPr>
    </w:p>
    <w:p>
      <w:pPr>
        <w:ind w:left="160" w:hanging="154"/>
        <w:spacing w:after="0"/>
        <w:tabs>
          <w:tab w:leader="none" w:pos="160" w:val="left"/>
        </w:tabs>
        <w:numPr>
          <w:ilvl w:val="0"/>
          <w:numId w:val="33"/>
        </w:numPr>
        <w:rPr>
          <w:rFonts w:ascii="Arial" w:cs="Arial" w:eastAsia="Arial" w:hAnsi="Arial"/>
          <w:sz w:val="14"/>
          <w:szCs w:val="14"/>
          <w:color w:val="00A798"/>
        </w:rPr>
      </w:pPr>
      <w:r>
        <w:rPr>
          <w:rFonts w:ascii="Arial" w:cs="Arial" w:eastAsia="Arial" w:hAnsi="Arial"/>
          <w:sz w:val="14"/>
          <w:szCs w:val="14"/>
          <w:color w:val="auto"/>
        </w:rPr>
        <w:t>Continued focus on the Company’s performance culture and monitoring of the Company’s employee engagement.</w:t>
      </w:r>
    </w:p>
    <w:p>
      <w:pPr>
        <w:spacing w:after="0" w:line="163"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color w:val="auto"/>
        </w:rPr>
        <w:t>Compensation Committee Interlocks and Insider Participation: No member of the Compensation Committee is now, or has been, an officer or employee of the Company, or had any relationship with the Company since January 1, 2025 requiring disclosure under applicable SEC rules on the disclosure of transactions with related persons. None of our NEOs currently serves or served during 2025 on the board of directors or compensation committee of another company at any time during which an executive officer of such company served on MSCI’s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1696085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480"/>
            <w:col w:w="836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Governance and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80210" cy="60775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80210" cy="607758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Linda H. Riefler</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CHAIR</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Current Members: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Robert G. Ashe</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Robin L. Matlock</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Sandy C. Rattray</w:t>
      </w:r>
    </w:p>
    <w:p>
      <w:pPr>
        <w:spacing w:after="0" w:line="356" w:lineRule="exact"/>
        <w:rPr>
          <w:sz w:val="20"/>
          <w:szCs w:val="20"/>
          <w:color w:val="auto"/>
        </w:rPr>
      </w:pPr>
    </w:p>
    <w:p>
      <w:pPr>
        <w:ind w:left="940" w:right="260" w:hanging="671"/>
        <w:spacing w:after="0" w:line="182" w:lineRule="auto"/>
        <w:tabs>
          <w:tab w:leader="none" w:pos="940" w:val="left"/>
        </w:tabs>
        <w:numPr>
          <w:ilvl w:val="0"/>
          <w:numId w:val="34"/>
        </w:numPr>
        <w:rPr>
          <w:rFonts w:ascii="Arial" w:cs="Arial" w:eastAsia="Arial" w:hAnsi="Arial"/>
          <w:sz w:val="33"/>
          <w:szCs w:val="33"/>
          <w:b w:val="1"/>
          <w:bCs w:val="1"/>
          <w:color w:val="00C4B3"/>
        </w:rPr>
      </w:pPr>
      <w:r>
        <w:rPr>
          <w:rFonts w:ascii="Arial" w:cs="Arial" w:eastAsia="Arial" w:hAnsi="Arial"/>
          <w:sz w:val="14"/>
          <w:szCs w:val="14"/>
          <w:b w:val="1"/>
          <w:bCs w:val="1"/>
          <w:color w:val="FFFFFF"/>
        </w:rPr>
        <w:t>Meetings held in 2025</w:t>
      </w:r>
    </w:p>
    <w:p>
      <w:pPr>
        <w:spacing w:after="0" w:line="200" w:lineRule="exact"/>
        <w:rPr>
          <w:sz w:val="20"/>
          <w:szCs w:val="20"/>
          <w:color w:val="auto"/>
        </w:rPr>
      </w:pPr>
    </w:p>
    <w:p>
      <w:pPr>
        <w:spacing w:after="0" w:line="254" w:lineRule="exact"/>
        <w:rPr>
          <w:sz w:val="20"/>
          <w:szCs w:val="20"/>
          <w:color w:val="auto"/>
        </w:rPr>
      </w:pPr>
    </w:p>
    <w:p>
      <w:pPr>
        <w:ind w:left="460" w:right="60" w:hanging="191"/>
        <w:spacing w:after="0" w:line="267" w:lineRule="auto"/>
        <w:tabs>
          <w:tab w:leader="none" w:pos="427" w:val="left"/>
        </w:tabs>
        <w:numPr>
          <w:ilvl w:val="0"/>
          <w:numId w:val="35"/>
        </w:numPr>
        <w:rPr>
          <w:rFonts w:ascii="Arial" w:cs="Arial" w:eastAsia="Arial" w:hAnsi="Arial"/>
          <w:sz w:val="15"/>
          <w:szCs w:val="15"/>
          <w:color w:val="00A798"/>
        </w:rPr>
      </w:pPr>
      <w:r>
        <w:rPr>
          <w:rFonts w:ascii="Arial" w:cs="Arial" w:eastAsia="Arial" w:hAnsi="Arial"/>
          <w:sz w:val="16"/>
          <w:szCs w:val="16"/>
          <w:color w:val="FFFFFF"/>
        </w:rPr>
        <w:t>All members are independent within the meaning of the NYSE standards of independence</w:t>
      </w:r>
    </w:p>
    <w:p>
      <w:pPr>
        <w:spacing w:after="0" w:line="1" w:lineRule="exact"/>
        <w:rPr>
          <w:rFonts w:ascii="Arial" w:cs="Arial" w:eastAsia="Arial" w:hAnsi="Arial"/>
          <w:sz w:val="15"/>
          <w:szCs w:val="15"/>
          <w:color w:val="00A798"/>
        </w:rPr>
      </w:pPr>
    </w:p>
    <w:p>
      <w:pPr>
        <w:ind w:left="460"/>
        <w:spacing w:after="0"/>
        <w:rPr>
          <w:rFonts w:ascii="Arial" w:cs="Arial" w:eastAsia="Arial" w:hAnsi="Arial"/>
          <w:sz w:val="15"/>
          <w:szCs w:val="15"/>
          <w:color w:val="00A798"/>
        </w:rPr>
      </w:pPr>
      <w:r>
        <w:rPr>
          <w:rFonts w:ascii="Arial" w:cs="Arial" w:eastAsia="Arial" w:hAnsi="Arial"/>
          <w:sz w:val="16"/>
          <w:szCs w:val="16"/>
          <w:color w:val="FFFFFF"/>
        </w:rPr>
        <w:t>for directors.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Primary Responsibilities:</w:t>
      </w:r>
    </w:p>
    <w:p>
      <w:pPr>
        <w:spacing w:after="0" w:line="39" w:lineRule="exact"/>
        <w:rPr>
          <w:sz w:val="20"/>
          <w:szCs w:val="20"/>
          <w:color w:val="auto"/>
        </w:rPr>
      </w:pPr>
    </w:p>
    <w:p>
      <w:pPr>
        <w:ind w:left="200" w:right="260" w:hanging="194"/>
        <w:spacing w:after="0" w:line="288"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Annually reviews the size and composition of the Board and its committees in light of the evolving needs of the Company and the Board, and determine whether changes are appropriate to ensure the Board maintains a balance of skills, backgrounds, perspectives and experiences necessary to support the Company’s long-term strategy and effective oversight, including by considering succession planning for the Board and key leadership roles within the Board and its committees.</w:t>
      </w:r>
    </w:p>
    <w:p>
      <w:pPr>
        <w:spacing w:after="0" w:line="35" w:lineRule="exact"/>
        <w:rPr>
          <w:rFonts w:ascii="Arial" w:cs="Arial" w:eastAsia="Arial" w:hAnsi="Arial"/>
          <w:sz w:val="14"/>
          <w:szCs w:val="14"/>
          <w:color w:val="00A798"/>
        </w:rPr>
      </w:pPr>
    </w:p>
    <w:p>
      <w:pPr>
        <w:ind w:left="200" w:right="42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Oversees searches for candidates for election to the Board and recommends criteria and individuals for appointment to the Board and its committees.</w:t>
      </w:r>
    </w:p>
    <w:p>
      <w:pPr>
        <w:spacing w:after="0" w:line="9" w:lineRule="exact"/>
        <w:rPr>
          <w:rFonts w:ascii="Arial" w:cs="Arial" w:eastAsia="Arial" w:hAnsi="Arial"/>
          <w:sz w:val="14"/>
          <w:szCs w:val="14"/>
          <w:color w:val="00A798"/>
        </w:rPr>
      </w:pPr>
    </w:p>
    <w:p>
      <w:pPr>
        <w:ind w:left="200" w:right="58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Retains any search firm that assists the Governance Committee in identifying candidates and maintains sole authority to approve all such search firms’ fees and other retention terms.</w:t>
      </w:r>
    </w:p>
    <w:p>
      <w:pPr>
        <w:spacing w:after="0" w:line="22" w:lineRule="exact"/>
        <w:rPr>
          <w:rFonts w:ascii="Arial" w:cs="Arial" w:eastAsia="Arial" w:hAnsi="Arial"/>
          <w:sz w:val="14"/>
          <w:szCs w:val="14"/>
          <w:color w:val="00A798"/>
        </w:rPr>
      </w:pPr>
    </w:p>
    <w:p>
      <w:pPr>
        <w:ind w:left="160" w:hanging="154"/>
        <w:spacing w:after="0"/>
        <w:tabs>
          <w:tab w:leader="none" w:pos="160"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Makes recommendations to the Board as to determinations of director independence.</w:t>
      </w:r>
    </w:p>
    <w:p>
      <w:pPr>
        <w:spacing w:after="0" w:line="95" w:lineRule="exact"/>
        <w:rPr>
          <w:rFonts w:ascii="Arial" w:cs="Arial" w:eastAsia="Arial" w:hAnsi="Arial"/>
          <w:sz w:val="14"/>
          <w:szCs w:val="14"/>
          <w:color w:val="00A798"/>
        </w:rPr>
      </w:pPr>
    </w:p>
    <w:p>
      <w:pPr>
        <w:ind w:left="200" w:right="40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Oversees and approves the process and guidelines for the annual evaluation of performance and effectiveness of the Lead Director, the Board and its committees, and individual directors.</w:t>
      </w:r>
    </w:p>
    <w:p>
      <w:pPr>
        <w:spacing w:after="0" w:line="9" w:lineRule="exact"/>
        <w:rPr>
          <w:rFonts w:ascii="Arial" w:cs="Arial" w:eastAsia="Arial" w:hAnsi="Arial"/>
          <w:sz w:val="14"/>
          <w:szCs w:val="14"/>
          <w:color w:val="00A798"/>
        </w:rPr>
      </w:pPr>
    </w:p>
    <w:p>
      <w:pPr>
        <w:ind w:left="200" w:right="8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Oversees the Company’s strategy and engagement in public policy matters, including legislative, regulatory and political matters that may affect the Company’s business or reputation.</w:t>
      </w:r>
    </w:p>
    <w:p>
      <w:pPr>
        <w:spacing w:after="0" w:line="9" w:lineRule="exact"/>
        <w:rPr>
          <w:rFonts w:ascii="Arial" w:cs="Arial" w:eastAsia="Arial" w:hAnsi="Arial"/>
          <w:sz w:val="14"/>
          <w:szCs w:val="14"/>
          <w:color w:val="00A798"/>
        </w:rPr>
      </w:pPr>
    </w:p>
    <w:p>
      <w:pPr>
        <w:ind w:left="200" w:right="46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At least annually, reviews and assesses the adequacy of the Company’s Corporate Political Activities Policy, including any related disclosures, and recommends any proposed changes to the Board, if required.</w:t>
      </w:r>
    </w:p>
    <w:p>
      <w:pPr>
        <w:spacing w:after="0" w:line="9" w:lineRule="exact"/>
        <w:rPr>
          <w:rFonts w:ascii="Arial" w:cs="Arial" w:eastAsia="Arial" w:hAnsi="Arial"/>
          <w:sz w:val="14"/>
          <w:szCs w:val="14"/>
          <w:color w:val="00A798"/>
        </w:rPr>
      </w:pPr>
    </w:p>
    <w:p>
      <w:pPr>
        <w:ind w:left="200" w:right="88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Oversees the Company’s policies and initiatives related to corporate responsibility matters, including with respect to environmental, supply chain and other sustainability matters.</w:t>
      </w:r>
    </w:p>
    <w:p>
      <w:pPr>
        <w:spacing w:after="0" w:line="9" w:lineRule="exact"/>
        <w:rPr>
          <w:rFonts w:ascii="Arial" w:cs="Arial" w:eastAsia="Arial" w:hAnsi="Arial"/>
          <w:sz w:val="14"/>
          <w:szCs w:val="14"/>
          <w:color w:val="00A798"/>
        </w:rPr>
      </w:pPr>
    </w:p>
    <w:p>
      <w:pPr>
        <w:ind w:left="200" w:right="54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Evaluates the Company’s shareholder engagement practices on corporate responsibility matters and considers feedback received from shareholders.</w:t>
      </w:r>
    </w:p>
    <w:p>
      <w:pPr>
        <w:spacing w:after="0" w:line="9" w:lineRule="exact"/>
        <w:rPr>
          <w:rFonts w:ascii="Arial" w:cs="Arial" w:eastAsia="Arial" w:hAnsi="Arial"/>
          <w:sz w:val="14"/>
          <w:szCs w:val="14"/>
          <w:color w:val="00A798"/>
        </w:rPr>
      </w:pPr>
    </w:p>
    <w:p>
      <w:pPr>
        <w:ind w:left="200" w:right="40" w:hanging="194"/>
        <w:spacing w:after="0" w:line="303"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At least annually, reviews and assesses the adequacy of the Company’s Corporate Governance Policies and Code of Ethics and Business Conduct. Reviews with the Company’s management, including the Head of Compliance, the Company’s Compliance program, priorities, initiatives, risks and mitigations.</w:t>
      </w:r>
    </w:p>
    <w:p>
      <w:pPr>
        <w:spacing w:after="0" w:line="24" w:lineRule="exact"/>
        <w:rPr>
          <w:rFonts w:ascii="Arial" w:cs="Arial" w:eastAsia="Arial" w:hAnsi="Arial"/>
          <w:sz w:val="14"/>
          <w:szCs w:val="14"/>
          <w:color w:val="00A798"/>
        </w:rPr>
      </w:pPr>
    </w:p>
    <w:p>
      <w:pPr>
        <w:ind w:left="200" w:right="22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At least annually, reviews and assesses the adequacy of the Company’s Related Person Transactions Policy. Reviews related person transactions pursuant to the Related Person Transactions Policy.</w:t>
      </w:r>
    </w:p>
    <w:p>
      <w:pPr>
        <w:spacing w:after="0" w:line="9" w:lineRule="exact"/>
        <w:rPr>
          <w:rFonts w:ascii="Arial" w:cs="Arial" w:eastAsia="Arial" w:hAnsi="Arial"/>
          <w:sz w:val="14"/>
          <w:szCs w:val="14"/>
          <w:color w:val="00A798"/>
        </w:rPr>
      </w:pPr>
    </w:p>
    <w:p>
      <w:pPr>
        <w:ind w:left="200" w:right="540" w:hanging="194"/>
        <w:spacing w:after="0" w:line="325" w:lineRule="auto"/>
        <w:tabs>
          <w:tab w:leader="none" w:pos="164" w:val="left"/>
        </w:tabs>
        <w:numPr>
          <w:ilvl w:val="0"/>
          <w:numId w:val="36"/>
        </w:numPr>
        <w:rPr>
          <w:rFonts w:ascii="Arial" w:cs="Arial" w:eastAsia="Arial" w:hAnsi="Arial"/>
          <w:sz w:val="14"/>
          <w:szCs w:val="14"/>
          <w:color w:val="00A798"/>
        </w:rPr>
      </w:pPr>
      <w:r>
        <w:rPr>
          <w:rFonts w:ascii="Arial" w:cs="Arial" w:eastAsia="Arial" w:hAnsi="Arial"/>
          <w:sz w:val="14"/>
          <w:szCs w:val="14"/>
          <w:color w:val="auto"/>
        </w:rPr>
        <w:t>Oversees risks related to corporate governance structures, policies and processes, including related to the effectiveness, structure and succession of the Board.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Key Areas of Focus in 2025:</w:t>
      </w:r>
    </w:p>
    <w:p>
      <w:pPr>
        <w:spacing w:after="0" w:line="39" w:lineRule="exact"/>
        <w:rPr>
          <w:sz w:val="20"/>
          <w:szCs w:val="20"/>
          <w:color w:val="auto"/>
        </w:rPr>
      </w:pPr>
    </w:p>
    <w:p>
      <w:pPr>
        <w:ind w:left="160" w:hanging="154"/>
        <w:spacing w:after="0"/>
        <w:tabs>
          <w:tab w:leader="none" w:pos="160" w:val="left"/>
        </w:tabs>
        <w:numPr>
          <w:ilvl w:val="0"/>
          <w:numId w:val="37"/>
        </w:numPr>
        <w:rPr>
          <w:rFonts w:ascii="Arial" w:cs="Arial" w:eastAsia="Arial" w:hAnsi="Arial"/>
          <w:sz w:val="14"/>
          <w:szCs w:val="14"/>
          <w:color w:val="00A798"/>
        </w:rPr>
      </w:pPr>
      <w:r>
        <w:rPr>
          <w:rFonts w:ascii="Arial" w:cs="Arial" w:eastAsia="Arial" w:hAnsi="Arial"/>
          <w:sz w:val="14"/>
          <w:szCs w:val="14"/>
          <w:color w:val="auto"/>
        </w:rPr>
        <w:t>Reviewed Board composition and Board skills.</w:t>
      </w:r>
    </w:p>
    <w:p>
      <w:pPr>
        <w:spacing w:after="0" w:line="93" w:lineRule="exact"/>
        <w:rPr>
          <w:rFonts w:ascii="Arial" w:cs="Arial" w:eastAsia="Arial" w:hAnsi="Arial"/>
          <w:sz w:val="14"/>
          <w:szCs w:val="14"/>
          <w:color w:val="00A798"/>
        </w:rPr>
      </w:pPr>
    </w:p>
    <w:p>
      <w:pPr>
        <w:ind w:left="200" w:right="660" w:hanging="194"/>
        <w:spacing w:after="0" w:line="325" w:lineRule="auto"/>
        <w:tabs>
          <w:tab w:leader="none" w:pos="164" w:val="left"/>
        </w:tabs>
        <w:numPr>
          <w:ilvl w:val="0"/>
          <w:numId w:val="37"/>
        </w:numPr>
        <w:rPr>
          <w:rFonts w:ascii="Arial" w:cs="Arial" w:eastAsia="Arial" w:hAnsi="Arial"/>
          <w:sz w:val="14"/>
          <w:szCs w:val="14"/>
          <w:color w:val="00A798"/>
        </w:rPr>
      </w:pPr>
      <w:r>
        <w:rPr>
          <w:rFonts w:ascii="Arial" w:cs="Arial" w:eastAsia="Arial" w:hAnsi="Arial"/>
          <w:sz w:val="14"/>
          <w:szCs w:val="14"/>
          <w:color w:val="auto"/>
        </w:rPr>
        <w:t>Reviewed recent corporate governance developments and proposed relevant updates to Company practices, including amendments to the Company’s committee charters and Corporate Governance Policies.</w:t>
      </w:r>
    </w:p>
    <w:p>
      <w:pPr>
        <w:spacing w:after="0" w:line="9" w:lineRule="exact"/>
        <w:rPr>
          <w:rFonts w:ascii="Arial" w:cs="Arial" w:eastAsia="Arial" w:hAnsi="Arial"/>
          <w:sz w:val="14"/>
          <w:szCs w:val="14"/>
          <w:color w:val="00A798"/>
        </w:rPr>
      </w:pPr>
    </w:p>
    <w:p>
      <w:pPr>
        <w:ind w:left="160" w:hanging="154"/>
        <w:spacing w:after="0"/>
        <w:tabs>
          <w:tab w:leader="none" w:pos="160" w:val="left"/>
        </w:tabs>
        <w:numPr>
          <w:ilvl w:val="0"/>
          <w:numId w:val="37"/>
        </w:numPr>
        <w:rPr>
          <w:rFonts w:ascii="Arial" w:cs="Arial" w:eastAsia="Arial" w:hAnsi="Arial"/>
          <w:sz w:val="14"/>
          <w:szCs w:val="14"/>
          <w:color w:val="00A798"/>
        </w:rPr>
      </w:pPr>
      <w:r>
        <w:rPr>
          <w:rFonts w:ascii="Arial" w:cs="Arial" w:eastAsia="Arial" w:hAnsi="Arial"/>
          <w:sz w:val="14"/>
          <w:szCs w:val="14"/>
          <w:color w:val="auto"/>
        </w:rPr>
        <w:t>Reviewed the Company’s corporate responsibility initiatives, including related feedback from the Company’s investors.</w:t>
      </w:r>
    </w:p>
    <w:p>
      <w:pPr>
        <w:spacing w:after="0" w:line="95" w:lineRule="exact"/>
        <w:rPr>
          <w:rFonts w:ascii="Arial" w:cs="Arial" w:eastAsia="Arial" w:hAnsi="Arial"/>
          <w:sz w:val="14"/>
          <w:szCs w:val="14"/>
          <w:color w:val="00A798"/>
        </w:rPr>
      </w:pPr>
    </w:p>
    <w:p>
      <w:pPr>
        <w:ind w:left="160" w:hanging="154"/>
        <w:spacing w:after="0"/>
        <w:tabs>
          <w:tab w:leader="none" w:pos="160" w:val="left"/>
        </w:tabs>
        <w:numPr>
          <w:ilvl w:val="0"/>
          <w:numId w:val="37"/>
        </w:numPr>
        <w:rPr>
          <w:rFonts w:ascii="Arial" w:cs="Arial" w:eastAsia="Arial" w:hAnsi="Arial"/>
          <w:sz w:val="14"/>
          <w:szCs w:val="14"/>
          <w:color w:val="00A798"/>
        </w:rPr>
      </w:pPr>
      <w:r>
        <w:rPr>
          <w:rFonts w:ascii="Arial" w:cs="Arial" w:eastAsia="Arial" w:hAnsi="Arial"/>
          <w:sz w:val="14"/>
          <w:szCs w:val="14"/>
          <w:color w:val="auto"/>
        </w:rPr>
        <w:t>Reviewed the Company’s strategy and recent engagement in public policy matters and public policy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1403985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3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Strategy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680210" cy="3720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80210" cy="372046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p>
      <w:pPr>
        <w:spacing w:after="0" w:line="39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FFFFFF"/>
        </w:rPr>
        <w:t>Sandy C. Rattray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C4B3"/>
        </w:rPr>
        <w:t>CHAIR</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FFFFFF"/>
        </w:rPr>
        <w:t>Current Members: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Jacques P. Perold</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Michelle Seitz</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Marcus L. Smith</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FFFFFF"/>
        </w:rPr>
        <w:t>Paula Volent</w:t>
      </w:r>
    </w:p>
    <w:p>
      <w:pPr>
        <w:spacing w:after="0" w:line="316" w:lineRule="exact"/>
        <w:rPr>
          <w:sz w:val="20"/>
          <w:szCs w:val="20"/>
          <w:color w:val="auto"/>
        </w:rPr>
      </w:pPr>
    </w:p>
    <w:p>
      <w:pPr>
        <w:ind w:left="940" w:right="260" w:hanging="671"/>
        <w:spacing w:after="0" w:line="182" w:lineRule="auto"/>
        <w:tabs>
          <w:tab w:leader="none" w:pos="940" w:val="left"/>
        </w:tabs>
        <w:numPr>
          <w:ilvl w:val="0"/>
          <w:numId w:val="38"/>
        </w:numPr>
        <w:rPr>
          <w:rFonts w:ascii="Arial" w:cs="Arial" w:eastAsia="Arial" w:hAnsi="Arial"/>
          <w:sz w:val="33"/>
          <w:szCs w:val="33"/>
          <w:b w:val="1"/>
          <w:bCs w:val="1"/>
          <w:color w:val="00C4B3"/>
        </w:rPr>
      </w:pPr>
      <w:r>
        <w:rPr>
          <w:rFonts w:ascii="Arial" w:cs="Arial" w:eastAsia="Arial" w:hAnsi="Arial"/>
          <w:sz w:val="14"/>
          <w:szCs w:val="14"/>
          <w:b w:val="1"/>
          <w:bCs w:val="1"/>
          <w:color w:val="FFFFFF"/>
        </w:rPr>
        <w:t>Meetings held in 2025</w:t>
      </w:r>
    </w:p>
    <w:p>
      <w:pPr>
        <w:spacing w:after="0" w:line="200" w:lineRule="exact"/>
        <w:rPr>
          <w:sz w:val="20"/>
          <w:szCs w:val="20"/>
          <w:color w:val="auto"/>
        </w:rPr>
      </w:pPr>
    </w:p>
    <w:p>
      <w:pPr>
        <w:spacing w:after="0" w:line="254" w:lineRule="exact"/>
        <w:rPr>
          <w:sz w:val="20"/>
          <w:szCs w:val="20"/>
          <w:color w:val="auto"/>
        </w:rPr>
      </w:pPr>
    </w:p>
    <w:p>
      <w:pPr>
        <w:ind w:left="460" w:right="60" w:hanging="191"/>
        <w:spacing w:after="0" w:line="267" w:lineRule="auto"/>
        <w:tabs>
          <w:tab w:leader="none" w:pos="424" w:val="left"/>
        </w:tabs>
        <w:numPr>
          <w:ilvl w:val="0"/>
          <w:numId w:val="39"/>
        </w:numPr>
        <w:rPr>
          <w:rFonts w:ascii="Arial" w:cs="Arial" w:eastAsia="Arial" w:hAnsi="Arial"/>
          <w:sz w:val="14"/>
          <w:szCs w:val="14"/>
          <w:color w:val="00A798"/>
        </w:rPr>
      </w:pPr>
      <w:r>
        <w:rPr>
          <w:rFonts w:ascii="Arial" w:cs="Arial" w:eastAsia="Arial" w:hAnsi="Arial"/>
          <w:sz w:val="16"/>
          <w:szCs w:val="16"/>
          <w:color w:val="FFFFFF"/>
        </w:rPr>
        <w:t>All members are independent within the meaning of the NYSE standards of independence</w:t>
      </w:r>
    </w:p>
    <w:p>
      <w:pPr>
        <w:spacing w:after="0" w:line="1" w:lineRule="exact"/>
        <w:rPr>
          <w:rFonts w:ascii="Arial" w:cs="Arial" w:eastAsia="Arial" w:hAnsi="Arial"/>
          <w:sz w:val="14"/>
          <w:szCs w:val="14"/>
          <w:color w:val="00A798"/>
        </w:rPr>
      </w:pPr>
    </w:p>
    <w:p>
      <w:pPr>
        <w:ind w:left="460"/>
        <w:spacing w:after="0"/>
        <w:rPr>
          <w:rFonts w:ascii="Arial" w:cs="Arial" w:eastAsia="Arial" w:hAnsi="Arial"/>
          <w:sz w:val="14"/>
          <w:szCs w:val="14"/>
          <w:color w:val="00A798"/>
        </w:rPr>
      </w:pPr>
      <w:r>
        <w:rPr>
          <w:rFonts w:ascii="Arial" w:cs="Arial" w:eastAsia="Arial" w:hAnsi="Arial"/>
          <w:sz w:val="16"/>
          <w:szCs w:val="16"/>
          <w:color w:val="FFFFFF"/>
        </w:rPr>
        <w:t>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1478915</wp:posOffset>
            </wp:positionV>
            <wp:extent cx="55689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Primary Responsibilities:</w:t>
      </w:r>
    </w:p>
    <w:p>
      <w:pPr>
        <w:spacing w:after="0" w:line="39" w:lineRule="exact"/>
        <w:rPr>
          <w:sz w:val="20"/>
          <w:szCs w:val="20"/>
          <w:color w:val="auto"/>
        </w:rPr>
      </w:pPr>
    </w:p>
    <w:p>
      <w:pPr>
        <w:ind w:left="200" w:right="100" w:hanging="194"/>
        <w:spacing w:after="0" w:line="322" w:lineRule="auto"/>
        <w:tabs>
          <w:tab w:leader="none" w:pos="164" w:val="left"/>
        </w:tabs>
        <w:numPr>
          <w:ilvl w:val="0"/>
          <w:numId w:val="40"/>
        </w:numPr>
        <w:rPr>
          <w:rFonts w:ascii="Arial" w:cs="Arial" w:eastAsia="Arial" w:hAnsi="Arial"/>
          <w:sz w:val="14"/>
          <w:szCs w:val="14"/>
          <w:color w:val="00A798"/>
        </w:rPr>
      </w:pPr>
      <w:r>
        <w:rPr>
          <w:rFonts w:ascii="Arial" w:cs="Arial" w:eastAsia="Arial" w:hAnsi="Arial"/>
          <w:sz w:val="14"/>
          <w:szCs w:val="14"/>
          <w:color w:val="auto"/>
        </w:rPr>
        <w:t>Evaluates management’s recommendations with respect to the strategic direction of the Company and regularly consults with the Board on the objectives of the Company’s strategic plans and management’s implementation of such plans.</w:t>
      </w:r>
    </w:p>
    <w:p>
      <w:pPr>
        <w:spacing w:after="0" w:line="11" w:lineRule="exact"/>
        <w:rPr>
          <w:rFonts w:ascii="Arial" w:cs="Arial" w:eastAsia="Arial" w:hAnsi="Arial"/>
          <w:sz w:val="14"/>
          <w:szCs w:val="14"/>
          <w:color w:val="00A798"/>
        </w:rPr>
      </w:pPr>
    </w:p>
    <w:p>
      <w:pPr>
        <w:ind w:left="200" w:right="140" w:hanging="194"/>
        <w:spacing w:after="0" w:line="325" w:lineRule="auto"/>
        <w:tabs>
          <w:tab w:leader="none" w:pos="164" w:val="left"/>
        </w:tabs>
        <w:numPr>
          <w:ilvl w:val="0"/>
          <w:numId w:val="40"/>
        </w:numPr>
        <w:rPr>
          <w:rFonts w:ascii="Arial" w:cs="Arial" w:eastAsia="Arial" w:hAnsi="Arial"/>
          <w:sz w:val="14"/>
          <w:szCs w:val="14"/>
          <w:color w:val="00A798"/>
        </w:rPr>
      </w:pPr>
      <w:r>
        <w:rPr>
          <w:rFonts w:ascii="Arial" w:cs="Arial" w:eastAsia="Arial" w:hAnsi="Arial"/>
          <w:sz w:val="14"/>
          <w:szCs w:val="14"/>
          <w:color w:val="auto"/>
        </w:rPr>
        <w:t>Reviews and makes recommendations with respect to the agenda for Board strategy meetings with management, taking into account issues important to the full Board.</w:t>
      </w:r>
    </w:p>
    <w:p>
      <w:pPr>
        <w:spacing w:after="0" w:line="9" w:lineRule="exact"/>
        <w:rPr>
          <w:rFonts w:ascii="Arial" w:cs="Arial" w:eastAsia="Arial" w:hAnsi="Arial"/>
          <w:sz w:val="14"/>
          <w:szCs w:val="14"/>
          <w:color w:val="00A798"/>
        </w:rPr>
      </w:pPr>
    </w:p>
    <w:p>
      <w:pPr>
        <w:ind w:left="200" w:right="40" w:hanging="194"/>
        <w:spacing w:after="0" w:line="293" w:lineRule="auto"/>
        <w:tabs>
          <w:tab w:leader="none" w:pos="164" w:val="left"/>
        </w:tabs>
        <w:numPr>
          <w:ilvl w:val="0"/>
          <w:numId w:val="40"/>
        </w:numPr>
        <w:rPr>
          <w:rFonts w:ascii="Arial" w:cs="Arial" w:eastAsia="Arial" w:hAnsi="Arial"/>
          <w:sz w:val="14"/>
          <w:szCs w:val="14"/>
          <w:color w:val="00A798"/>
        </w:rPr>
      </w:pPr>
      <w:r>
        <w:rPr>
          <w:rFonts w:ascii="Arial" w:cs="Arial" w:eastAsia="Arial" w:hAnsi="Arial"/>
          <w:sz w:val="14"/>
          <w:szCs w:val="14"/>
          <w:color w:val="auto"/>
        </w:rPr>
        <w:t>Reviews and makes recommendations to the Board with respect to any mergers, combinations, acquisitions, divestitures, joint ventures, minority investments and other strategic transactions, and any financings for mergers, acquisitions and other significant financial transactions, in each case requiring the Board’s approval.</w:t>
      </w:r>
    </w:p>
    <w:p>
      <w:pPr>
        <w:spacing w:after="0" w:line="44" w:lineRule="exact"/>
        <w:rPr>
          <w:rFonts w:ascii="Arial" w:cs="Arial" w:eastAsia="Arial" w:hAnsi="Arial"/>
          <w:sz w:val="14"/>
          <w:szCs w:val="14"/>
          <w:color w:val="00A798"/>
        </w:rPr>
      </w:pPr>
    </w:p>
    <w:p>
      <w:pPr>
        <w:ind w:left="200" w:hanging="194"/>
        <w:spacing w:after="0" w:line="293" w:lineRule="auto"/>
        <w:tabs>
          <w:tab w:leader="none" w:pos="164" w:val="left"/>
        </w:tabs>
        <w:numPr>
          <w:ilvl w:val="0"/>
          <w:numId w:val="40"/>
        </w:numPr>
        <w:rPr>
          <w:rFonts w:ascii="Arial" w:cs="Arial" w:eastAsia="Arial" w:hAnsi="Arial"/>
          <w:sz w:val="14"/>
          <w:szCs w:val="14"/>
          <w:color w:val="00A798"/>
        </w:rPr>
      </w:pPr>
      <w:r>
        <w:rPr>
          <w:rFonts w:ascii="Arial" w:cs="Arial" w:eastAsia="Arial" w:hAnsi="Arial"/>
          <w:sz w:val="14"/>
          <w:szCs w:val="14"/>
          <w:color w:val="auto"/>
        </w:rPr>
        <w:t>Reviews and oversees management’s plans and objectives for the capital structure of the Company, including target short- and long-term leverage levels and the structure and amount of debt and equity required to meet the Company’s financing needs, and make recommendations to the Board as appropriate.</w:t>
      </w:r>
    </w:p>
    <w:p>
      <w:pPr>
        <w:spacing w:after="0" w:line="44" w:lineRule="exact"/>
        <w:rPr>
          <w:rFonts w:ascii="Arial" w:cs="Arial" w:eastAsia="Arial" w:hAnsi="Arial"/>
          <w:sz w:val="14"/>
          <w:szCs w:val="14"/>
          <w:color w:val="00A798"/>
        </w:rPr>
      </w:pPr>
    </w:p>
    <w:p>
      <w:pPr>
        <w:ind w:left="160" w:hanging="154"/>
        <w:spacing w:after="0"/>
        <w:tabs>
          <w:tab w:leader="none" w:pos="160" w:val="left"/>
        </w:tabs>
        <w:numPr>
          <w:ilvl w:val="0"/>
          <w:numId w:val="40"/>
        </w:numPr>
        <w:rPr>
          <w:rFonts w:ascii="Arial" w:cs="Arial" w:eastAsia="Arial" w:hAnsi="Arial"/>
          <w:sz w:val="14"/>
          <w:szCs w:val="14"/>
          <w:color w:val="00A798"/>
        </w:rPr>
      </w:pPr>
      <w:r>
        <w:rPr>
          <w:rFonts w:ascii="Arial" w:cs="Arial" w:eastAsia="Arial" w:hAnsi="Arial"/>
          <w:sz w:val="14"/>
          <w:szCs w:val="14"/>
          <w:color w:val="auto"/>
        </w:rPr>
        <w:t>Oversees the Company’s share repurchase programs, subject to Board-approved policies.</w:t>
      </w:r>
    </w:p>
    <w:p>
      <w:pPr>
        <w:spacing w:after="0" w:line="95" w:lineRule="exact"/>
        <w:rPr>
          <w:rFonts w:ascii="Arial" w:cs="Arial" w:eastAsia="Arial" w:hAnsi="Arial"/>
          <w:sz w:val="14"/>
          <w:szCs w:val="14"/>
          <w:color w:val="00A798"/>
        </w:rPr>
      </w:pPr>
    </w:p>
    <w:p>
      <w:pPr>
        <w:ind w:left="160" w:hanging="154"/>
        <w:spacing w:after="0"/>
        <w:tabs>
          <w:tab w:leader="none" w:pos="160" w:val="left"/>
        </w:tabs>
        <w:numPr>
          <w:ilvl w:val="0"/>
          <w:numId w:val="40"/>
        </w:numPr>
        <w:rPr>
          <w:rFonts w:ascii="Arial" w:cs="Arial" w:eastAsia="Arial" w:hAnsi="Arial"/>
          <w:sz w:val="14"/>
          <w:szCs w:val="14"/>
          <w:color w:val="00A798"/>
        </w:rPr>
      </w:pPr>
      <w:r>
        <w:rPr>
          <w:rFonts w:ascii="Arial" w:cs="Arial" w:eastAsia="Arial" w:hAnsi="Arial"/>
          <w:sz w:val="14"/>
          <w:szCs w:val="14"/>
          <w:color w:val="auto"/>
        </w:rPr>
        <w:t>Reviews the Company’s capital levels and recommends for approval by the Board changes to the Company’s 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Key Areas of Focus in 2025:</w:t>
      </w:r>
    </w:p>
    <w:p>
      <w:pPr>
        <w:spacing w:after="0" w:line="39" w:lineRule="exact"/>
        <w:rPr>
          <w:sz w:val="20"/>
          <w:szCs w:val="20"/>
          <w:color w:val="auto"/>
        </w:rPr>
      </w:pPr>
    </w:p>
    <w:p>
      <w:pPr>
        <w:ind w:left="200" w:right="160" w:hanging="194"/>
        <w:spacing w:after="0" w:line="322" w:lineRule="auto"/>
        <w:tabs>
          <w:tab w:leader="none" w:pos="164" w:val="left"/>
        </w:tabs>
        <w:numPr>
          <w:ilvl w:val="0"/>
          <w:numId w:val="41"/>
        </w:numPr>
        <w:rPr>
          <w:rFonts w:ascii="Arial" w:cs="Arial" w:eastAsia="Arial" w:hAnsi="Arial"/>
          <w:sz w:val="14"/>
          <w:szCs w:val="14"/>
          <w:color w:val="00A798"/>
        </w:rPr>
      </w:pPr>
      <w:r>
        <w:rPr>
          <w:rFonts w:ascii="Arial" w:cs="Arial" w:eastAsia="Arial" w:hAnsi="Arial"/>
          <w:sz w:val="14"/>
          <w:szCs w:val="14"/>
          <w:color w:val="auto"/>
        </w:rPr>
        <w:t>Provided oversight of the Company’s capital allocation program, including with respect to its approach to share repurchases, financing considerations and increasing the Company’s quarterly dividend.</w:t>
      </w:r>
    </w:p>
    <w:p>
      <w:pPr>
        <w:spacing w:after="0" w:line="11" w:lineRule="exact"/>
        <w:rPr>
          <w:rFonts w:ascii="Arial" w:cs="Arial" w:eastAsia="Arial" w:hAnsi="Arial"/>
          <w:sz w:val="14"/>
          <w:szCs w:val="14"/>
          <w:color w:val="00A798"/>
        </w:rPr>
      </w:pPr>
    </w:p>
    <w:p>
      <w:pPr>
        <w:ind w:left="200" w:right="120" w:hanging="194"/>
        <w:spacing w:after="0" w:line="325" w:lineRule="auto"/>
        <w:tabs>
          <w:tab w:leader="none" w:pos="164" w:val="left"/>
        </w:tabs>
        <w:numPr>
          <w:ilvl w:val="0"/>
          <w:numId w:val="41"/>
        </w:numPr>
        <w:rPr>
          <w:rFonts w:ascii="Arial" w:cs="Arial" w:eastAsia="Arial" w:hAnsi="Arial"/>
          <w:sz w:val="14"/>
          <w:szCs w:val="14"/>
          <w:color w:val="00A798"/>
        </w:rPr>
      </w:pPr>
      <w:r>
        <w:rPr>
          <w:rFonts w:ascii="Arial" w:cs="Arial" w:eastAsia="Arial" w:hAnsi="Arial"/>
          <w:sz w:val="14"/>
          <w:szCs w:val="14"/>
          <w:color w:val="auto"/>
        </w:rPr>
        <w:t>Focused on the competitive landscape, including opportunities and competitor positioning related to artificial intelligence, and reviewed merger, partnership and acquisition opportunities.</w:t>
      </w:r>
    </w:p>
    <w:p>
      <w:pPr>
        <w:spacing w:after="0" w:line="9" w:lineRule="exact"/>
        <w:rPr>
          <w:rFonts w:ascii="Arial" w:cs="Arial" w:eastAsia="Arial" w:hAnsi="Arial"/>
          <w:sz w:val="14"/>
          <w:szCs w:val="14"/>
          <w:color w:val="00A798"/>
        </w:rPr>
      </w:pPr>
    </w:p>
    <w:p>
      <w:pPr>
        <w:ind w:left="200" w:right="60" w:hanging="194"/>
        <w:spacing w:after="0" w:line="325" w:lineRule="auto"/>
        <w:tabs>
          <w:tab w:leader="none" w:pos="164" w:val="left"/>
        </w:tabs>
        <w:numPr>
          <w:ilvl w:val="0"/>
          <w:numId w:val="41"/>
        </w:numPr>
        <w:rPr>
          <w:rFonts w:ascii="Arial" w:cs="Arial" w:eastAsia="Arial" w:hAnsi="Arial"/>
          <w:sz w:val="14"/>
          <w:szCs w:val="14"/>
          <w:color w:val="00A798"/>
        </w:rPr>
      </w:pPr>
      <w:r>
        <w:rPr>
          <w:rFonts w:ascii="Arial" w:cs="Arial" w:eastAsia="Arial" w:hAnsi="Arial"/>
          <w:sz w:val="14"/>
          <w:szCs w:val="14"/>
          <w:color w:val="auto"/>
        </w:rPr>
        <w:t>Collaborated closely with management to design and structure the Board’s two-day strategy session, to ensure alignment with internal investments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852170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720"/>
            <w:col w:w="8220"/>
          </w:cols>
          <w:pgMar w:left="320" w:top="13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Engagement and Evaluation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Attendance at Board Meetings and Annual Meeting of Shareholders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100" w:type="dxa"/>
            <w:vAlign w:val="bottom"/>
            <w:tcBorders>
              <w:right w:val="single" w:sz="8" w:color="00C4B3"/>
            </w:tcBorders>
          </w:tcPr>
          <w:p>
            <w:pPr>
              <w:spacing w:after="0"/>
              <w:rPr>
                <w:sz w:val="20"/>
                <w:szCs w:val="20"/>
                <w:color w:val="auto"/>
              </w:rPr>
            </w:pPr>
          </w:p>
        </w:tc>
        <w:tc>
          <w:tcPr>
            <w:tcW w:w="2460" w:type="dxa"/>
            <w:vAlign w:val="bottom"/>
            <w:tcBorders>
              <w:right w:val="single" w:sz="8" w:color="00C4B3"/>
            </w:tcBorders>
          </w:tcPr>
          <w:p>
            <w:pPr>
              <w:spacing w:after="0"/>
              <w:rPr>
                <w:sz w:val="20"/>
                <w:szCs w:val="20"/>
                <w:color w:val="auto"/>
              </w:rPr>
            </w:pPr>
          </w:p>
        </w:tc>
        <w:tc>
          <w:tcPr>
            <w:tcW w:w="2460" w:type="dxa"/>
            <w:vAlign w:val="bottom"/>
            <w:tcBorders>
              <w:right w:val="single" w:sz="8" w:color="00C4B3"/>
            </w:tcBorders>
          </w:tcPr>
          <w:p>
            <w:pPr>
              <w:spacing w:after="0"/>
              <w:rPr>
                <w:sz w:val="20"/>
                <w:szCs w:val="20"/>
                <w:color w:val="auto"/>
              </w:rPr>
            </w:pPr>
          </w:p>
        </w:tc>
        <w:tc>
          <w:tcPr>
            <w:tcW w:w="4120" w:type="dxa"/>
            <w:vAlign w:val="bottom"/>
            <w:gridSpan w:val="2"/>
          </w:tcPr>
          <w:p>
            <w:pPr>
              <w:ind w:left="360"/>
              <w:spacing w:after="0"/>
              <w:rPr>
                <w:sz w:val="20"/>
                <w:szCs w:val="20"/>
                <w:color w:val="auto"/>
              </w:rPr>
            </w:pPr>
            <w:r>
              <w:rPr>
                <w:rFonts w:ascii="Arial" w:cs="Arial" w:eastAsia="Arial" w:hAnsi="Arial"/>
                <w:sz w:val="16"/>
                <w:szCs w:val="16"/>
                <w:color w:val="auto"/>
              </w:rPr>
              <w:t>Each director attended at least</w:t>
            </w:r>
          </w:p>
        </w:tc>
      </w:tr>
      <w:tr>
        <w:trPr>
          <w:trHeight w:val="710"/>
        </w:trPr>
        <w:tc>
          <w:tcPr>
            <w:tcW w:w="2100" w:type="dxa"/>
            <w:vAlign w:val="bottom"/>
            <w:tcBorders>
              <w:right w:val="single" w:sz="8" w:color="00C4B3"/>
            </w:tcBorders>
          </w:tcPr>
          <w:p>
            <w:pPr>
              <w:spacing w:after="0"/>
              <w:rPr>
                <w:sz w:val="20"/>
                <w:szCs w:val="20"/>
                <w:color w:val="auto"/>
              </w:rPr>
            </w:pPr>
            <w:r>
              <w:rPr>
                <w:rFonts w:ascii="Arial" w:cs="Arial" w:eastAsia="Arial" w:hAnsi="Arial"/>
                <w:sz w:val="50"/>
                <w:szCs w:val="50"/>
                <w:b w:val="1"/>
                <w:bCs w:val="1"/>
                <w:color w:val="3051F2"/>
              </w:rPr>
              <w:t>8</w:t>
            </w: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50"/>
                <w:szCs w:val="50"/>
                <w:b w:val="1"/>
                <w:bCs w:val="1"/>
                <w:color w:val="3051F2"/>
              </w:rPr>
              <w:t>8</w:t>
            </w: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50"/>
                <w:szCs w:val="50"/>
                <w:b w:val="1"/>
                <w:bCs w:val="1"/>
                <w:color w:val="3051F2"/>
              </w:rPr>
              <w:t>4</w:t>
            </w:r>
          </w:p>
        </w:tc>
        <w:tc>
          <w:tcPr>
            <w:tcW w:w="1140" w:type="dxa"/>
            <w:vAlign w:val="bottom"/>
          </w:tcPr>
          <w:p>
            <w:pPr>
              <w:ind w:left="360"/>
              <w:spacing w:after="0"/>
              <w:rPr>
                <w:sz w:val="20"/>
                <w:szCs w:val="20"/>
                <w:color w:val="auto"/>
              </w:rPr>
            </w:pPr>
            <w:r>
              <w:rPr>
                <w:rFonts w:ascii="Arial" w:cs="Arial" w:eastAsia="Arial" w:hAnsi="Arial"/>
                <w:sz w:val="50"/>
                <w:szCs w:val="50"/>
                <w:b w:val="1"/>
                <w:bCs w:val="1"/>
                <w:color w:val="1A3FD6"/>
              </w:rPr>
              <w:t>75</w:t>
            </w:r>
          </w:p>
        </w:tc>
        <w:tc>
          <w:tcPr>
            <w:tcW w:w="2980" w:type="dxa"/>
            <w:vAlign w:val="bottom"/>
          </w:tcPr>
          <w:p>
            <w:pPr>
              <w:ind w:left="220"/>
              <w:spacing w:after="0"/>
              <w:rPr>
                <w:sz w:val="20"/>
                <w:szCs w:val="20"/>
                <w:color w:val="auto"/>
              </w:rPr>
            </w:pPr>
            <w:r>
              <w:rPr>
                <w:rFonts w:ascii="Arial" w:cs="Arial" w:eastAsia="Arial" w:hAnsi="Arial"/>
                <w:sz w:val="18"/>
                <w:szCs w:val="18"/>
                <w:b w:val="1"/>
                <w:bCs w:val="1"/>
                <w:color w:val="7188EF"/>
              </w:rPr>
              <w:t>percent</w:t>
            </w:r>
          </w:p>
        </w:tc>
      </w:tr>
      <w:tr>
        <w:trPr>
          <w:trHeight w:val="215"/>
        </w:trPr>
        <w:tc>
          <w:tcPr>
            <w:tcW w:w="2100" w:type="dxa"/>
            <w:vAlign w:val="bottom"/>
            <w:tcBorders>
              <w:right w:val="single" w:sz="8" w:color="00C4B3"/>
            </w:tcBorders>
          </w:tcPr>
          <w:p>
            <w:pPr>
              <w:spacing w:after="0"/>
              <w:rPr>
                <w:sz w:val="20"/>
                <w:szCs w:val="20"/>
                <w:color w:val="auto"/>
              </w:rPr>
            </w:pPr>
            <w:r>
              <w:rPr>
                <w:rFonts w:ascii="Arial" w:cs="Arial" w:eastAsia="Arial" w:hAnsi="Arial"/>
                <w:sz w:val="16"/>
                <w:szCs w:val="16"/>
                <w:color w:val="auto"/>
              </w:rPr>
              <w:t>Board meetings</w:t>
            </w: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Executive Sessions,</w:t>
            </w: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occasions where the</w:t>
            </w:r>
          </w:p>
        </w:tc>
        <w:tc>
          <w:tcPr>
            <w:tcW w:w="4120" w:type="dxa"/>
            <w:vAlign w:val="bottom"/>
            <w:gridSpan w:val="2"/>
          </w:tcPr>
          <w:p>
            <w:pPr>
              <w:ind w:left="360"/>
              <w:spacing w:after="0"/>
              <w:rPr>
                <w:sz w:val="20"/>
                <w:szCs w:val="20"/>
                <w:color w:val="auto"/>
              </w:rPr>
            </w:pPr>
            <w:r>
              <w:rPr>
                <w:rFonts w:ascii="Arial" w:cs="Arial" w:eastAsia="Arial" w:hAnsi="Arial"/>
                <w:sz w:val="16"/>
                <w:szCs w:val="16"/>
                <w:color w:val="auto"/>
              </w:rPr>
              <w:t>of the total Board meetings and committee meetings</w:t>
            </w:r>
          </w:p>
        </w:tc>
      </w:tr>
      <w:tr>
        <w:trPr>
          <w:trHeight w:val="216"/>
        </w:trPr>
        <w:tc>
          <w:tcPr>
            <w:tcW w:w="2100" w:type="dxa"/>
            <w:vAlign w:val="bottom"/>
            <w:tcBorders>
              <w:right w:val="single" w:sz="8" w:color="00C4B3"/>
            </w:tcBorders>
          </w:tcPr>
          <w:p>
            <w:pPr>
              <w:spacing w:after="0"/>
              <w:rPr>
                <w:sz w:val="18"/>
                <w:szCs w:val="18"/>
                <w:color w:val="auto"/>
              </w:rPr>
            </w:pP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which followed the</w:t>
            </w: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Board took action by</w:t>
            </w:r>
          </w:p>
        </w:tc>
        <w:tc>
          <w:tcPr>
            <w:tcW w:w="4120" w:type="dxa"/>
            <w:vAlign w:val="bottom"/>
            <w:gridSpan w:val="2"/>
          </w:tcPr>
          <w:p>
            <w:pPr>
              <w:ind w:left="360"/>
              <w:spacing w:after="0"/>
              <w:rPr>
                <w:sz w:val="20"/>
                <w:szCs w:val="20"/>
                <w:color w:val="auto"/>
              </w:rPr>
            </w:pPr>
            <w:r>
              <w:rPr>
                <w:rFonts w:ascii="Arial" w:cs="Arial" w:eastAsia="Arial" w:hAnsi="Arial"/>
                <w:sz w:val="16"/>
                <w:szCs w:val="16"/>
                <w:color w:val="auto"/>
              </w:rPr>
              <w:t>on which the director served that were held while the</w:t>
            </w:r>
          </w:p>
        </w:tc>
      </w:tr>
      <w:tr>
        <w:trPr>
          <w:trHeight w:val="204"/>
        </w:trPr>
        <w:tc>
          <w:tcPr>
            <w:tcW w:w="2100" w:type="dxa"/>
            <w:vAlign w:val="bottom"/>
            <w:tcBorders>
              <w:right w:val="single" w:sz="8" w:color="00C4B3"/>
            </w:tcBorders>
          </w:tcPr>
          <w:p>
            <w:pPr>
              <w:spacing w:after="0"/>
              <w:rPr>
                <w:sz w:val="17"/>
                <w:szCs w:val="17"/>
                <w:color w:val="auto"/>
              </w:rPr>
            </w:pP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Board meetings</w:t>
            </w: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unanimous written</w:t>
            </w:r>
          </w:p>
        </w:tc>
        <w:tc>
          <w:tcPr>
            <w:tcW w:w="4120" w:type="dxa"/>
            <w:vAlign w:val="bottom"/>
            <w:gridSpan w:val="2"/>
          </w:tcPr>
          <w:p>
            <w:pPr>
              <w:ind w:left="360"/>
              <w:spacing w:after="0"/>
              <w:rPr>
                <w:sz w:val="20"/>
                <w:szCs w:val="20"/>
                <w:color w:val="auto"/>
              </w:rPr>
            </w:pPr>
            <w:r>
              <w:rPr>
                <w:rFonts w:ascii="Arial" w:cs="Arial" w:eastAsia="Arial" w:hAnsi="Arial"/>
                <w:sz w:val="16"/>
                <w:szCs w:val="16"/>
                <w:color w:val="auto"/>
              </w:rPr>
              <w:t>director was a member</w:t>
            </w:r>
          </w:p>
        </w:tc>
      </w:tr>
      <w:tr>
        <w:trPr>
          <w:trHeight w:val="215"/>
        </w:trPr>
        <w:tc>
          <w:tcPr>
            <w:tcW w:w="2100" w:type="dxa"/>
            <w:vAlign w:val="bottom"/>
            <w:tcBorders>
              <w:right w:val="single" w:sz="8" w:color="00C4B3"/>
            </w:tcBorders>
          </w:tcPr>
          <w:p>
            <w:pPr>
              <w:spacing w:after="0"/>
              <w:rPr>
                <w:sz w:val="18"/>
                <w:szCs w:val="18"/>
                <w:color w:val="auto"/>
              </w:rPr>
            </w:pPr>
          </w:p>
        </w:tc>
        <w:tc>
          <w:tcPr>
            <w:tcW w:w="2460" w:type="dxa"/>
            <w:vAlign w:val="bottom"/>
            <w:tcBorders>
              <w:right w:val="single" w:sz="8" w:color="00C4B3"/>
            </w:tcBorders>
          </w:tcPr>
          <w:p>
            <w:pPr>
              <w:spacing w:after="0"/>
              <w:rPr>
                <w:sz w:val="18"/>
                <w:szCs w:val="18"/>
                <w:color w:val="auto"/>
              </w:rPr>
            </w:pPr>
          </w:p>
        </w:tc>
        <w:tc>
          <w:tcPr>
            <w:tcW w:w="2460" w:type="dxa"/>
            <w:vAlign w:val="bottom"/>
            <w:tcBorders>
              <w:right w:val="single" w:sz="8" w:color="00C4B3"/>
            </w:tcBorders>
          </w:tcPr>
          <w:p>
            <w:pPr>
              <w:ind w:left="340"/>
              <w:spacing w:after="0"/>
              <w:rPr>
                <w:sz w:val="20"/>
                <w:szCs w:val="20"/>
                <w:color w:val="auto"/>
              </w:rPr>
            </w:pPr>
            <w:r>
              <w:rPr>
                <w:rFonts w:ascii="Arial" w:cs="Arial" w:eastAsia="Arial" w:hAnsi="Arial"/>
                <w:sz w:val="16"/>
                <w:szCs w:val="16"/>
                <w:color w:val="auto"/>
              </w:rPr>
              <w:t>consent</w:t>
            </w:r>
          </w:p>
        </w:tc>
        <w:tc>
          <w:tcPr>
            <w:tcW w:w="114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9"/>
        </w:trPr>
        <w:tc>
          <w:tcPr>
            <w:tcW w:w="2100" w:type="dxa"/>
            <w:vAlign w:val="bottom"/>
            <w:tcBorders>
              <w:right w:val="single" w:sz="8" w:color="00C4B3"/>
            </w:tcBorders>
          </w:tcPr>
          <w:p>
            <w:pPr>
              <w:spacing w:after="0"/>
              <w:rPr>
                <w:sz w:val="2"/>
                <w:szCs w:val="2"/>
                <w:color w:val="auto"/>
              </w:rPr>
            </w:pPr>
          </w:p>
        </w:tc>
        <w:tc>
          <w:tcPr>
            <w:tcW w:w="2460" w:type="dxa"/>
            <w:vAlign w:val="bottom"/>
            <w:tcBorders>
              <w:right w:val="single" w:sz="8" w:color="00C4B3"/>
            </w:tcBorders>
          </w:tcPr>
          <w:p>
            <w:pPr>
              <w:spacing w:after="0"/>
              <w:rPr>
                <w:sz w:val="2"/>
                <w:szCs w:val="2"/>
                <w:color w:val="auto"/>
              </w:rPr>
            </w:pPr>
          </w:p>
        </w:tc>
        <w:tc>
          <w:tcPr>
            <w:tcW w:w="2460" w:type="dxa"/>
            <w:vAlign w:val="bottom"/>
            <w:tcBorders>
              <w:right w:val="single" w:sz="8" w:color="00C4B3"/>
            </w:tcBorders>
          </w:tcPr>
          <w:p>
            <w:pPr>
              <w:spacing w:after="0"/>
              <w:rPr>
                <w:sz w:val="2"/>
                <w:szCs w:val="2"/>
                <w:color w:val="auto"/>
              </w:rPr>
            </w:pPr>
          </w:p>
        </w:tc>
        <w:tc>
          <w:tcPr>
            <w:tcW w:w="1140" w:type="dxa"/>
            <w:vAlign w:val="bottom"/>
          </w:tcPr>
          <w:p>
            <w:pPr>
              <w:spacing w:after="0"/>
              <w:rPr>
                <w:sz w:val="2"/>
                <w:szCs w:val="2"/>
                <w:color w:val="auto"/>
              </w:rPr>
            </w:pPr>
          </w:p>
        </w:tc>
        <w:tc>
          <w:tcPr>
            <w:tcW w:w="2980" w:type="dxa"/>
            <w:vAlign w:val="bottom"/>
          </w:tcPr>
          <w:p>
            <w:pPr>
              <w:spacing w:after="0"/>
              <w:rPr>
                <w:sz w:val="2"/>
                <w:szCs w:val="2"/>
                <w:color w:val="auto"/>
              </w:rPr>
            </w:pPr>
          </w:p>
        </w:tc>
      </w:tr>
    </w:tbl>
    <w:p>
      <w:pPr>
        <w:spacing w:after="0" w:line="229"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Our Board met eight times, held independent director executive sessions following all eight meetings and took action by written consent on four occasions during 2025. Each director attended at least 75% of the total meetings of the Board and committees on which the director served that were held while the director was a member.</w:t>
      </w:r>
    </w:p>
    <w:p>
      <w:pPr>
        <w:spacing w:after="0" w:line="9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Discussions between the Board and management on strategic direction, new business opportunities and the scope and mix of the Company’s products were held at each quarterly Board meeting. In addition to formal meetings, members of our Board informally interact with senior management on a periodic basis and participate in director education sessions.</w:t>
      </w:r>
    </w:p>
    <w:p>
      <w:pPr>
        <w:spacing w:after="0" w:line="104"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Our Corporate Governance Policies state that directors are expected to attend the annual meetings of shareholders. In 2025, eleven of our twelve directors who were on the Board at the time attended our annual meeting of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Independent Director Meetings</w:t>
      </w:r>
    </w:p>
    <w:p>
      <w:pPr>
        <w:spacing w:after="0" w:line="11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Corporate Governance Policies provide that our Lead Director will preside over non-employee director sessions. Mr. Ashe presided over independent director sessions following all Board meetings during 2025. The Board’s standing committees also have a practice of holding executive sessions after their quarterly meetings. Our Corporate Governance Policies further provide that if any non-employee directors are not independent, then the independent directors will meet at least once a year in an independent director session and the Lead Director will preside over each such independent director session. During 2025, all non-employee directors were independent.</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Education and Orientation Program</w:t>
      </w:r>
    </w:p>
    <w:p>
      <w:pPr>
        <w:spacing w:after="0" w:line="11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Directors are encouraged and provided with opportunities to attend educational sessions on subjects that can assist them in performing their duties. Pursuant to the Director Education Policy, the Company will reimburse directors for reasonable costs incurred from attending these sessions. Directors also participate in an annual review of leading corporate governance practices by corporate governance experts, briefing sessions on topics that present special risks and opportunities and regular updates on accounting topics.</w:t>
      </w:r>
    </w:p>
    <w:p>
      <w:pPr>
        <w:spacing w:after="0" w:line="119"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Company is also part of a peer-engaged program designed to enhance director performance, and we leverage virtual platforms to provide deep-dive sessions on certain aspects of MSCI’s business outside of quarterly meetings including on emerging and strategically important topics. In 2025, we conducted board education sessions to strengthen the Board’s expertise on cybersecurity, strategy process and client coverage. Education topics are identified based on the evolving needs of the business and the Board’s oversight responsibilities.</w:t>
      </w:r>
    </w:p>
    <w:p>
      <w:pPr>
        <w:spacing w:after="0" w:line="10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All new directors participate in a director orientation program that includes briefings by senior management representing the product lines and key functional areas on topics that include the Company’s strategic plans, capital structure, product overviews, historical financial performance and key policies and practices, including compliance and trading policies. We leverage MSCI’s hybrid work environment to hold orientation sessions virtually to provide for participation by senior management around the world. In addition, new directors are encouraged to attend all committee meetings during their first year on the Board.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Evaluations</w:t>
      </w:r>
    </w:p>
    <w:p>
      <w:pPr>
        <w:spacing w:after="0" w:line="11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Board conducts a rigorous annual evaluation to support its effectiveness. Directors assess areas such as Board culture, leadership, committee performance, skills and continuing education, either through a self-assessment or by engaging an independent third party. The feedback, along with insights from one-on-one meetings with the Lead Director, is discussed during executive sessions, with follow-up actions taken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4085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53"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FFFFFF"/>
        </w:rPr>
        <w:t>1</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FFFFFF"/>
        </w:rPr>
        <w:t>Initiation of Process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FFFFFF"/>
        </w:rPr>
        <w:t>2</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Evaluation</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FFFFFF"/>
        </w:rPr>
        <w:t>3</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Discussion</w:t>
      </w:r>
    </w:p>
    <w:p>
      <w:pPr>
        <w:spacing w:after="0" w:line="382"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FFFFFF"/>
        </w:rPr>
        <w:t>4</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1448435" cy="18516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48435" cy="1851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both"/>
        <w:ind w:right="740"/>
        <w:spacing w:after="0" w:line="292" w:lineRule="auto"/>
        <w:rPr>
          <w:sz w:val="20"/>
          <w:szCs w:val="20"/>
          <w:color w:val="auto"/>
        </w:rPr>
      </w:pPr>
      <w:r>
        <w:rPr>
          <w:rFonts w:ascii="Arial" w:cs="Arial" w:eastAsia="Arial" w:hAnsi="Arial"/>
          <w:sz w:val="16"/>
          <w:szCs w:val="16"/>
          <w:color w:val="auto"/>
        </w:rPr>
        <w:t>Members of the Governance Committee provide thoughts on the factors to be used in evaluating the Board, its committees and individual directors. The Governance Committee also oversees and approves the process and guidelines for the annual evaluation of the performance and effectiveness of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62865</wp:posOffset>
            </wp:positionV>
            <wp:extent cx="56832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8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Each director completes an anonymous self-assessment questionnaire covering a range of topics, including Board structure, Board culture, composition, refreshment priorities, oversight of risk and the roles of the Board and its committees. On an annual basis, the Lead Director also conducts individual director evaluations through interviews with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66675</wp:posOffset>
            </wp:positionV>
            <wp:extent cx="56832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92"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Corporate Secretary compiles the quantitative and qualitative data from this evaluation and consults with the Lead Director and the Chair of the Governance Committee on the results. The Lead Director and Chair of the Governance Committee review the results with the full Board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131445</wp:posOffset>
            </wp:positionV>
            <wp:extent cx="56832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294"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auto"/>
        </w:rPr>
        <w:t>The Lead Director and Chair of the Governance Committee facilitate discussions during Governance Committee meetings on Board feedback and potential enhancements to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175895</wp:posOffset>
            </wp:positionV>
            <wp:extent cx="56832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330" w:lineRule="exact"/>
        <w:rPr>
          <w:sz w:val="20"/>
          <w:szCs w:val="20"/>
          <w:color w:val="auto"/>
        </w:rPr>
      </w:pPr>
    </w:p>
    <w:p>
      <w:pPr>
        <w:sectPr>
          <w:pgSz w:w="11900" w:h="16838" w:orient="portrait"/>
          <w:cols w:equalWidth="0" w:num="2">
            <w:col w:w="1980" w:space="580"/>
            <w:col w:w="8660"/>
          </w:cols>
          <w:pgMar w:left="320" w:top="130" w:right="359" w:bottom="1440" w:gutter="0" w:footer="0" w:header="0"/>
          <w:type w:val="continuous"/>
        </w:sectPr>
      </w:pPr>
    </w:p>
    <w:p>
      <w:pPr>
        <w:spacing w:after="0" w:line="47"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auto"/>
        </w:rPr>
        <w:t>5</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Recent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Enhancements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Strategic Goals:</w:t>
      </w:r>
    </w:p>
    <w:p>
      <w:pPr>
        <w:spacing w:after="0" w:line="100" w:lineRule="exact"/>
        <w:rPr>
          <w:sz w:val="20"/>
          <w:szCs w:val="20"/>
          <w:color w:val="auto"/>
        </w:rPr>
      </w:pPr>
    </w:p>
    <w:p>
      <w:pPr>
        <w:ind w:left="190" w:right="260" w:hanging="190"/>
        <w:spacing w:after="0" w:line="290" w:lineRule="auto"/>
        <w:tabs>
          <w:tab w:leader="none" w:pos="146" w:val="left"/>
        </w:tabs>
        <w:numPr>
          <w:ilvl w:val="0"/>
          <w:numId w:val="42"/>
        </w:numPr>
        <w:rPr>
          <w:rFonts w:ascii="Arial" w:cs="Arial" w:eastAsia="Arial" w:hAnsi="Arial"/>
          <w:sz w:val="16"/>
          <w:szCs w:val="16"/>
          <w:color w:val="00A798"/>
        </w:rPr>
      </w:pPr>
      <w:r>
        <w:rPr>
          <w:rFonts w:ascii="Arial" w:cs="Arial" w:eastAsia="Arial" w:hAnsi="Arial"/>
          <w:sz w:val="16"/>
          <w:szCs w:val="16"/>
          <w:color w:val="auto"/>
        </w:rPr>
        <w:t>Board and committee agendas increasingly focus on strategic and forward-looking topics</w:t>
      </w:r>
    </w:p>
    <w:p>
      <w:pPr>
        <w:ind w:left="190" w:right="420" w:hanging="190"/>
        <w:spacing w:after="0" w:line="321" w:lineRule="auto"/>
        <w:tabs>
          <w:tab w:leader="none" w:pos="146" w:val="left"/>
        </w:tabs>
        <w:numPr>
          <w:ilvl w:val="0"/>
          <w:numId w:val="42"/>
        </w:numPr>
        <w:rPr>
          <w:rFonts w:ascii="Arial" w:cs="Arial" w:eastAsia="Arial" w:hAnsi="Arial"/>
          <w:sz w:val="16"/>
          <w:szCs w:val="16"/>
          <w:color w:val="00A798"/>
        </w:rPr>
      </w:pPr>
      <w:r>
        <w:rPr>
          <w:rFonts w:ascii="Arial" w:cs="Arial" w:eastAsia="Arial" w:hAnsi="Arial"/>
          <w:sz w:val="16"/>
          <w:szCs w:val="16"/>
          <w:color w:val="auto"/>
        </w:rPr>
        <w:t>Increasing use of scorecards to measure progress against strategic objectives</w:t>
      </w:r>
    </w:p>
    <w:p>
      <w:pPr>
        <w:spacing w:after="0" w:line="48"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Cybersecurity and Business Resiliency:</w:t>
      </w:r>
    </w:p>
    <w:p>
      <w:pPr>
        <w:spacing w:after="0" w:line="100" w:lineRule="exact"/>
        <w:rPr>
          <w:sz w:val="20"/>
          <w:szCs w:val="20"/>
          <w:color w:val="auto"/>
        </w:rPr>
      </w:pPr>
    </w:p>
    <w:p>
      <w:pPr>
        <w:ind w:left="190" w:hanging="190"/>
        <w:spacing w:after="0" w:line="304" w:lineRule="auto"/>
        <w:tabs>
          <w:tab w:leader="none" w:pos="146" w:val="left"/>
        </w:tabs>
        <w:numPr>
          <w:ilvl w:val="0"/>
          <w:numId w:val="43"/>
        </w:numPr>
        <w:rPr>
          <w:rFonts w:ascii="Arial" w:cs="Arial" w:eastAsia="Arial" w:hAnsi="Arial"/>
          <w:sz w:val="16"/>
          <w:szCs w:val="16"/>
          <w:color w:val="00A798"/>
        </w:rPr>
      </w:pPr>
      <w:r>
        <w:rPr>
          <w:rFonts w:ascii="Arial" w:cs="Arial" w:eastAsia="Arial" w:hAnsi="Arial"/>
          <w:sz w:val="16"/>
          <w:szCs w:val="16"/>
          <w:color w:val="auto"/>
        </w:rPr>
        <w:t>Emphasis on cyber preparedness, operational resiliency and crisis management capabilities</w:t>
      </w:r>
    </w:p>
    <w:p>
      <w:pPr>
        <w:spacing w:after="0" w:line="60"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auto"/>
        </w:rPr>
        <w:t>Director Education:</w:t>
      </w:r>
    </w:p>
    <w:p>
      <w:pPr>
        <w:spacing w:after="0" w:line="100" w:lineRule="exact"/>
        <w:rPr>
          <w:sz w:val="20"/>
          <w:szCs w:val="20"/>
          <w:color w:val="auto"/>
        </w:rPr>
      </w:pPr>
    </w:p>
    <w:p>
      <w:pPr>
        <w:ind w:left="150" w:hanging="150"/>
        <w:spacing w:after="0"/>
        <w:tabs>
          <w:tab w:leader="none" w:pos="150" w:val="left"/>
        </w:tabs>
        <w:numPr>
          <w:ilvl w:val="0"/>
          <w:numId w:val="44"/>
        </w:numPr>
        <w:rPr>
          <w:rFonts w:ascii="Arial" w:cs="Arial" w:eastAsia="Arial" w:hAnsi="Arial"/>
          <w:sz w:val="16"/>
          <w:szCs w:val="16"/>
          <w:color w:val="00A798"/>
        </w:rPr>
      </w:pPr>
      <w:r>
        <w:rPr>
          <w:rFonts w:ascii="Arial" w:cs="Arial" w:eastAsia="Arial" w:hAnsi="Arial"/>
          <w:sz w:val="16"/>
          <w:szCs w:val="16"/>
          <w:color w:val="auto"/>
        </w:rPr>
        <w:t>Virtual deep-dive sessions outside of quarterly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166370</wp:posOffset>
            </wp:positionV>
            <wp:extent cx="56832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Board Refreshment:</w:t>
      </w:r>
    </w:p>
    <w:p>
      <w:pPr>
        <w:spacing w:after="0" w:line="100" w:lineRule="exact"/>
        <w:rPr>
          <w:sz w:val="20"/>
          <w:szCs w:val="20"/>
          <w:color w:val="auto"/>
        </w:rPr>
      </w:pPr>
    </w:p>
    <w:p>
      <w:pPr>
        <w:ind w:left="203" w:right="140" w:hanging="203"/>
        <w:spacing w:after="0" w:line="292" w:lineRule="auto"/>
        <w:tabs>
          <w:tab w:leader="none" w:pos="159" w:val="left"/>
        </w:tabs>
        <w:numPr>
          <w:ilvl w:val="0"/>
          <w:numId w:val="45"/>
        </w:numPr>
        <w:rPr>
          <w:rFonts w:ascii="Arial" w:cs="Arial" w:eastAsia="Arial" w:hAnsi="Arial"/>
          <w:sz w:val="16"/>
          <w:szCs w:val="16"/>
          <w:color w:val="00A798"/>
        </w:rPr>
      </w:pPr>
      <w:r>
        <w:rPr>
          <w:rFonts w:ascii="Arial" w:cs="Arial" w:eastAsia="Arial" w:hAnsi="Arial"/>
          <w:sz w:val="16"/>
          <w:szCs w:val="16"/>
          <w:color w:val="auto"/>
        </w:rPr>
        <w:t>Commitment to refreshment to ensure proper mix of skill sets for the Board and directors to align with strategic priorities</w:t>
      </w:r>
    </w:p>
    <w:p>
      <w:pPr>
        <w:spacing w:after="0" w:line="5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Succession Planning:</w:t>
      </w:r>
    </w:p>
    <w:p>
      <w:pPr>
        <w:spacing w:after="0" w:line="100" w:lineRule="exact"/>
        <w:rPr>
          <w:sz w:val="20"/>
          <w:szCs w:val="20"/>
          <w:color w:val="auto"/>
        </w:rPr>
      </w:pPr>
    </w:p>
    <w:p>
      <w:pPr>
        <w:ind w:left="203" w:right="100" w:hanging="203"/>
        <w:spacing w:after="0" w:line="299" w:lineRule="auto"/>
        <w:tabs>
          <w:tab w:leader="none" w:pos="159" w:val="left"/>
        </w:tabs>
        <w:numPr>
          <w:ilvl w:val="0"/>
          <w:numId w:val="46"/>
        </w:numPr>
        <w:rPr>
          <w:rFonts w:ascii="Arial" w:cs="Arial" w:eastAsia="Arial" w:hAnsi="Arial"/>
          <w:sz w:val="16"/>
          <w:szCs w:val="16"/>
          <w:color w:val="00A798"/>
        </w:rPr>
      </w:pPr>
      <w:r>
        <w:rPr>
          <w:rFonts w:ascii="Arial" w:cs="Arial" w:eastAsia="Arial" w:hAnsi="Arial"/>
          <w:sz w:val="16"/>
          <w:szCs w:val="16"/>
          <w:color w:val="auto"/>
        </w:rPr>
        <w:t>Increased focus on succession and progression planning for senior management</w:t>
      </w:r>
    </w:p>
    <w:p>
      <w:pPr>
        <w:ind w:left="203" w:right="340" w:hanging="203"/>
        <w:spacing w:after="0" w:line="299" w:lineRule="auto"/>
        <w:tabs>
          <w:tab w:leader="none" w:pos="159" w:val="left"/>
        </w:tabs>
        <w:numPr>
          <w:ilvl w:val="0"/>
          <w:numId w:val="46"/>
        </w:numPr>
        <w:rPr>
          <w:rFonts w:ascii="Arial" w:cs="Arial" w:eastAsia="Arial" w:hAnsi="Arial"/>
          <w:sz w:val="16"/>
          <w:szCs w:val="16"/>
          <w:color w:val="00A798"/>
        </w:rPr>
      </w:pPr>
      <w:r>
        <w:rPr>
          <w:rFonts w:ascii="Arial" w:cs="Arial" w:eastAsia="Arial" w:hAnsi="Arial"/>
          <w:sz w:val="16"/>
          <w:szCs w:val="16"/>
          <w:color w:val="auto"/>
        </w:rPr>
        <w:t>Progression candidates invited to speak at Board and Committee meetings for additional exposure</w:t>
      </w:r>
    </w:p>
    <w:p>
      <w:pPr>
        <w:ind w:left="203" w:right="260" w:hanging="203"/>
        <w:spacing w:after="0" w:line="321" w:lineRule="auto"/>
        <w:tabs>
          <w:tab w:leader="none" w:pos="159" w:val="left"/>
        </w:tabs>
        <w:numPr>
          <w:ilvl w:val="0"/>
          <w:numId w:val="46"/>
        </w:numPr>
        <w:rPr>
          <w:rFonts w:ascii="Arial" w:cs="Arial" w:eastAsia="Arial" w:hAnsi="Arial"/>
          <w:sz w:val="16"/>
          <w:szCs w:val="16"/>
          <w:color w:val="00A798"/>
        </w:rPr>
      </w:pPr>
      <w:r>
        <w:rPr>
          <w:rFonts w:ascii="Arial" w:cs="Arial" w:eastAsia="Arial" w:hAnsi="Arial"/>
          <w:sz w:val="16"/>
          <w:szCs w:val="16"/>
          <w:color w:val="auto"/>
        </w:rPr>
        <w:t>Succession and progression planning at levels beyond the Management Committee</w:t>
      </w:r>
    </w:p>
    <w:p>
      <w:pPr>
        <w:spacing w:after="0" w:line="200" w:lineRule="exact"/>
        <w:rPr>
          <w:sz w:val="20"/>
          <w:szCs w:val="20"/>
          <w:color w:val="auto"/>
        </w:rPr>
      </w:pPr>
    </w:p>
    <w:p>
      <w:pPr>
        <w:sectPr>
          <w:pgSz w:w="11900" w:h="16838" w:orient="portrait"/>
          <w:cols w:equalWidth="0" w:num="3">
            <w:col w:w="1830" w:space="720"/>
            <w:col w:w="4170" w:space="177"/>
            <w:col w:w="4323"/>
          </w:cols>
          <w:pgMar w:left="320" w:top="130" w:right="359" w:bottom="1440" w:gutter="0" w:footer="0" w:header="0"/>
          <w:type w:val="continuous"/>
        </w:sectPr>
      </w:pP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may periodically engage a third party to provide an external perspective as part of its evaluation process. In 2024, the Board retained a third-party firm to review its practices and effectiveness. The firm conducted interviews with the full Board and collected feedback from select members of senior management, gathering insights on areas such as skills, governance, culture and effectiveness. The feedback was discussed by the Board during executive sessions, and recommendations were identified to enhance the Board’s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320675</wp:posOffset>
            </wp:positionV>
            <wp:extent cx="556895"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Engagement</w:t>
      </w:r>
    </w:p>
    <w:p>
      <w:pPr>
        <w:spacing w:after="0" w:line="11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believe that engaging with our shareholders, prospective shareholders and sell-side analysts is the best way to address the issues that matter most to them. Dialogue with these constituencies helps us understand their perspectives on the Company, and helps us identify issues that might affect our long-term strategy, corporate governance and compensation practices. We offer several opportunities to provide feedback to our Board and senior management, including from time to time inviting certain shareholders to address the Board to present their views on the Company.</w:t>
      </w:r>
    </w:p>
    <w:p>
      <w:pPr>
        <w:spacing w:after="0" w:line="9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Investor Relations team leads year-round outreach efforts with our investors and the investment community. During these engagements, we typically discuss topics such as market trends affecting our industry, the competitive environment, our go-to-market strategy, our financial performance and our overall outlook.</w:t>
      </w:r>
    </w:p>
    <w:p>
      <w:pPr>
        <w:sectPr>
          <w:pgSz w:w="11900" w:h="16838" w:orient="portrait"/>
          <w:cols w:equalWidth="0" w:num="1">
            <w:col w:w="11240"/>
          </w:cols>
          <w:pgMar w:left="320" w:top="130" w:right="3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2025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99060</wp:posOffset>
            </wp:positionV>
            <wp:extent cx="8255" cy="9512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95123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Held over</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50"/>
          <w:szCs w:val="50"/>
          <w:b w:val="1"/>
          <w:bCs w:val="1"/>
          <w:color w:val="1A3FD6"/>
        </w:rPr>
        <w:t xml:space="preserve">270 </w:t>
      </w:r>
      <w:r>
        <w:rPr>
          <w:rFonts w:ascii="Arial" w:cs="Arial" w:eastAsia="Arial" w:hAnsi="Arial"/>
          <w:sz w:val="16"/>
          <w:szCs w:val="16"/>
          <w:color w:val="000000"/>
        </w:rPr>
        <w:t>meetings</w:t>
      </w:r>
    </w:p>
    <w:p>
      <w:pPr>
        <w:spacing w:after="0" w:line="36" w:lineRule="exact"/>
        <w:rPr>
          <w:sz w:val="20"/>
          <w:szCs w:val="20"/>
          <w:color w:val="auto"/>
        </w:rPr>
      </w:pPr>
    </w:p>
    <w:p>
      <w:pPr>
        <w:ind w:left="20" w:right="1120"/>
        <w:spacing w:after="0" w:line="300" w:lineRule="auto"/>
        <w:rPr>
          <w:sz w:val="20"/>
          <w:szCs w:val="20"/>
          <w:color w:val="auto"/>
        </w:rPr>
      </w:pPr>
      <w:r>
        <w:rPr>
          <w:rFonts w:ascii="Arial" w:cs="Arial" w:eastAsia="Arial" w:hAnsi="Arial"/>
          <w:sz w:val="16"/>
          <w:szCs w:val="16"/>
          <w:color w:val="auto"/>
        </w:rPr>
        <w:t>with our shareholders, prospective shareholders and sell-side analysts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right w:val="single" w:sz="8" w:color="00C4B3"/>
            </w:tcBorders>
          </w:tcPr>
          <w:p>
            <w:pPr>
              <w:spacing w:after="0"/>
              <w:rPr>
                <w:sz w:val="20"/>
                <w:szCs w:val="20"/>
                <w:color w:val="auto"/>
              </w:rPr>
            </w:pPr>
            <w:r>
              <w:rPr>
                <w:rFonts w:ascii="Arial" w:cs="Arial" w:eastAsia="Arial" w:hAnsi="Arial"/>
                <w:sz w:val="16"/>
                <w:szCs w:val="16"/>
                <w:color w:val="auto"/>
              </w:rPr>
              <w:t>Engaged with shareholders representing</w:t>
            </w:r>
          </w:p>
        </w:tc>
        <w:tc>
          <w:tcPr>
            <w:tcW w:w="3380" w:type="dxa"/>
            <w:vAlign w:val="bottom"/>
          </w:tcPr>
          <w:p>
            <w:pPr>
              <w:ind w:left="480"/>
              <w:spacing w:after="0"/>
              <w:rPr>
                <w:sz w:val="20"/>
                <w:szCs w:val="20"/>
                <w:color w:val="auto"/>
              </w:rPr>
            </w:pPr>
            <w:r>
              <w:rPr>
                <w:rFonts w:ascii="Arial" w:cs="Arial" w:eastAsia="Arial" w:hAnsi="Arial"/>
                <w:sz w:val="16"/>
                <w:szCs w:val="16"/>
                <w:color w:val="auto"/>
              </w:rPr>
              <w:t>Engaged with shareholders representing</w:t>
            </w:r>
          </w:p>
        </w:tc>
      </w:tr>
      <w:tr>
        <w:trPr>
          <w:trHeight w:val="195"/>
        </w:trPr>
        <w:tc>
          <w:tcPr>
            <w:tcW w:w="3480" w:type="dxa"/>
            <w:vAlign w:val="bottom"/>
            <w:tcBorders>
              <w:right w:val="single" w:sz="8" w:color="00C4B3"/>
            </w:tcBorders>
          </w:tcPr>
          <w:p>
            <w:pPr>
              <w:spacing w:after="0"/>
              <w:rPr>
                <w:sz w:val="20"/>
                <w:szCs w:val="20"/>
                <w:color w:val="auto"/>
              </w:rPr>
            </w:pPr>
            <w:r>
              <w:rPr>
                <w:rFonts w:ascii="Arial" w:cs="Arial" w:eastAsia="Arial" w:hAnsi="Arial"/>
                <w:sz w:val="16"/>
                <w:szCs w:val="16"/>
                <w:color w:val="auto"/>
              </w:rPr>
              <w:t>approximately</w:t>
            </w:r>
          </w:p>
        </w:tc>
        <w:tc>
          <w:tcPr>
            <w:tcW w:w="3380" w:type="dxa"/>
            <w:vAlign w:val="bottom"/>
          </w:tcPr>
          <w:p>
            <w:pPr>
              <w:ind w:left="480"/>
              <w:spacing w:after="0"/>
              <w:rPr>
                <w:sz w:val="20"/>
                <w:szCs w:val="20"/>
                <w:color w:val="auto"/>
              </w:rPr>
            </w:pPr>
            <w:r>
              <w:rPr>
                <w:rFonts w:ascii="Arial" w:cs="Arial" w:eastAsia="Arial" w:hAnsi="Arial"/>
                <w:sz w:val="16"/>
                <w:szCs w:val="16"/>
                <w:color w:val="auto"/>
              </w:rPr>
              <w:t>approximately</w:t>
            </w:r>
          </w:p>
        </w:tc>
      </w:tr>
      <w:tr>
        <w:trPr>
          <w:trHeight w:val="629"/>
        </w:trPr>
        <w:tc>
          <w:tcPr>
            <w:tcW w:w="3480" w:type="dxa"/>
            <w:vAlign w:val="bottom"/>
            <w:tcBorders>
              <w:right w:val="single" w:sz="8" w:color="00C4B3"/>
            </w:tcBorders>
          </w:tcPr>
          <w:p>
            <w:pPr>
              <w:spacing w:after="0"/>
              <w:rPr>
                <w:sz w:val="20"/>
                <w:szCs w:val="20"/>
                <w:color w:val="auto"/>
              </w:rPr>
            </w:pPr>
            <w:r>
              <w:rPr>
                <w:rFonts w:ascii="Arial" w:cs="Arial" w:eastAsia="Arial" w:hAnsi="Arial"/>
                <w:sz w:val="50"/>
                <w:szCs w:val="50"/>
                <w:b w:val="1"/>
                <w:bCs w:val="1"/>
                <w:color w:val="1A3FD6"/>
              </w:rPr>
              <w:t xml:space="preserve">42% </w:t>
            </w:r>
            <w:r>
              <w:rPr>
                <w:rFonts w:ascii="Arial" w:cs="Arial" w:eastAsia="Arial" w:hAnsi="Arial"/>
                <w:sz w:val="16"/>
                <w:szCs w:val="16"/>
                <w:color w:val="000000"/>
              </w:rPr>
              <w:t>of our</w:t>
            </w:r>
          </w:p>
        </w:tc>
        <w:tc>
          <w:tcPr>
            <w:tcW w:w="3380" w:type="dxa"/>
            <w:vAlign w:val="bottom"/>
          </w:tcPr>
          <w:p>
            <w:pPr>
              <w:ind w:left="480"/>
              <w:spacing w:after="0"/>
              <w:rPr>
                <w:sz w:val="20"/>
                <w:szCs w:val="20"/>
                <w:color w:val="auto"/>
              </w:rPr>
            </w:pPr>
            <w:r>
              <w:rPr>
                <w:rFonts w:ascii="Arial" w:cs="Arial" w:eastAsia="Arial" w:hAnsi="Arial"/>
                <w:sz w:val="50"/>
                <w:szCs w:val="50"/>
                <w:b w:val="1"/>
                <w:bCs w:val="1"/>
                <w:color w:val="1A3FD6"/>
              </w:rPr>
              <w:t xml:space="preserve">27% </w:t>
            </w:r>
            <w:r>
              <w:rPr>
                <w:rFonts w:ascii="Arial" w:cs="Arial" w:eastAsia="Arial" w:hAnsi="Arial"/>
                <w:sz w:val="16"/>
                <w:szCs w:val="16"/>
                <w:color w:val="000000"/>
              </w:rPr>
              <w:t>of our</w:t>
            </w:r>
          </w:p>
        </w:tc>
      </w:tr>
      <w:tr>
        <w:trPr>
          <w:trHeight w:val="203"/>
        </w:trPr>
        <w:tc>
          <w:tcPr>
            <w:tcW w:w="3480" w:type="dxa"/>
            <w:vAlign w:val="bottom"/>
            <w:tcBorders>
              <w:right w:val="single" w:sz="8" w:color="00C4B3"/>
            </w:tcBorders>
          </w:tcPr>
          <w:p>
            <w:pPr>
              <w:spacing w:after="0"/>
              <w:rPr>
                <w:sz w:val="20"/>
                <w:szCs w:val="20"/>
                <w:color w:val="auto"/>
              </w:rPr>
            </w:pPr>
            <w:r>
              <w:rPr>
                <w:rFonts w:ascii="Arial" w:cs="Arial" w:eastAsia="Arial" w:hAnsi="Arial"/>
                <w:sz w:val="16"/>
                <w:szCs w:val="16"/>
                <w:color w:val="auto"/>
              </w:rPr>
              <w:t>shares outstanding across all meetings</w:t>
            </w:r>
          </w:p>
        </w:tc>
        <w:tc>
          <w:tcPr>
            <w:tcW w:w="3380" w:type="dxa"/>
            <w:vAlign w:val="bottom"/>
          </w:tcPr>
          <w:p>
            <w:pPr>
              <w:ind w:left="480"/>
              <w:spacing w:after="0"/>
              <w:rPr>
                <w:sz w:val="20"/>
                <w:szCs w:val="20"/>
                <w:color w:val="auto"/>
              </w:rPr>
            </w:pPr>
            <w:r>
              <w:rPr>
                <w:rFonts w:ascii="Arial" w:cs="Arial" w:eastAsia="Arial" w:hAnsi="Arial"/>
                <w:sz w:val="16"/>
                <w:szCs w:val="16"/>
                <w:color w:val="auto"/>
              </w:rPr>
              <w:t>shares outstanding during Corporate</w:t>
            </w:r>
          </w:p>
        </w:tc>
      </w:tr>
      <w:tr>
        <w:trPr>
          <w:trHeight w:val="215"/>
        </w:trPr>
        <w:tc>
          <w:tcPr>
            <w:tcW w:w="3480" w:type="dxa"/>
            <w:vAlign w:val="bottom"/>
            <w:tcBorders>
              <w:right w:val="single" w:sz="8" w:color="00C4B3"/>
            </w:tcBorders>
          </w:tcPr>
          <w:p>
            <w:pPr>
              <w:spacing w:after="0"/>
              <w:rPr>
                <w:sz w:val="20"/>
                <w:szCs w:val="20"/>
                <w:color w:val="auto"/>
              </w:rPr>
            </w:pPr>
            <w:r>
              <w:rPr>
                <w:rFonts w:ascii="Arial" w:cs="Arial" w:eastAsia="Arial" w:hAnsi="Arial"/>
                <w:sz w:val="16"/>
                <w:szCs w:val="16"/>
                <w:color w:val="auto"/>
              </w:rPr>
              <w:t>throughout the year</w:t>
            </w:r>
          </w:p>
        </w:tc>
        <w:tc>
          <w:tcPr>
            <w:tcW w:w="3380" w:type="dxa"/>
            <w:vAlign w:val="bottom"/>
          </w:tcPr>
          <w:p>
            <w:pPr>
              <w:ind w:left="480"/>
              <w:spacing w:after="0"/>
              <w:rPr>
                <w:sz w:val="20"/>
                <w:szCs w:val="20"/>
                <w:color w:val="auto"/>
              </w:rPr>
            </w:pPr>
            <w:r>
              <w:rPr>
                <w:rFonts w:ascii="Arial" w:cs="Arial" w:eastAsia="Arial" w:hAnsi="Arial"/>
                <w:sz w:val="16"/>
                <w:szCs w:val="16"/>
                <w:color w:val="auto"/>
              </w:rPr>
              <w:t>Responsibility off-season engagement</w:t>
            </w:r>
          </w:p>
        </w:tc>
      </w:tr>
      <w:tr>
        <w:trPr>
          <w:trHeight w:val="43"/>
        </w:trPr>
        <w:tc>
          <w:tcPr>
            <w:tcW w:w="3480" w:type="dxa"/>
            <w:vAlign w:val="bottom"/>
            <w:tcBorders>
              <w:right w:val="single" w:sz="8" w:color="00C4B3"/>
            </w:tcBorders>
          </w:tcPr>
          <w:p>
            <w:pPr>
              <w:spacing w:after="0"/>
              <w:rPr>
                <w:sz w:val="3"/>
                <w:szCs w:val="3"/>
                <w:color w:val="auto"/>
              </w:rPr>
            </w:pPr>
          </w:p>
        </w:tc>
        <w:tc>
          <w:tcPr>
            <w:tcW w:w="3380" w:type="dxa"/>
            <w:vAlign w:val="bottom"/>
          </w:tcPr>
          <w:p>
            <w:pPr>
              <w:spacing w:after="0"/>
              <w:rPr>
                <w:sz w:val="3"/>
                <w:szCs w:val="3"/>
                <w:color w:val="auto"/>
              </w:rPr>
            </w:pPr>
          </w:p>
        </w:tc>
      </w:tr>
    </w:tbl>
    <w:p>
      <w:pPr>
        <w:spacing w:after="0" w:line="175" w:lineRule="exact"/>
        <w:rPr>
          <w:sz w:val="20"/>
          <w:szCs w:val="20"/>
          <w:color w:val="auto"/>
        </w:rPr>
      </w:pPr>
    </w:p>
    <w:p>
      <w:pPr>
        <w:sectPr>
          <w:pgSz w:w="11900" w:h="16838" w:orient="portrait"/>
          <w:cols w:equalWidth="0" w:num="2">
            <w:col w:w="3680" w:space="440"/>
            <w:col w:w="7120"/>
          </w:cols>
          <w:pgMar w:left="320" w:top="130" w:right="339" w:bottom="1440" w:gutter="0" w:footer="0" w:header="0"/>
          <w:type w:val="continuous"/>
        </w:sectPr>
      </w:pPr>
    </w:p>
    <w:p>
      <w:pPr>
        <w:ind w:right="40"/>
        <w:spacing w:after="0" w:line="282" w:lineRule="auto"/>
        <w:rPr>
          <w:sz w:val="20"/>
          <w:szCs w:val="20"/>
          <w:color w:val="auto"/>
        </w:rPr>
      </w:pPr>
      <w:r>
        <w:rPr>
          <w:rFonts w:ascii="Arial" w:cs="Arial" w:eastAsia="Arial" w:hAnsi="Arial"/>
          <w:sz w:val="16"/>
          <w:szCs w:val="16"/>
          <w:color w:val="auto"/>
        </w:rPr>
        <w:t>In 2025, we held over 270 meetings with our shareholders, prospective shareholders and analysts, during which we met with shareholders representing approximately 42% of our shares outstanding to gain valuable insights on the issues that matter most to our shareholders, with participation at certain meetings by our CEO, Former President and COO, CFO, Head of Investor Relations, Chief Responsibility Officer, Head of Compensation and Benefits and other members of senior management and the Board. In 2025, our team also attended 30 investor conferences, non-deal roadshows and analyst-sponsored events to discuss topics including long-term growth opportunities, financial performance, capital allocation, corporate responsibility and our technology and data initiatives and opportunities, including generative AI.</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Annual Corporate Responsibility Roadshow</w:t>
      </w:r>
    </w:p>
    <w:p>
      <w:pPr>
        <w:spacing w:after="0" w:line="114"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We engage with shareholders before, during and after the proxy season,</w:t>
      </w:r>
      <w:r>
        <w:rPr>
          <w:sz w:val="20"/>
          <w:szCs w:val="20"/>
          <w:color w:val="auto"/>
        </w:rPr>
        <w:tab/>
      </w:r>
      <w:r>
        <w:rPr>
          <w:rFonts w:ascii="Arial" w:cs="Arial" w:eastAsia="Arial" w:hAnsi="Arial"/>
          <w:sz w:val="16"/>
          <w:szCs w:val="16"/>
          <w:b w:val="1"/>
          <w:bCs w:val="1"/>
          <w:color w:val="1A3FD6"/>
        </w:rPr>
        <w:t>Outreach for Corporate Responsibility Roadshow</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including by hosting an annual off-season Corporate Responsibility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Roadshow each fall, to review and receive feedback on our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-115570</wp:posOffset>
            </wp:positionV>
            <wp:extent cx="2640330" cy="19627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40330" cy="19627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practices, sustainability considerations, workforce and talent strategies,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and the design of our executive compensation program. The feedback we</w:t>
      </w:r>
    </w:p>
    <w:p>
      <w:pPr>
        <w:spacing w:after="0" w:line="31" w:lineRule="exact"/>
        <w:rPr>
          <w:sz w:val="20"/>
          <w:szCs w:val="20"/>
          <w:color w:val="auto"/>
        </w:rPr>
      </w:pPr>
    </w:p>
    <w:p>
      <w:pPr>
        <w:ind w:right="6100"/>
        <w:spacing w:after="0" w:line="305" w:lineRule="auto"/>
        <w:rPr>
          <w:sz w:val="20"/>
          <w:szCs w:val="20"/>
          <w:color w:val="auto"/>
        </w:rPr>
      </w:pPr>
      <w:r>
        <w:rPr>
          <w:rFonts w:ascii="Arial" w:cs="Arial" w:eastAsia="Arial" w:hAnsi="Arial"/>
          <w:sz w:val="16"/>
          <w:szCs w:val="16"/>
          <w:color w:val="auto"/>
        </w:rPr>
        <w:t>receive from these discussions is carefully considered by the Board and relevant Board committees.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Our engagement team, which included members of our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Responsibility, Legal, Investor Relations and Executive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teams, met with shareholders representing approximately 27.1% of our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in 2025. Our Lead Director and the chairs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Governance Committees participated in the 2025</w:t>
      </w:r>
    </w:p>
    <w:p>
      <w:pPr>
        <w:spacing w:after="0" w:line="31" w:lineRule="exact"/>
        <w:rPr>
          <w:sz w:val="20"/>
          <w:szCs w:val="20"/>
          <w:color w:val="auto"/>
        </w:rPr>
      </w:pPr>
    </w:p>
    <w:p>
      <w:pPr>
        <w:ind w:right="5860"/>
        <w:spacing w:after="0" w:line="305" w:lineRule="auto"/>
        <w:rPr>
          <w:sz w:val="20"/>
          <w:szCs w:val="20"/>
          <w:color w:val="auto"/>
        </w:rPr>
      </w:pPr>
      <w:r>
        <w:rPr>
          <w:rFonts w:ascii="Arial" w:cs="Arial" w:eastAsia="Arial" w:hAnsi="Arial"/>
          <w:sz w:val="16"/>
          <w:szCs w:val="16"/>
          <w:color w:val="auto"/>
        </w:rPr>
        <w:t>Corporate Responsibility Roadshow as well, with a director present at each meeting with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74"/>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Key Corporate Responsibility Topics Discussed in 2025</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2600" w:type="dxa"/>
            <w:vAlign w:val="bottom"/>
            <w:tcBorders>
              <w:right w:val="single" w:sz="8" w:color="00C4B3"/>
            </w:tcBorders>
            <w:gridSpan w:val="2"/>
          </w:tcPr>
          <w:p>
            <w:pPr>
              <w:spacing w:after="0"/>
              <w:rPr>
                <w:sz w:val="20"/>
                <w:szCs w:val="20"/>
                <w:color w:val="auto"/>
              </w:rPr>
            </w:pPr>
            <w:r>
              <w:rPr>
                <w:rFonts w:ascii="Arial" w:cs="Arial" w:eastAsia="Arial" w:hAnsi="Arial"/>
                <w:sz w:val="18"/>
                <w:szCs w:val="18"/>
                <w:b w:val="1"/>
                <w:bCs w:val="1"/>
                <w:color w:val="auto"/>
              </w:rPr>
              <w:t>Leadership and</w:t>
            </w:r>
          </w:p>
        </w:tc>
        <w:tc>
          <w:tcPr>
            <w:tcW w:w="2980" w:type="dxa"/>
            <w:vAlign w:val="bottom"/>
            <w:tcBorders>
              <w:right w:val="single" w:sz="8" w:color="00C4B3"/>
            </w:tcBorders>
            <w:gridSpan w:val="2"/>
          </w:tcPr>
          <w:p>
            <w:pPr>
              <w:ind w:left="340"/>
              <w:spacing w:after="0"/>
              <w:rPr>
                <w:sz w:val="20"/>
                <w:szCs w:val="20"/>
                <w:color w:val="auto"/>
              </w:rPr>
            </w:pPr>
            <w:r>
              <w:rPr>
                <w:rFonts w:ascii="Arial" w:cs="Arial" w:eastAsia="Arial" w:hAnsi="Arial"/>
                <w:sz w:val="18"/>
                <w:szCs w:val="18"/>
                <w:b w:val="1"/>
                <w:bCs w:val="1"/>
                <w:color w:val="auto"/>
              </w:rPr>
              <w:t>Executive Compensation</w:t>
            </w:r>
          </w:p>
        </w:tc>
        <w:tc>
          <w:tcPr>
            <w:tcW w:w="2980" w:type="dxa"/>
            <w:vAlign w:val="bottom"/>
            <w:tcBorders>
              <w:right w:val="single" w:sz="8" w:color="00C4B3"/>
            </w:tcBorders>
            <w:gridSpan w:val="2"/>
          </w:tcPr>
          <w:p>
            <w:pPr>
              <w:ind w:left="360"/>
              <w:spacing w:after="0"/>
              <w:rPr>
                <w:sz w:val="20"/>
                <w:szCs w:val="20"/>
                <w:color w:val="auto"/>
              </w:rPr>
            </w:pPr>
            <w:r>
              <w:rPr>
                <w:rFonts w:ascii="Arial" w:cs="Arial" w:eastAsia="Arial" w:hAnsi="Arial"/>
                <w:sz w:val="18"/>
                <w:szCs w:val="18"/>
                <w:b w:val="1"/>
                <w:bCs w:val="1"/>
                <w:color w:val="auto"/>
              </w:rPr>
              <w:t>Corporate Governance</w:t>
            </w:r>
          </w:p>
        </w:tc>
        <w:tc>
          <w:tcPr>
            <w:tcW w:w="238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Strategy</w:t>
            </w:r>
          </w:p>
        </w:tc>
        <w:tc>
          <w:tcPr>
            <w:tcW w:w="0" w:type="dxa"/>
            <w:vAlign w:val="bottom"/>
          </w:tcPr>
          <w:p>
            <w:pPr>
              <w:spacing w:after="0"/>
              <w:rPr>
                <w:sz w:val="1"/>
                <w:szCs w:val="1"/>
                <w:color w:val="auto"/>
              </w:rPr>
            </w:pPr>
          </w:p>
        </w:tc>
      </w:tr>
      <w:tr>
        <w:trPr>
          <w:trHeight w:val="247"/>
        </w:trPr>
        <w:tc>
          <w:tcPr>
            <w:tcW w:w="2600" w:type="dxa"/>
            <w:vAlign w:val="bottom"/>
            <w:tcBorders>
              <w:right w:val="single" w:sz="8" w:color="00C4B3"/>
            </w:tcBorders>
            <w:gridSpan w:val="2"/>
          </w:tcPr>
          <w:p>
            <w:pPr>
              <w:spacing w:after="0"/>
              <w:rPr>
                <w:sz w:val="20"/>
                <w:szCs w:val="20"/>
                <w:color w:val="auto"/>
              </w:rPr>
            </w:pPr>
            <w:r>
              <w:rPr>
                <w:rFonts w:ascii="Arial" w:cs="Arial" w:eastAsia="Arial" w:hAnsi="Arial"/>
                <w:sz w:val="18"/>
                <w:szCs w:val="18"/>
                <w:b w:val="1"/>
                <w:bCs w:val="1"/>
                <w:color w:val="auto"/>
              </w:rPr>
              <w:t>Succession Planning</w:t>
            </w:r>
          </w:p>
        </w:tc>
        <w:tc>
          <w:tcPr>
            <w:tcW w:w="460" w:type="dxa"/>
            <w:vAlign w:val="bottom"/>
            <w:vMerge w:val="restart"/>
          </w:tcPr>
          <w:p>
            <w:pPr>
              <w:ind w:left="340"/>
              <w:spacing w:after="0"/>
              <w:rPr>
                <w:sz w:val="20"/>
                <w:szCs w:val="20"/>
                <w:color w:val="auto"/>
              </w:rPr>
            </w:pPr>
            <w:r>
              <w:rPr>
                <w:rFonts w:ascii="Arial" w:cs="Arial" w:eastAsia="Arial" w:hAnsi="Arial"/>
                <w:sz w:val="16"/>
                <w:szCs w:val="16"/>
                <w:color w:val="00A798"/>
              </w:rPr>
              <w:t>•</w:t>
            </w:r>
          </w:p>
        </w:tc>
        <w:tc>
          <w:tcPr>
            <w:tcW w:w="2520" w:type="dxa"/>
            <w:vAlign w:val="bottom"/>
            <w:tcBorders>
              <w:right w:val="single" w:sz="8" w:color="00C4B3"/>
            </w:tcBorders>
            <w:vMerge w:val="restart"/>
          </w:tcPr>
          <w:p>
            <w:pPr>
              <w:ind w:left="40"/>
              <w:spacing w:after="0"/>
              <w:rPr>
                <w:sz w:val="20"/>
                <w:szCs w:val="20"/>
                <w:color w:val="auto"/>
              </w:rPr>
            </w:pPr>
            <w:r>
              <w:rPr>
                <w:rFonts w:ascii="Arial" w:cs="Arial" w:eastAsia="Arial" w:hAnsi="Arial"/>
                <w:sz w:val="16"/>
                <w:szCs w:val="16"/>
                <w:color w:val="auto"/>
              </w:rPr>
              <w:t>Long-Term Incentive Plan</w:t>
            </w:r>
          </w:p>
        </w:tc>
        <w:tc>
          <w:tcPr>
            <w:tcW w:w="460" w:type="dxa"/>
            <w:vAlign w:val="bottom"/>
            <w:vMerge w:val="restart"/>
          </w:tcPr>
          <w:p>
            <w:pPr>
              <w:ind w:left="360"/>
              <w:spacing w:after="0"/>
              <w:rPr>
                <w:sz w:val="20"/>
                <w:szCs w:val="20"/>
                <w:color w:val="auto"/>
              </w:rPr>
            </w:pPr>
            <w:r>
              <w:rPr>
                <w:rFonts w:ascii="Arial" w:cs="Arial" w:eastAsia="Arial" w:hAnsi="Arial"/>
                <w:sz w:val="16"/>
                <w:szCs w:val="16"/>
                <w:color w:val="00A798"/>
              </w:rPr>
              <w:t>•</w:t>
            </w:r>
          </w:p>
        </w:tc>
        <w:tc>
          <w:tcPr>
            <w:tcW w:w="2520" w:type="dxa"/>
            <w:vAlign w:val="bottom"/>
            <w:tcBorders>
              <w:right w:val="single" w:sz="8" w:color="00C4B3"/>
            </w:tcBorders>
            <w:vMerge w:val="restart"/>
          </w:tcPr>
          <w:p>
            <w:pPr>
              <w:ind w:left="40"/>
              <w:spacing w:after="0"/>
              <w:rPr>
                <w:sz w:val="20"/>
                <w:szCs w:val="20"/>
                <w:color w:val="auto"/>
              </w:rPr>
            </w:pPr>
            <w:r>
              <w:rPr>
                <w:rFonts w:ascii="Arial" w:cs="Arial" w:eastAsia="Arial" w:hAnsi="Arial"/>
                <w:sz w:val="16"/>
                <w:szCs w:val="16"/>
                <w:color w:val="auto"/>
              </w:rPr>
              <w:t>Board Composition and</w:t>
            </w:r>
          </w:p>
        </w:tc>
        <w:tc>
          <w:tcPr>
            <w:tcW w:w="460" w:type="dxa"/>
            <w:vAlign w:val="bottom"/>
            <w:vMerge w:val="restart"/>
          </w:tcPr>
          <w:p>
            <w:pPr>
              <w:ind w:left="360"/>
              <w:spacing w:after="0"/>
              <w:rPr>
                <w:sz w:val="20"/>
                <w:szCs w:val="20"/>
                <w:color w:val="auto"/>
              </w:rPr>
            </w:pPr>
            <w:r>
              <w:rPr>
                <w:rFonts w:ascii="Arial" w:cs="Arial" w:eastAsia="Arial" w:hAnsi="Arial"/>
                <w:sz w:val="16"/>
                <w:szCs w:val="16"/>
                <w:color w:val="00A798"/>
              </w:rPr>
              <w:t>•</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Sustainability and Climate</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500" w:type="dxa"/>
            <w:vAlign w:val="bottom"/>
            <w:tcBorders>
              <w:right w:val="single" w:sz="8" w:color="00C4B3"/>
            </w:tcBorders>
          </w:tcPr>
          <w:p>
            <w:pPr>
              <w:spacing w:after="0"/>
              <w:rPr>
                <w:sz w:val="9"/>
                <w:szCs w:val="9"/>
                <w:color w:val="auto"/>
              </w:rPr>
            </w:pPr>
          </w:p>
        </w:tc>
        <w:tc>
          <w:tcPr>
            <w:tcW w:w="460" w:type="dxa"/>
            <w:vAlign w:val="bottom"/>
            <w:vMerge w:val="continue"/>
          </w:tcPr>
          <w:p>
            <w:pPr>
              <w:spacing w:after="0"/>
              <w:rPr>
                <w:sz w:val="9"/>
                <w:szCs w:val="9"/>
                <w:color w:val="auto"/>
              </w:rPr>
            </w:pPr>
          </w:p>
        </w:tc>
        <w:tc>
          <w:tcPr>
            <w:tcW w:w="2520" w:type="dxa"/>
            <w:vAlign w:val="bottom"/>
            <w:tcBorders>
              <w:right w:val="single" w:sz="8" w:color="00C4B3"/>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520" w:type="dxa"/>
            <w:vAlign w:val="bottom"/>
            <w:tcBorders>
              <w:right w:val="single" w:sz="8" w:color="00C4B3"/>
            </w:tcBorders>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20"/>
                <w:szCs w:val="20"/>
                <w:color w:val="auto"/>
              </w:rPr>
            </w:pPr>
            <w:r>
              <w:rPr>
                <w:rFonts w:ascii="Arial" w:cs="Arial" w:eastAsia="Arial" w:hAnsi="Arial"/>
                <w:sz w:val="16"/>
                <w:szCs w:val="16"/>
                <w:color w:val="00A798"/>
              </w:rPr>
              <w:t>•</w:t>
            </w:r>
          </w:p>
        </w:tc>
        <w:tc>
          <w:tcPr>
            <w:tcW w:w="2500" w:type="dxa"/>
            <w:vAlign w:val="bottom"/>
            <w:tcBorders>
              <w:right w:val="single" w:sz="8" w:color="00C4B3"/>
            </w:tcBorders>
          </w:tcPr>
          <w:p>
            <w:pPr>
              <w:ind w:left="60"/>
              <w:spacing w:after="0"/>
              <w:rPr>
                <w:sz w:val="20"/>
                <w:szCs w:val="20"/>
                <w:color w:val="auto"/>
              </w:rPr>
            </w:pPr>
            <w:r>
              <w:rPr>
                <w:rFonts w:ascii="Arial" w:cs="Arial" w:eastAsia="Arial" w:hAnsi="Arial"/>
                <w:sz w:val="16"/>
                <w:szCs w:val="16"/>
                <w:color w:val="auto"/>
              </w:rPr>
              <w:t>Senior Talent Succession</w:t>
            </w:r>
          </w:p>
        </w:tc>
        <w:tc>
          <w:tcPr>
            <w:tcW w:w="460" w:type="dxa"/>
            <w:vAlign w:val="bottom"/>
            <w:vMerge w:val="restart"/>
          </w:tcPr>
          <w:p>
            <w:pPr>
              <w:ind w:left="340"/>
              <w:spacing w:after="0"/>
              <w:rPr>
                <w:sz w:val="20"/>
                <w:szCs w:val="20"/>
                <w:color w:val="auto"/>
              </w:rPr>
            </w:pPr>
            <w:r>
              <w:rPr>
                <w:rFonts w:ascii="Arial" w:cs="Arial" w:eastAsia="Arial" w:hAnsi="Arial"/>
                <w:sz w:val="16"/>
                <w:szCs w:val="16"/>
                <w:color w:val="00A798"/>
              </w:rPr>
              <w:t>•</w:t>
            </w:r>
          </w:p>
        </w:tc>
        <w:tc>
          <w:tcPr>
            <w:tcW w:w="2520" w:type="dxa"/>
            <w:vAlign w:val="bottom"/>
            <w:tcBorders>
              <w:right w:val="single" w:sz="8" w:color="00C4B3"/>
            </w:tcBorders>
            <w:vMerge w:val="restart"/>
          </w:tcPr>
          <w:p>
            <w:pPr>
              <w:ind w:left="40"/>
              <w:spacing w:after="0"/>
              <w:rPr>
                <w:sz w:val="20"/>
                <w:szCs w:val="20"/>
                <w:color w:val="auto"/>
              </w:rPr>
            </w:pPr>
            <w:r>
              <w:rPr>
                <w:rFonts w:ascii="Arial" w:cs="Arial" w:eastAsia="Arial" w:hAnsi="Arial"/>
                <w:sz w:val="16"/>
                <w:szCs w:val="16"/>
                <w:color w:val="auto"/>
              </w:rPr>
              <w:t>2025 CEO Special Incentive</w:t>
            </w:r>
          </w:p>
        </w:tc>
        <w:tc>
          <w:tcPr>
            <w:tcW w:w="460" w:type="dxa"/>
            <w:vAlign w:val="bottom"/>
          </w:tcPr>
          <w:p>
            <w:pPr>
              <w:spacing w:after="0"/>
              <w:rPr>
                <w:sz w:val="19"/>
                <w:szCs w:val="19"/>
                <w:color w:val="auto"/>
              </w:rPr>
            </w:pPr>
          </w:p>
        </w:tc>
        <w:tc>
          <w:tcPr>
            <w:tcW w:w="2520" w:type="dxa"/>
            <w:vAlign w:val="bottom"/>
            <w:tcBorders>
              <w:right w:val="single" w:sz="8" w:color="00C4B3"/>
            </w:tcBorders>
          </w:tcPr>
          <w:p>
            <w:pPr>
              <w:ind w:left="80"/>
              <w:spacing w:after="0"/>
              <w:rPr>
                <w:sz w:val="20"/>
                <w:szCs w:val="20"/>
                <w:color w:val="auto"/>
              </w:rPr>
            </w:pPr>
            <w:r>
              <w:rPr>
                <w:rFonts w:ascii="Arial" w:cs="Arial" w:eastAsia="Arial" w:hAnsi="Arial"/>
                <w:sz w:val="16"/>
                <w:szCs w:val="16"/>
                <w:color w:val="auto"/>
              </w:rPr>
              <w:t>Refreshment</w:t>
            </w:r>
          </w:p>
        </w:tc>
        <w:tc>
          <w:tcPr>
            <w:tcW w:w="460" w:type="dxa"/>
            <w:vAlign w:val="bottom"/>
          </w:tcPr>
          <w:p>
            <w:pPr>
              <w:spacing w:after="0"/>
              <w:rPr>
                <w:sz w:val="19"/>
                <w:szCs w:val="19"/>
                <w:color w:val="auto"/>
              </w:rPr>
            </w:pPr>
          </w:p>
        </w:tc>
        <w:tc>
          <w:tcPr>
            <w:tcW w:w="1920" w:type="dxa"/>
            <w:vAlign w:val="bottom"/>
          </w:tcPr>
          <w:p>
            <w:pPr>
              <w:ind w:left="100"/>
              <w:spacing w:after="0"/>
              <w:rPr>
                <w:sz w:val="20"/>
                <w:szCs w:val="20"/>
                <w:color w:val="auto"/>
              </w:rPr>
            </w:pPr>
            <w:r>
              <w:rPr>
                <w:rFonts w:ascii="Arial" w:cs="Arial" w:eastAsia="Arial" w:hAnsi="Arial"/>
                <w:sz w:val="16"/>
                <w:szCs w:val="16"/>
                <w:color w:val="auto"/>
              </w:rPr>
              <w:t>Strategy</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500" w:type="dxa"/>
            <w:vAlign w:val="bottom"/>
            <w:tcBorders>
              <w:right w:val="single" w:sz="8" w:color="00C4B3"/>
            </w:tcBorders>
            <w:vMerge w:val="restart"/>
          </w:tcPr>
          <w:p>
            <w:pPr>
              <w:ind w:left="100"/>
              <w:spacing w:after="0"/>
              <w:rPr>
                <w:sz w:val="20"/>
                <w:szCs w:val="20"/>
                <w:color w:val="auto"/>
              </w:rPr>
            </w:pPr>
            <w:r>
              <w:rPr>
                <w:rFonts w:ascii="Arial" w:cs="Arial" w:eastAsia="Arial" w:hAnsi="Arial"/>
                <w:sz w:val="16"/>
                <w:szCs w:val="16"/>
                <w:color w:val="auto"/>
              </w:rPr>
              <w:t>Planning</w:t>
            </w:r>
          </w:p>
        </w:tc>
        <w:tc>
          <w:tcPr>
            <w:tcW w:w="460" w:type="dxa"/>
            <w:vAlign w:val="bottom"/>
            <w:vMerge w:val="continue"/>
          </w:tcPr>
          <w:p>
            <w:pPr>
              <w:spacing w:after="0"/>
              <w:rPr>
                <w:sz w:val="4"/>
                <w:szCs w:val="4"/>
                <w:color w:val="auto"/>
              </w:rPr>
            </w:pPr>
          </w:p>
        </w:tc>
        <w:tc>
          <w:tcPr>
            <w:tcW w:w="2520" w:type="dxa"/>
            <w:vAlign w:val="bottom"/>
            <w:tcBorders>
              <w:right w:val="single" w:sz="8" w:color="00C4B3"/>
            </w:tcBorders>
            <w:vMerge w:val="continue"/>
          </w:tcPr>
          <w:p>
            <w:pPr>
              <w:spacing w:after="0"/>
              <w:rPr>
                <w:sz w:val="4"/>
                <w:szCs w:val="4"/>
                <w:color w:val="auto"/>
              </w:rPr>
            </w:pPr>
          </w:p>
        </w:tc>
        <w:tc>
          <w:tcPr>
            <w:tcW w:w="460" w:type="dxa"/>
            <w:vAlign w:val="bottom"/>
          </w:tcPr>
          <w:p>
            <w:pPr>
              <w:spacing w:after="0"/>
              <w:rPr>
                <w:sz w:val="4"/>
                <w:szCs w:val="4"/>
                <w:color w:val="auto"/>
              </w:rPr>
            </w:pPr>
          </w:p>
        </w:tc>
        <w:tc>
          <w:tcPr>
            <w:tcW w:w="2520" w:type="dxa"/>
            <w:vAlign w:val="bottom"/>
            <w:tcBorders>
              <w:right w:val="single" w:sz="8" w:color="00C4B3"/>
            </w:tcBorders>
          </w:tcPr>
          <w:p>
            <w:pPr>
              <w:spacing w:after="0"/>
              <w:rPr>
                <w:sz w:val="4"/>
                <w:szCs w:val="4"/>
                <w:color w:val="auto"/>
              </w:rPr>
            </w:pPr>
          </w:p>
        </w:tc>
        <w:tc>
          <w:tcPr>
            <w:tcW w:w="4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500" w:type="dxa"/>
            <w:vAlign w:val="bottom"/>
            <w:tcBorders>
              <w:right w:val="single" w:sz="8" w:color="00C4B3"/>
            </w:tcBorders>
            <w:vMerge w:val="continue"/>
          </w:tcPr>
          <w:p>
            <w:pPr>
              <w:spacing w:after="0"/>
              <w:rPr>
                <w:sz w:val="17"/>
                <w:szCs w:val="17"/>
                <w:color w:val="auto"/>
              </w:rPr>
            </w:pPr>
          </w:p>
        </w:tc>
        <w:tc>
          <w:tcPr>
            <w:tcW w:w="460" w:type="dxa"/>
            <w:vAlign w:val="bottom"/>
          </w:tcPr>
          <w:p>
            <w:pPr>
              <w:spacing w:after="0"/>
              <w:rPr>
                <w:sz w:val="17"/>
                <w:szCs w:val="17"/>
                <w:color w:val="auto"/>
              </w:rPr>
            </w:pPr>
          </w:p>
        </w:tc>
        <w:tc>
          <w:tcPr>
            <w:tcW w:w="2520" w:type="dxa"/>
            <w:vAlign w:val="bottom"/>
            <w:tcBorders>
              <w:right w:val="single" w:sz="8" w:color="00C4B3"/>
            </w:tcBorders>
          </w:tcPr>
          <w:p>
            <w:pPr>
              <w:ind w:left="80"/>
              <w:spacing w:after="0"/>
              <w:rPr>
                <w:sz w:val="20"/>
                <w:szCs w:val="20"/>
                <w:color w:val="auto"/>
              </w:rPr>
            </w:pPr>
            <w:r>
              <w:rPr>
                <w:rFonts w:ascii="Arial" w:cs="Arial" w:eastAsia="Arial" w:hAnsi="Arial"/>
                <w:sz w:val="16"/>
                <w:szCs w:val="16"/>
                <w:color w:val="auto"/>
              </w:rPr>
              <w:t>Award</w:t>
            </w:r>
          </w:p>
        </w:tc>
        <w:tc>
          <w:tcPr>
            <w:tcW w:w="460" w:type="dxa"/>
            <w:vAlign w:val="bottom"/>
          </w:tcPr>
          <w:p>
            <w:pPr>
              <w:ind w:left="360"/>
              <w:spacing w:after="0"/>
              <w:rPr>
                <w:sz w:val="20"/>
                <w:szCs w:val="20"/>
                <w:color w:val="auto"/>
              </w:rPr>
            </w:pPr>
            <w:r>
              <w:rPr>
                <w:rFonts w:ascii="Arial" w:cs="Arial" w:eastAsia="Arial" w:hAnsi="Arial"/>
                <w:sz w:val="16"/>
                <w:szCs w:val="16"/>
                <w:color w:val="00A798"/>
              </w:rPr>
              <w:t>•</w:t>
            </w:r>
          </w:p>
        </w:tc>
        <w:tc>
          <w:tcPr>
            <w:tcW w:w="2520" w:type="dxa"/>
            <w:vAlign w:val="bottom"/>
            <w:tcBorders>
              <w:right w:val="single" w:sz="8" w:color="00C4B3"/>
            </w:tcBorders>
          </w:tcPr>
          <w:p>
            <w:pPr>
              <w:ind w:left="40"/>
              <w:spacing w:after="0"/>
              <w:rPr>
                <w:sz w:val="20"/>
                <w:szCs w:val="20"/>
                <w:color w:val="auto"/>
              </w:rPr>
            </w:pPr>
            <w:r>
              <w:rPr>
                <w:rFonts w:ascii="Arial" w:cs="Arial" w:eastAsia="Arial" w:hAnsi="Arial"/>
                <w:sz w:val="16"/>
                <w:szCs w:val="16"/>
                <w:color w:val="auto"/>
              </w:rPr>
              <w:t>Risk Management</w:t>
            </w:r>
          </w:p>
        </w:tc>
        <w:tc>
          <w:tcPr>
            <w:tcW w:w="460" w:type="dxa"/>
            <w:vAlign w:val="bottom"/>
          </w:tcPr>
          <w:p>
            <w:pPr>
              <w:ind w:left="360"/>
              <w:spacing w:after="0"/>
              <w:rPr>
                <w:sz w:val="20"/>
                <w:szCs w:val="20"/>
                <w:color w:val="auto"/>
              </w:rPr>
            </w:pPr>
            <w:r>
              <w:rPr>
                <w:rFonts w:ascii="Arial" w:cs="Arial" w:eastAsia="Arial" w:hAnsi="Arial"/>
                <w:sz w:val="16"/>
                <w:szCs w:val="16"/>
                <w:color w:val="00A798"/>
              </w:rPr>
              <w:t>•</w:t>
            </w:r>
          </w:p>
        </w:tc>
        <w:tc>
          <w:tcPr>
            <w:tcW w:w="1920" w:type="dxa"/>
            <w:vAlign w:val="bottom"/>
          </w:tcPr>
          <w:p>
            <w:pPr>
              <w:ind w:left="40"/>
              <w:spacing w:after="0"/>
              <w:rPr>
                <w:sz w:val="20"/>
                <w:szCs w:val="20"/>
                <w:color w:val="auto"/>
              </w:rPr>
            </w:pPr>
            <w:r>
              <w:rPr>
                <w:rFonts w:ascii="Arial" w:cs="Arial" w:eastAsia="Arial" w:hAnsi="Arial"/>
                <w:sz w:val="16"/>
                <w:szCs w:val="16"/>
                <w:color w:val="auto"/>
              </w:rPr>
              <w:t>AI Strategy and Risk</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0"/>
                <w:szCs w:val="20"/>
                <w:color w:val="auto"/>
              </w:rPr>
            </w:pPr>
            <w:r>
              <w:rPr>
                <w:rFonts w:ascii="Arial" w:cs="Arial" w:eastAsia="Arial" w:hAnsi="Arial"/>
                <w:sz w:val="16"/>
                <w:szCs w:val="16"/>
                <w:color w:val="00A798"/>
              </w:rPr>
              <w:t>•</w:t>
            </w:r>
          </w:p>
        </w:tc>
        <w:tc>
          <w:tcPr>
            <w:tcW w:w="2500" w:type="dxa"/>
            <w:vAlign w:val="bottom"/>
            <w:tcBorders>
              <w:right w:val="single" w:sz="8" w:color="00C4B3"/>
            </w:tcBorders>
          </w:tcPr>
          <w:p>
            <w:pPr>
              <w:ind w:left="60"/>
              <w:spacing w:after="0"/>
              <w:rPr>
                <w:sz w:val="20"/>
                <w:szCs w:val="20"/>
                <w:color w:val="auto"/>
              </w:rPr>
            </w:pPr>
            <w:r>
              <w:rPr>
                <w:rFonts w:ascii="Arial" w:cs="Arial" w:eastAsia="Arial" w:hAnsi="Arial"/>
                <w:sz w:val="16"/>
                <w:szCs w:val="16"/>
                <w:color w:val="auto"/>
              </w:rPr>
              <w:t>Talent Development</w:t>
            </w:r>
          </w:p>
        </w:tc>
        <w:tc>
          <w:tcPr>
            <w:tcW w:w="460" w:type="dxa"/>
            <w:vAlign w:val="bottom"/>
          </w:tcPr>
          <w:p>
            <w:pPr>
              <w:ind w:left="340"/>
              <w:spacing w:after="0"/>
              <w:rPr>
                <w:sz w:val="20"/>
                <w:szCs w:val="20"/>
                <w:color w:val="auto"/>
              </w:rPr>
            </w:pPr>
            <w:r>
              <w:rPr>
                <w:rFonts w:ascii="Arial" w:cs="Arial" w:eastAsia="Arial" w:hAnsi="Arial"/>
                <w:sz w:val="16"/>
                <w:szCs w:val="16"/>
                <w:color w:val="00A798"/>
              </w:rPr>
              <w:t>•</w:t>
            </w:r>
          </w:p>
        </w:tc>
        <w:tc>
          <w:tcPr>
            <w:tcW w:w="2520" w:type="dxa"/>
            <w:vAlign w:val="bottom"/>
            <w:tcBorders>
              <w:right w:val="single" w:sz="8" w:color="00C4B3"/>
            </w:tcBorders>
          </w:tcPr>
          <w:p>
            <w:pPr>
              <w:ind w:left="40"/>
              <w:spacing w:after="0"/>
              <w:rPr>
                <w:sz w:val="20"/>
                <w:szCs w:val="20"/>
                <w:color w:val="auto"/>
              </w:rPr>
            </w:pPr>
            <w:r>
              <w:rPr>
                <w:rFonts w:ascii="Arial" w:cs="Arial" w:eastAsia="Arial" w:hAnsi="Arial"/>
                <w:sz w:val="16"/>
                <w:szCs w:val="16"/>
                <w:color w:val="auto"/>
              </w:rPr>
              <w:t>Pay-for-Performance</w:t>
            </w:r>
          </w:p>
        </w:tc>
        <w:tc>
          <w:tcPr>
            <w:tcW w:w="460" w:type="dxa"/>
            <w:vAlign w:val="bottom"/>
          </w:tcPr>
          <w:p>
            <w:pPr>
              <w:spacing w:after="0"/>
              <w:rPr>
                <w:sz w:val="24"/>
                <w:szCs w:val="24"/>
                <w:color w:val="auto"/>
              </w:rPr>
            </w:pPr>
          </w:p>
        </w:tc>
        <w:tc>
          <w:tcPr>
            <w:tcW w:w="2520" w:type="dxa"/>
            <w:vAlign w:val="bottom"/>
            <w:tcBorders>
              <w:right w:val="single" w:sz="8" w:color="00C4B3"/>
            </w:tcBorders>
          </w:tcPr>
          <w:p>
            <w:pPr>
              <w:ind w:left="80"/>
              <w:spacing w:after="0"/>
              <w:rPr>
                <w:sz w:val="20"/>
                <w:szCs w:val="20"/>
                <w:color w:val="auto"/>
              </w:rPr>
            </w:pPr>
            <w:r>
              <w:rPr>
                <w:rFonts w:ascii="Arial" w:cs="Arial" w:eastAsia="Arial" w:hAnsi="Arial"/>
                <w:sz w:val="16"/>
                <w:szCs w:val="16"/>
                <w:color w:val="auto"/>
              </w:rPr>
              <w:t>and Oversight</w:t>
            </w:r>
          </w:p>
        </w:tc>
        <w:tc>
          <w:tcPr>
            <w:tcW w:w="460" w:type="dxa"/>
            <w:vAlign w:val="bottom"/>
          </w:tcPr>
          <w:p>
            <w:pPr>
              <w:spacing w:after="0"/>
              <w:rPr>
                <w:sz w:val="24"/>
                <w:szCs w:val="24"/>
                <w:color w:val="auto"/>
              </w:rPr>
            </w:pPr>
          </w:p>
        </w:tc>
        <w:tc>
          <w:tcPr>
            <w:tcW w:w="1920" w:type="dxa"/>
            <w:vAlign w:val="bottom"/>
          </w:tcPr>
          <w:p>
            <w:pPr>
              <w:ind w:left="10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20"/>
                <w:szCs w:val="20"/>
                <w:color w:val="auto"/>
              </w:rPr>
            </w:pPr>
            <w:r>
              <w:rPr>
                <w:rFonts w:ascii="Arial" w:cs="Arial" w:eastAsia="Arial" w:hAnsi="Arial"/>
                <w:sz w:val="16"/>
                <w:szCs w:val="16"/>
                <w:color w:val="00A798"/>
              </w:rPr>
              <w:t>•</w:t>
            </w:r>
          </w:p>
        </w:tc>
        <w:tc>
          <w:tcPr>
            <w:tcW w:w="2500" w:type="dxa"/>
            <w:vAlign w:val="bottom"/>
            <w:tcBorders>
              <w:right w:val="single" w:sz="8" w:color="00C4B3"/>
            </w:tcBorders>
          </w:tcPr>
          <w:p>
            <w:pPr>
              <w:ind w:left="60"/>
              <w:spacing w:after="0"/>
              <w:rPr>
                <w:sz w:val="20"/>
                <w:szCs w:val="20"/>
                <w:color w:val="auto"/>
              </w:rPr>
            </w:pPr>
            <w:r>
              <w:rPr>
                <w:rFonts w:ascii="Arial" w:cs="Arial" w:eastAsia="Arial" w:hAnsi="Arial"/>
                <w:sz w:val="16"/>
                <w:szCs w:val="16"/>
                <w:color w:val="auto"/>
              </w:rPr>
              <w:t>Senior Leadership</w:t>
            </w:r>
          </w:p>
        </w:tc>
        <w:tc>
          <w:tcPr>
            <w:tcW w:w="460" w:type="dxa"/>
            <w:vAlign w:val="bottom"/>
          </w:tcPr>
          <w:p>
            <w:pPr>
              <w:spacing w:after="0"/>
              <w:rPr>
                <w:sz w:val="18"/>
                <w:szCs w:val="18"/>
                <w:color w:val="auto"/>
              </w:rPr>
            </w:pPr>
          </w:p>
        </w:tc>
        <w:tc>
          <w:tcPr>
            <w:tcW w:w="2520" w:type="dxa"/>
            <w:vAlign w:val="bottom"/>
            <w:tcBorders>
              <w:right w:val="single" w:sz="8" w:color="00C4B3"/>
            </w:tcBorders>
          </w:tcPr>
          <w:p>
            <w:pPr>
              <w:ind w:left="80"/>
              <w:spacing w:after="0"/>
              <w:rPr>
                <w:sz w:val="20"/>
                <w:szCs w:val="20"/>
                <w:color w:val="auto"/>
              </w:rPr>
            </w:pPr>
            <w:r>
              <w:rPr>
                <w:rFonts w:ascii="Arial" w:cs="Arial" w:eastAsia="Arial" w:hAnsi="Arial"/>
                <w:sz w:val="16"/>
                <w:szCs w:val="16"/>
                <w:color w:val="auto"/>
              </w:rPr>
              <w:t>Alignment</w:t>
            </w:r>
          </w:p>
        </w:tc>
        <w:tc>
          <w:tcPr>
            <w:tcW w:w="460" w:type="dxa"/>
            <w:vAlign w:val="bottom"/>
          </w:tcPr>
          <w:p>
            <w:pPr>
              <w:ind w:left="360"/>
              <w:spacing w:after="0"/>
              <w:rPr>
                <w:sz w:val="20"/>
                <w:szCs w:val="20"/>
                <w:color w:val="auto"/>
              </w:rPr>
            </w:pPr>
            <w:r>
              <w:rPr>
                <w:rFonts w:ascii="Arial" w:cs="Arial" w:eastAsia="Arial" w:hAnsi="Arial"/>
                <w:sz w:val="16"/>
                <w:szCs w:val="16"/>
                <w:color w:val="00A798"/>
              </w:rPr>
              <w:t>•</w:t>
            </w:r>
          </w:p>
        </w:tc>
        <w:tc>
          <w:tcPr>
            <w:tcW w:w="2520" w:type="dxa"/>
            <w:vAlign w:val="bottom"/>
            <w:tcBorders>
              <w:right w:val="single" w:sz="8" w:color="00C4B3"/>
            </w:tcBorders>
          </w:tcPr>
          <w:p>
            <w:pPr>
              <w:ind w:left="40"/>
              <w:spacing w:after="0"/>
              <w:rPr>
                <w:sz w:val="20"/>
                <w:szCs w:val="20"/>
                <w:color w:val="auto"/>
              </w:rPr>
            </w:pPr>
            <w:r>
              <w:rPr>
                <w:rFonts w:ascii="Arial" w:cs="Arial" w:eastAsia="Arial" w:hAnsi="Arial"/>
                <w:sz w:val="16"/>
                <w:szCs w:val="16"/>
                <w:color w:val="auto"/>
              </w:rPr>
              <w:t>Director Skills and</w:t>
            </w:r>
          </w:p>
        </w:tc>
        <w:tc>
          <w:tcPr>
            <w:tcW w:w="460" w:type="dxa"/>
            <w:vAlign w:val="bottom"/>
          </w:tcPr>
          <w:p>
            <w:pPr>
              <w:ind w:left="360"/>
              <w:spacing w:after="0"/>
              <w:rPr>
                <w:sz w:val="20"/>
                <w:szCs w:val="20"/>
                <w:color w:val="auto"/>
              </w:rPr>
            </w:pPr>
            <w:r>
              <w:rPr>
                <w:rFonts w:ascii="Arial" w:cs="Arial" w:eastAsia="Arial" w:hAnsi="Arial"/>
                <w:sz w:val="16"/>
                <w:szCs w:val="16"/>
                <w:color w:val="00A798"/>
              </w:rPr>
              <w:t>•</w:t>
            </w:r>
          </w:p>
        </w:tc>
        <w:tc>
          <w:tcPr>
            <w:tcW w:w="1920" w:type="dxa"/>
            <w:vAlign w:val="bottom"/>
          </w:tcPr>
          <w:p>
            <w:pPr>
              <w:ind w:left="40"/>
              <w:spacing w:after="0"/>
              <w:rPr>
                <w:sz w:val="20"/>
                <w:szCs w:val="20"/>
                <w:color w:val="auto"/>
              </w:rPr>
            </w:pPr>
            <w:r>
              <w:rPr>
                <w:rFonts w:ascii="Arial" w:cs="Arial" w:eastAsia="Arial" w:hAnsi="Arial"/>
                <w:sz w:val="16"/>
                <w:szCs w:val="16"/>
                <w:color w:val="auto"/>
              </w:rPr>
              <w:t>Market Trends and</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500" w:type="dxa"/>
            <w:vAlign w:val="bottom"/>
            <w:tcBorders>
              <w:right w:val="single" w:sz="8" w:color="00C4B3"/>
            </w:tcBorders>
          </w:tcPr>
          <w:p>
            <w:pPr>
              <w:ind w:left="100"/>
              <w:spacing w:after="0"/>
              <w:rPr>
                <w:sz w:val="20"/>
                <w:szCs w:val="20"/>
                <w:color w:val="auto"/>
              </w:rPr>
            </w:pPr>
            <w:r>
              <w:rPr>
                <w:rFonts w:ascii="Arial" w:cs="Arial" w:eastAsia="Arial" w:hAnsi="Arial"/>
                <w:sz w:val="16"/>
                <w:szCs w:val="16"/>
                <w:color w:val="auto"/>
              </w:rPr>
              <w:t>Transitions</w:t>
            </w:r>
          </w:p>
        </w:tc>
        <w:tc>
          <w:tcPr>
            <w:tcW w:w="460" w:type="dxa"/>
            <w:vAlign w:val="bottom"/>
          </w:tcPr>
          <w:p>
            <w:pPr>
              <w:spacing w:after="0"/>
              <w:rPr>
                <w:sz w:val="19"/>
                <w:szCs w:val="19"/>
                <w:color w:val="auto"/>
              </w:rPr>
            </w:pPr>
          </w:p>
        </w:tc>
        <w:tc>
          <w:tcPr>
            <w:tcW w:w="2520" w:type="dxa"/>
            <w:vAlign w:val="bottom"/>
            <w:tcBorders>
              <w:right w:val="single" w:sz="8" w:color="00C4B3"/>
            </w:tcBorders>
          </w:tcPr>
          <w:p>
            <w:pPr>
              <w:spacing w:after="0"/>
              <w:rPr>
                <w:sz w:val="19"/>
                <w:szCs w:val="19"/>
                <w:color w:val="auto"/>
              </w:rPr>
            </w:pPr>
          </w:p>
        </w:tc>
        <w:tc>
          <w:tcPr>
            <w:tcW w:w="460" w:type="dxa"/>
            <w:vAlign w:val="bottom"/>
          </w:tcPr>
          <w:p>
            <w:pPr>
              <w:spacing w:after="0"/>
              <w:rPr>
                <w:sz w:val="19"/>
                <w:szCs w:val="19"/>
                <w:color w:val="auto"/>
              </w:rPr>
            </w:pPr>
          </w:p>
        </w:tc>
        <w:tc>
          <w:tcPr>
            <w:tcW w:w="2520" w:type="dxa"/>
            <w:vAlign w:val="bottom"/>
            <w:tcBorders>
              <w:right w:val="single" w:sz="8" w:color="00C4B3"/>
            </w:tcBorders>
          </w:tcPr>
          <w:p>
            <w:pPr>
              <w:ind w:left="80"/>
              <w:spacing w:after="0"/>
              <w:rPr>
                <w:sz w:val="20"/>
                <w:szCs w:val="20"/>
                <w:color w:val="auto"/>
              </w:rPr>
            </w:pPr>
            <w:r>
              <w:rPr>
                <w:rFonts w:ascii="Arial" w:cs="Arial" w:eastAsia="Arial" w:hAnsi="Arial"/>
                <w:sz w:val="16"/>
                <w:szCs w:val="16"/>
                <w:color w:val="auto"/>
              </w:rPr>
              <w:t>Expertise</w:t>
            </w:r>
          </w:p>
        </w:tc>
        <w:tc>
          <w:tcPr>
            <w:tcW w:w="460" w:type="dxa"/>
            <w:vAlign w:val="bottom"/>
          </w:tcPr>
          <w:p>
            <w:pPr>
              <w:spacing w:after="0"/>
              <w:rPr>
                <w:sz w:val="19"/>
                <w:szCs w:val="19"/>
                <w:color w:val="auto"/>
              </w:rPr>
            </w:pPr>
          </w:p>
        </w:tc>
        <w:tc>
          <w:tcPr>
            <w:tcW w:w="1920" w:type="dxa"/>
            <w:vAlign w:val="bottom"/>
          </w:tcPr>
          <w:p>
            <w:pPr>
              <w:ind w:left="100"/>
              <w:spacing w:after="0"/>
              <w:rPr>
                <w:sz w:val="20"/>
                <w:szCs w:val="20"/>
                <w:color w:val="auto"/>
              </w:rPr>
            </w:pPr>
            <w:r>
              <w:rPr>
                <w:rFonts w:ascii="Arial" w:cs="Arial" w:eastAsia="Arial" w:hAnsi="Arial"/>
                <w:sz w:val="16"/>
                <w:szCs w:val="16"/>
                <w:color w:val="auto"/>
              </w:rPr>
              <w:t>Competitive Positioning</w:t>
            </w: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2500" w:type="dxa"/>
            <w:vAlign w:val="bottom"/>
            <w:tcBorders>
              <w:right w:val="single" w:sz="8" w:color="00C4B3"/>
            </w:tcBorders>
          </w:tcPr>
          <w:p>
            <w:pPr>
              <w:spacing w:after="0"/>
              <w:rPr>
                <w:sz w:val="9"/>
                <w:szCs w:val="9"/>
                <w:color w:val="auto"/>
              </w:rPr>
            </w:pPr>
          </w:p>
        </w:tc>
        <w:tc>
          <w:tcPr>
            <w:tcW w:w="460" w:type="dxa"/>
            <w:vAlign w:val="bottom"/>
          </w:tcPr>
          <w:p>
            <w:pPr>
              <w:spacing w:after="0"/>
              <w:rPr>
                <w:sz w:val="9"/>
                <w:szCs w:val="9"/>
                <w:color w:val="auto"/>
              </w:rPr>
            </w:pPr>
          </w:p>
        </w:tc>
        <w:tc>
          <w:tcPr>
            <w:tcW w:w="2520" w:type="dxa"/>
            <w:vAlign w:val="bottom"/>
            <w:tcBorders>
              <w:right w:val="single" w:sz="8" w:color="00C4B3"/>
            </w:tcBorders>
          </w:tcPr>
          <w:p>
            <w:pPr>
              <w:spacing w:after="0"/>
              <w:rPr>
                <w:sz w:val="9"/>
                <w:szCs w:val="9"/>
                <w:color w:val="auto"/>
              </w:rPr>
            </w:pPr>
          </w:p>
        </w:tc>
        <w:tc>
          <w:tcPr>
            <w:tcW w:w="460" w:type="dxa"/>
            <w:vAlign w:val="bottom"/>
          </w:tcPr>
          <w:p>
            <w:pPr>
              <w:spacing w:after="0"/>
              <w:rPr>
                <w:sz w:val="9"/>
                <w:szCs w:val="9"/>
                <w:color w:val="auto"/>
              </w:rPr>
            </w:pPr>
          </w:p>
        </w:tc>
        <w:tc>
          <w:tcPr>
            <w:tcW w:w="2520" w:type="dxa"/>
            <w:vAlign w:val="bottom"/>
            <w:tcBorders>
              <w:right w:val="single" w:sz="8" w:color="00C4B3"/>
            </w:tcBorders>
          </w:tcPr>
          <w:p>
            <w:pPr>
              <w:spacing w:after="0"/>
              <w:rPr>
                <w:sz w:val="9"/>
                <w:szCs w:val="9"/>
                <w:color w:val="auto"/>
              </w:rPr>
            </w:pPr>
          </w:p>
        </w:tc>
        <w:tc>
          <w:tcPr>
            <w:tcW w:w="4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Investors provided valuable comments and perspectives during our Corporate Responsibility Roadshow. Key themes raised by shareholders included succession planning and leadership transitions, executive compensation design, including the rationale and structure of the 2025 CEO special incentive award, AI strategy and governance, Board composition and independence, and sustainability and climate strategy. Shareholders were generally supportive of the Company’s direction on compensation and governance, and sought continued clarity on leadership succession planning and the alignment of compensation decisions with long-term value creation. We gained constructive feedback during these meetings, which was shared with our Board and management to drive continuing improvement.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Please see page 68 of this Proxy Statement for additional information on our engagement efforts specific to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449580</wp:posOffset>
            </wp:positionV>
            <wp:extent cx="55689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Oversight by Our Board</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Oversight Responsibilities and Processes</w:t>
      </w:r>
    </w:p>
    <w:p>
      <w:pPr>
        <w:spacing w:after="0" w:line="11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Our Board is responsible for, and committed to, the oversight of MSCI’s long-term strategic plan and significant enterprise-wide risks. In carrying out this responsibility, the Board’s role in risk oversight is consistent with the Company’s leadership structure, with management having day-to-day responsibility for identifying, evaluating and managing the Company’s risk exposure and the Board having the ultimate responsibility for overseeing risk management governance, with a focus on the Company’s most significant risks.</w:t>
      </w:r>
    </w:p>
    <w:p>
      <w:pPr>
        <w:spacing w:after="0" w:line="9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risks include those monitored at a Board or committee level pursuant to committee charters, as well as other risks identified as part of management’s enterprise risk management (“ERM”) program. These risks do not represent a complete list of all risks that are considered and addressed from time to time by the Board, its committees or MSCI management. For more information on risks that affect our business, please see our most recent Annual Report on Form 10-K and other filings we make with the SEC.</w:t>
      </w:r>
    </w:p>
    <w:p>
      <w:pPr>
        <w:sectPr>
          <w:pgSz w:w="11900" w:h="16838" w:orient="portrait"/>
          <w:cols w:equalWidth="0" w:num="1">
            <w:col w:w="11240"/>
          </w:cols>
          <w:pgMar w:left="320" w:top="130"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Enterprise Risk Management Program</w:t>
      </w:r>
    </w:p>
    <w:p>
      <w:pPr>
        <w:spacing w:after="0" w:line="3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1A3FD6"/>
        </w:rPr>
        <w:t>ERM Program</w:t>
      </w:r>
    </w:p>
    <w:p>
      <w:pPr>
        <w:spacing w:after="0" w:line="122" w:lineRule="exact"/>
        <w:rPr>
          <w:sz w:val="20"/>
          <w:szCs w:val="20"/>
          <w:color w:val="auto"/>
        </w:rPr>
      </w:pPr>
    </w:p>
    <w:p>
      <w:pPr>
        <w:ind w:left="560" w:right="19" w:hanging="197"/>
        <w:spacing w:after="0" w:line="287" w:lineRule="auto"/>
        <w:tabs>
          <w:tab w:leader="none" w:pos="517" w:val="left"/>
        </w:tabs>
        <w:numPr>
          <w:ilvl w:val="0"/>
          <w:numId w:val="47"/>
        </w:numPr>
        <w:rPr>
          <w:rFonts w:ascii="Arial" w:cs="Arial" w:eastAsia="Arial" w:hAnsi="Arial"/>
          <w:sz w:val="16"/>
          <w:szCs w:val="16"/>
          <w:color w:val="00A798"/>
        </w:rPr>
      </w:pPr>
      <w:r>
        <w:rPr>
          <w:rFonts w:ascii="Arial" w:cs="Arial" w:eastAsia="Arial" w:hAnsi="Arial"/>
          <w:sz w:val="16"/>
          <w:szCs w:val="16"/>
          <w:color w:val="auto"/>
        </w:rPr>
        <w:t>Evaluates risk in numerous areas within MSCI, including technology (such as AI); cybersecurity, privacy and data protection; clients; people, including talent management; financial resilience; legal, regulatory and compliance; and corporate responsibility, including environmental-related risks</w:t>
      </w:r>
    </w:p>
    <w:p>
      <w:pPr>
        <w:spacing w:after="0" w:line="33" w:lineRule="exact"/>
        <w:rPr>
          <w:rFonts w:ascii="Arial" w:cs="Arial" w:eastAsia="Arial" w:hAnsi="Arial"/>
          <w:sz w:val="16"/>
          <w:szCs w:val="16"/>
          <w:color w:val="00A798"/>
        </w:rPr>
      </w:pPr>
    </w:p>
    <w:p>
      <w:pPr>
        <w:ind w:left="560" w:right="359" w:hanging="197"/>
        <w:spacing w:after="0" w:line="304" w:lineRule="auto"/>
        <w:tabs>
          <w:tab w:leader="none" w:pos="517" w:val="left"/>
        </w:tabs>
        <w:numPr>
          <w:ilvl w:val="0"/>
          <w:numId w:val="47"/>
        </w:numPr>
        <w:rPr>
          <w:rFonts w:ascii="Arial" w:cs="Arial" w:eastAsia="Arial" w:hAnsi="Arial"/>
          <w:sz w:val="16"/>
          <w:szCs w:val="16"/>
          <w:color w:val="00A798"/>
        </w:rPr>
      </w:pPr>
      <w:r>
        <w:rPr>
          <w:rFonts w:ascii="Arial" w:cs="Arial" w:eastAsia="Arial" w:hAnsi="Arial"/>
          <w:sz w:val="16"/>
          <w:szCs w:val="16"/>
          <w:color w:val="auto"/>
        </w:rPr>
        <w:t>Informed by our management-level Enterprise Risk Oversight Committee (“EROC”), chaired by our CFO</w:t>
      </w:r>
    </w:p>
    <w:p>
      <w:pPr>
        <w:spacing w:after="0" w:line="19" w:lineRule="exact"/>
        <w:rPr>
          <w:rFonts w:ascii="Arial" w:cs="Arial" w:eastAsia="Arial" w:hAnsi="Arial"/>
          <w:sz w:val="16"/>
          <w:szCs w:val="16"/>
          <w:color w:val="00A798"/>
        </w:rPr>
      </w:pPr>
    </w:p>
    <w:p>
      <w:pPr>
        <w:ind w:left="560" w:right="139" w:hanging="197"/>
        <w:spacing w:after="0" w:line="289" w:lineRule="auto"/>
        <w:tabs>
          <w:tab w:leader="none" w:pos="517" w:val="left"/>
        </w:tabs>
        <w:numPr>
          <w:ilvl w:val="0"/>
          <w:numId w:val="47"/>
        </w:numPr>
        <w:rPr>
          <w:rFonts w:ascii="Arial" w:cs="Arial" w:eastAsia="Arial" w:hAnsi="Arial"/>
          <w:sz w:val="16"/>
          <w:szCs w:val="16"/>
          <w:color w:val="00A798"/>
        </w:rPr>
      </w:pPr>
      <w:r>
        <w:rPr>
          <w:rFonts w:ascii="Arial" w:cs="Arial" w:eastAsia="Arial" w:hAnsi="Arial"/>
          <w:sz w:val="16"/>
          <w:szCs w:val="16"/>
          <w:color w:val="auto"/>
        </w:rPr>
        <w:t>Provides the flexibility to make changes and to identify new risks on an on-going basis, and senior leaders engage with the CFO and Enterprise Risk Management Officer to escalate risks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1A3FD6"/>
        </w:rPr>
        <w:t>ERM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-273050</wp:posOffset>
            </wp:positionV>
            <wp:extent cx="7132320" cy="2425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102" w:lineRule="exact"/>
        <w:rPr>
          <w:sz w:val="20"/>
          <w:szCs w:val="20"/>
          <w:color w:val="auto"/>
        </w:rPr>
      </w:pPr>
    </w:p>
    <w:p>
      <w:pPr>
        <w:ind w:left="201" w:right="440" w:hanging="201"/>
        <w:spacing w:after="0" w:line="289" w:lineRule="auto"/>
        <w:tabs>
          <w:tab w:leader="none" w:pos="157" w:val="left"/>
        </w:tabs>
        <w:numPr>
          <w:ilvl w:val="0"/>
          <w:numId w:val="48"/>
        </w:numPr>
        <w:rPr>
          <w:rFonts w:ascii="Arial" w:cs="Arial" w:eastAsia="Arial" w:hAnsi="Arial"/>
          <w:sz w:val="16"/>
          <w:szCs w:val="16"/>
          <w:color w:val="00A798"/>
        </w:rPr>
      </w:pPr>
      <w:r>
        <w:rPr>
          <w:rFonts w:ascii="Arial" w:cs="Arial" w:eastAsia="Arial" w:hAnsi="Arial"/>
          <w:sz w:val="16"/>
          <w:szCs w:val="16"/>
          <w:color w:val="auto"/>
        </w:rPr>
        <w:t>A quarterly and ongoing process designed to identify, assess and manage MSCI’s risk exposures over the short-, intermediate and long-term, including by consideration of a variety of factors as part of a single risk-assessment framework that considers:</w:t>
      </w:r>
    </w:p>
    <w:p>
      <w:pPr>
        <w:spacing w:after="0" w:line="31" w:lineRule="exact"/>
        <w:rPr>
          <w:rFonts w:ascii="Arial" w:cs="Arial" w:eastAsia="Arial" w:hAnsi="Arial"/>
          <w:sz w:val="16"/>
          <w:szCs w:val="16"/>
          <w:color w:val="00A798"/>
        </w:rPr>
      </w:pPr>
    </w:p>
    <w:p>
      <w:pPr>
        <w:ind w:left="341" w:hanging="146"/>
        <w:spacing w:after="0"/>
        <w:tabs>
          <w:tab w:leader="none" w:pos="341" w:val="left"/>
        </w:tabs>
        <w:numPr>
          <w:ilvl w:val="1"/>
          <w:numId w:val="48"/>
        </w:numPr>
        <w:rPr>
          <w:rFonts w:ascii="Arial" w:cs="Arial" w:eastAsia="Arial" w:hAnsi="Arial"/>
          <w:sz w:val="16"/>
          <w:szCs w:val="16"/>
          <w:color w:val="00A798"/>
        </w:rPr>
      </w:pPr>
      <w:r>
        <w:rPr>
          <w:rFonts w:ascii="Arial" w:cs="Arial" w:eastAsia="Arial" w:hAnsi="Arial"/>
          <w:sz w:val="16"/>
          <w:szCs w:val="16"/>
          <w:color w:val="auto"/>
        </w:rPr>
        <w:t>velocity, or potential speed of onset, of a risk,</w:t>
      </w:r>
    </w:p>
    <w:p>
      <w:pPr>
        <w:spacing w:after="0" w:line="99" w:lineRule="exact"/>
        <w:rPr>
          <w:rFonts w:ascii="Arial" w:cs="Arial" w:eastAsia="Arial" w:hAnsi="Arial"/>
          <w:sz w:val="16"/>
          <w:szCs w:val="16"/>
          <w:color w:val="00A798"/>
        </w:rPr>
      </w:pPr>
    </w:p>
    <w:p>
      <w:pPr>
        <w:ind w:left="341" w:hanging="146"/>
        <w:spacing w:after="0"/>
        <w:tabs>
          <w:tab w:leader="none" w:pos="341" w:val="left"/>
        </w:tabs>
        <w:numPr>
          <w:ilvl w:val="1"/>
          <w:numId w:val="48"/>
        </w:numPr>
        <w:rPr>
          <w:rFonts w:ascii="Arial" w:cs="Arial" w:eastAsia="Arial" w:hAnsi="Arial"/>
          <w:sz w:val="16"/>
          <w:szCs w:val="16"/>
          <w:color w:val="00A798"/>
        </w:rPr>
      </w:pPr>
      <w:r>
        <w:rPr>
          <w:rFonts w:ascii="Arial" w:cs="Arial" w:eastAsia="Arial" w:hAnsi="Arial"/>
          <w:sz w:val="16"/>
          <w:szCs w:val="16"/>
          <w:color w:val="auto"/>
        </w:rPr>
        <w:t>impact of a risk, and</w:t>
      </w:r>
    </w:p>
    <w:p>
      <w:pPr>
        <w:spacing w:after="0" w:line="99" w:lineRule="exact"/>
        <w:rPr>
          <w:rFonts w:ascii="Arial" w:cs="Arial" w:eastAsia="Arial" w:hAnsi="Arial"/>
          <w:sz w:val="16"/>
          <w:szCs w:val="16"/>
          <w:color w:val="00A798"/>
        </w:rPr>
      </w:pPr>
    </w:p>
    <w:p>
      <w:pPr>
        <w:ind w:left="341" w:hanging="146"/>
        <w:spacing w:after="0"/>
        <w:tabs>
          <w:tab w:leader="none" w:pos="341" w:val="left"/>
        </w:tabs>
        <w:numPr>
          <w:ilvl w:val="1"/>
          <w:numId w:val="48"/>
        </w:numPr>
        <w:rPr>
          <w:rFonts w:ascii="Arial" w:cs="Arial" w:eastAsia="Arial" w:hAnsi="Arial"/>
          <w:sz w:val="16"/>
          <w:szCs w:val="16"/>
          <w:color w:val="00A798"/>
        </w:rPr>
      </w:pPr>
      <w:r>
        <w:rPr>
          <w:rFonts w:ascii="Arial" w:cs="Arial" w:eastAsia="Arial" w:hAnsi="Arial"/>
          <w:sz w:val="16"/>
          <w:szCs w:val="16"/>
          <w:color w:val="auto"/>
        </w:rPr>
        <w:t>likelihood of a risk</w:t>
      </w:r>
    </w:p>
    <w:p>
      <w:pPr>
        <w:spacing w:after="0" w:line="99" w:lineRule="exact"/>
        <w:rPr>
          <w:rFonts w:ascii="Arial" w:cs="Arial" w:eastAsia="Arial" w:hAnsi="Arial"/>
          <w:sz w:val="16"/>
          <w:szCs w:val="16"/>
          <w:color w:val="00A798"/>
        </w:rPr>
      </w:pPr>
    </w:p>
    <w:p>
      <w:pPr>
        <w:ind w:left="201" w:right="520" w:hanging="201"/>
        <w:spacing w:after="0" w:line="292" w:lineRule="auto"/>
        <w:tabs>
          <w:tab w:leader="none" w:pos="157" w:val="left"/>
        </w:tabs>
        <w:numPr>
          <w:ilvl w:val="0"/>
          <w:numId w:val="48"/>
        </w:numPr>
        <w:rPr>
          <w:rFonts w:ascii="Arial" w:cs="Arial" w:eastAsia="Arial" w:hAnsi="Arial"/>
          <w:sz w:val="16"/>
          <w:szCs w:val="16"/>
          <w:color w:val="00A798"/>
        </w:rPr>
      </w:pPr>
      <w:r>
        <w:rPr>
          <w:rFonts w:ascii="Arial" w:cs="Arial" w:eastAsia="Arial" w:hAnsi="Arial"/>
          <w:sz w:val="16"/>
          <w:szCs w:val="16"/>
          <w:color w:val="auto"/>
        </w:rPr>
        <w:t>On a quarterly basis, the Audit Committee is updated on MSCI’s ERM program by our Enterprise Risk Management Officer, including an overview of risks and trends</w:t>
      </w:r>
    </w:p>
    <w:p>
      <w:pPr>
        <w:spacing w:after="0" w:line="30" w:lineRule="exact"/>
        <w:rPr>
          <w:rFonts w:ascii="Arial" w:cs="Arial" w:eastAsia="Arial" w:hAnsi="Arial"/>
          <w:sz w:val="16"/>
          <w:szCs w:val="16"/>
          <w:color w:val="00A798"/>
        </w:rPr>
      </w:pPr>
    </w:p>
    <w:p>
      <w:pPr>
        <w:ind w:left="201" w:right="600" w:hanging="201"/>
        <w:spacing w:after="0" w:line="304" w:lineRule="auto"/>
        <w:tabs>
          <w:tab w:leader="none" w:pos="157" w:val="left"/>
        </w:tabs>
        <w:numPr>
          <w:ilvl w:val="0"/>
          <w:numId w:val="48"/>
        </w:numPr>
        <w:rPr>
          <w:rFonts w:ascii="Arial" w:cs="Arial" w:eastAsia="Arial" w:hAnsi="Arial"/>
          <w:sz w:val="16"/>
          <w:szCs w:val="16"/>
          <w:color w:val="00A798"/>
        </w:rPr>
      </w:pPr>
      <w:r>
        <w:rPr>
          <w:rFonts w:ascii="Arial" w:cs="Arial" w:eastAsia="Arial" w:hAnsi="Arial"/>
          <w:sz w:val="16"/>
          <w:szCs w:val="16"/>
          <w:color w:val="auto"/>
        </w:rPr>
        <w:t>The Chair of the Audit Committee informs the Board of any key updates during reports to the Board</w:t>
      </w:r>
    </w:p>
    <w:p>
      <w:pPr>
        <w:spacing w:after="0" w:line="200" w:lineRule="exact"/>
        <w:rPr>
          <w:sz w:val="20"/>
          <w:szCs w:val="20"/>
          <w:color w:val="auto"/>
        </w:rPr>
      </w:pPr>
    </w:p>
    <w:p>
      <w:pPr>
        <w:sectPr>
          <w:pgSz w:w="11900" w:h="16838" w:orient="portrait"/>
          <w:cols w:equalWidth="0" w:num="2">
            <w:col w:w="5259" w:space="720"/>
            <w:col w:w="5261"/>
          </w:cols>
          <w:pgMar w:left="320" w:top="130" w:right="3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Role of the Board, Committees and Management</w:t>
      </w:r>
    </w:p>
    <w:p>
      <w:pPr>
        <w:spacing w:after="0" w:line="114"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In order to maintain effective Board oversight, the Board delegates to its committees certain elements of its oversight function, as described below. The Board then receives regular updates from its committees on numerous risk areas, including compensation practices, talent, governance, corporate responsibility, strategy, as well as other significant enterprise-wide risks, such as cybersecurity and technology risks, including those related to AI. Senior management regularly interact with, and report to, the Board and its committees on risk matters.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537845</wp:posOffset>
            </wp:positionV>
            <wp:extent cx="7003415"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034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sz w:val="1"/>
          <w:szCs w:val="1"/>
          <w:color w:val="auto"/>
        </w:rPr>
        <w:drawing>
          <wp:inline distT="0" distB="0" distL="0" distR="0">
            <wp:extent cx="128905" cy="30861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308610"/>
                    </a:xfrm>
                    <a:prstGeom prst="rect">
                      <a:avLst/>
                    </a:prstGeom>
                    <a:noFill/>
                    <a:ln>
                      <a:noFill/>
                    </a:ln>
                  </pic:spPr>
                </pic:pic>
              </a:graphicData>
            </a:graphic>
          </wp:inline>
        </w:drawing>
      </w:r>
      <w:r>
        <w:rPr>
          <w:rFonts w:ascii="Arial" w:cs="Arial" w:eastAsia="Arial" w:hAnsi="Arial"/>
          <w:sz w:val="25"/>
          <w:szCs w:val="25"/>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2255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pacing w:after="0" w:line="254" w:lineRule="exact"/>
        <w:rPr>
          <w:sz w:val="20"/>
          <w:szCs w:val="20"/>
          <w:color w:val="auto"/>
        </w:rPr>
      </w:pPr>
    </w:p>
    <w:p>
      <w:pPr>
        <w:ind w:left="400" w:right="20"/>
        <w:spacing w:after="0" w:line="305" w:lineRule="auto"/>
        <w:rPr>
          <w:sz w:val="20"/>
          <w:szCs w:val="20"/>
          <w:color w:val="auto"/>
        </w:rPr>
      </w:pPr>
      <w:r>
        <w:rPr>
          <w:rFonts w:ascii="Arial" w:cs="Arial" w:eastAsia="Arial" w:hAnsi="Arial"/>
          <w:sz w:val="14"/>
          <w:szCs w:val="14"/>
          <w:color w:val="auto"/>
        </w:rPr>
        <w:t>The full Board reviews the risks associated with MSCI’s strategic plan and discusses the appropriate levels of risk in light of MSCI’s business objectives. This review is done through an annual strategy review process and from time-to-time throughout the year as part of the Board’s ongoing review of corporate strategy.</w:t>
      </w:r>
    </w:p>
    <w:p>
      <w:pPr>
        <w:spacing w:after="0" w:line="63" w:lineRule="exact"/>
        <w:rPr>
          <w:sz w:val="20"/>
          <w:szCs w:val="20"/>
          <w:color w:val="auto"/>
        </w:rPr>
      </w:pPr>
    </w:p>
    <w:p>
      <w:pPr>
        <w:ind w:left="400" w:right="200"/>
        <w:spacing w:after="0" w:line="305" w:lineRule="auto"/>
        <w:rPr>
          <w:sz w:val="20"/>
          <w:szCs w:val="20"/>
          <w:color w:val="auto"/>
        </w:rPr>
      </w:pPr>
      <w:r>
        <w:rPr>
          <w:rFonts w:ascii="Arial" w:cs="Arial" w:eastAsia="Arial" w:hAnsi="Arial"/>
          <w:sz w:val="14"/>
          <w:szCs w:val="14"/>
          <w:color w:val="auto"/>
        </w:rPr>
        <w:t>On an ongoing basis, the Board receives quarterly written reports on enterprise-level risks and receives regular reports from each of its committees on their areas of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311785</wp:posOffset>
            </wp:positionV>
            <wp:extent cx="120015" cy="685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 cy="6858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474980</wp:posOffset>
            </wp:positionV>
            <wp:extent cx="7003415"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34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sz w:val="1"/>
          <w:szCs w:val="1"/>
          <w:color w:val="auto"/>
        </w:rPr>
        <w:drawing>
          <wp:inline distT="0" distB="0" distL="0" distR="0">
            <wp:extent cx="128905" cy="37719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377190"/>
                    </a:xfrm>
                    <a:prstGeom prst="rect">
                      <a:avLst/>
                    </a:prstGeom>
                    <a:noFill/>
                    <a:ln>
                      <a:noFill/>
                    </a:ln>
                  </pic:spPr>
                </pic:pic>
              </a:graphicData>
            </a:graphic>
          </wp:inline>
        </w:drawing>
      </w:r>
      <w:r>
        <w:rPr>
          <w:rFonts w:ascii="Arial" w:cs="Arial" w:eastAsia="Arial" w:hAnsi="Arial"/>
          <w:sz w:val="25"/>
          <w:szCs w:val="25"/>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4800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r>
    </w:p>
    <w:p>
      <w:pPr>
        <w:spacing w:after="0" w:line="254" w:lineRule="exact"/>
        <w:rPr>
          <w:sz w:val="20"/>
          <w:szCs w:val="20"/>
          <w:color w:val="auto"/>
        </w:rPr>
      </w:pPr>
    </w:p>
    <w:p>
      <w:pPr>
        <w:ind w:left="400"/>
        <w:spacing w:after="0" w:line="277" w:lineRule="auto"/>
        <w:rPr>
          <w:sz w:val="20"/>
          <w:szCs w:val="20"/>
          <w:color w:val="auto"/>
        </w:rPr>
      </w:pPr>
      <w:r>
        <w:rPr>
          <w:rFonts w:ascii="Arial" w:cs="Arial" w:eastAsia="Arial" w:hAnsi="Arial"/>
          <w:sz w:val="14"/>
          <w:szCs w:val="14"/>
          <w:color w:val="auto"/>
        </w:rPr>
        <w:t>Committees are responsible for monitoring and reporting to the full Board on risks associated with their respective areas of oversight. In connection with its oversight responsibilities, each Committee meets with the members of management who are primarily responsible for the management of risk in their respective areas, including, among others, MSCI’s CFO, Chief Human Resources Officer, General Counsel and Head of Corporate Affairs, Corporate Secretary, Head of Compliance, Head of Government and Regulatory Affairs, Chief Technology Officer, Chief Information Security Officer, Chief Responsibility Officer, Global Controller, Head of Tax, Head of Internal Audit and Enterprise Risk Management Officer.</w:t>
      </w:r>
    </w:p>
    <w:p>
      <w:pPr>
        <w:sectPr>
          <w:pgSz w:w="11900" w:h="16838" w:orient="portrait"/>
          <w:cols w:equalWidth="0" w:num="1">
            <w:col w:w="10840"/>
          </w:cols>
          <w:pgMar w:left="320" w:top="130" w:right="739" w:bottom="1440" w:gutter="0" w:footer="0" w:header="0"/>
        </w:sect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1A3FD6"/>
        </w:rPr>
        <w:t>Compensation Committee</w:t>
      </w:r>
    </w:p>
    <w:p>
      <w:pPr>
        <w:spacing w:after="0" w:line="104" w:lineRule="exact"/>
        <w:rPr>
          <w:sz w:val="20"/>
          <w:szCs w:val="20"/>
          <w:color w:val="auto"/>
        </w:rPr>
      </w:pPr>
    </w:p>
    <w:p>
      <w:pPr>
        <w:ind w:left="580" w:hanging="190"/>
        <w:spacing w:after="0" w:line="275" w:lineRule="auto"/>
        <w:tabs>
          <w:tab w:leader="none" w:pos="544" w:val="left"/>
        </w:tabs>
        <w:numPr>
          <w:ilvl w:val="0"/>
          <w:numId w:val="49"/>
        </w:numPr>
        <w:rPr>
          <w:rFonts w:ascii="Arial" w:cs="Arial" w:eastAsia="Arial" w:hAnsi="Arial"/>
          <w:sz w:val="14"/>
          <w:szCs w:val="14"/>
          <w:color w:val="00A798"/>
        </w:rPr>
      </w:pPr>
      <w:r>
        <w:rPr>
          <w:rFonts w:ascii="Arial" w:cs="Arial" w:eastAsia="Arial" w:hAnsi="Arial"/>
          <w:sz w:val="14"/>
          <w:szCs w:val="14"/>
          <w:color w:val="auto"/>
        </w:rPr>
        <w:t>Oversees risks associated with MSCI’s compensation practices (including reviewing whether any risks arising from MSCI’s compensation practices are reasonably likely to have a material adverse effect on MSCI) in consultation with external compensation consultant</w:t>
      </w:r>
    </w:p>
    <w:p>
      <w:pPr>
        <w:spacing w:after="0" w:line="18" w:lineRule="exact"/>
        <w:rPr>
          <w:rFonts w:ascii="Arial" w:cs="Arial" w:eastAsia="Arial" w:hAnsi="Arial"/>
          <w:sz w:val="14"/>
          <w:szCs w:val="14"/>
          <w:color w:val="00A798"/>
        </w:rPr>
      </w:pPr>
    </w:p>
    <w:p>
      <w:pPr>
        <w:ind w:left="580" w:right="120" w:hanging="190"/>
        <w:spacing w:after="0" w:line="325" w:lineRule="auto"/>
        <w:tabs>
          <w:tab w:leader="none" w:pos="544" w:val="left"/>
        </w:tabs>
        <w:numPr>
          <w:ilvl w:val="0"/>
          <w:numId w:val="49"/>
        </w:numPr>
        <w:rPr>
          <w:rFonts w:ascii="Arial" w:cs="Arial" w:eastAsia="Arial" w:hAnsi="Arial"/>
          <w:sz w:val="14"/>
          <w:szCs w:val="14"/>
          <w:color w:val="00A798"/>
        </w:rPr>
      </w:pPr>
      <w:r>
        <w:rPr>
          <w:rFonts w:ascii="Arial" w:cs="Arial" w:eastAsia="Arial" w:hAnsi="Arial"/>
          <w:sz w:val="14"/>
          <w:szCs w:val="14"/>
          <w:color w:val="auto"/>
        </w:rPr>
        <w:t>Oversees risks associated with MSCI’s workforce and talent strategies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1A3FD6"/>
        </w:rPr>
        <w:t>Governance Committee</w:t>
      </w:r>
    </w:p>
    <w:p>
      <w:pPr>
        <w:spacing w:after="0" w:line="104" w:lineRule="exact"/>
        <w:rPr>
          <w:sz w:val="20"/>
          <w:szCs w:val="20"/>
          <w:color w:val="auto"/>
        </w:rPr>
      </w:pPr>
    </w:p>
    <w:p>
      <w:pPr>
        <w:ind w:left="203" w:hanging="203"/>
        <w:spacing w:after="0" w:line="282" w:lineRule="auto"/>
        <w:tabs>
          <w:tab w:leader="none" w:pos="167" w:val="left"/>
        </w:tabs>
        <w:numPr>
          <w:ilvl w:val="0"/>
          <w:numId w:val="50"/>
        </w:numPr>
        <w:rPr>
          <w:rFonts w:ascii="Arial" w:cs="Arial" w:eastAsia="Arial" w:hAnsi="Arial"/>
          <w:sz w:val="14"/>
          <w:szCs w:val="14"/>
          <w:color w:val="00A798"/>
        </w:rPr>
      </w:pPr>
      <w:r>
        <w:rPr>
          <w:rFonts w:ascii="Arial" w:cs="Arial" w:eastAsia="Arial" w:hAnsi="Arial"/>
          <w:sz w:val="14"/>
          <w:szCs w:val="14"/>
          <w:color w:val="auto"/>
        </w:rPr>
        <w:t>Oversees risks related to our overall corporate governance (including the effectiveness, structure and succession of the Board), related person transactions and political activities practices and disclosure</w:t>
      </w:r>
    </w:p>
    <w:p>
      <w:pPr>
        <w:spacing w:after="0" w:line="39" w:lineRule="exact"/>
        <w:rPr>
          <w:rFonts w:ascii="Arial" w:cs="Arial" w:eastAsia="Arial" w:hAnsi="Arial"/>
          <w:sz w:val="14"/>
          <w:szCs w:val="14"/>
          <w:color w:val="00A798"/>
        </w:rPr>
      </w:pPr>
    </w:p>
    <w:p>
      <w:pPr>
        <w:ind w:left="203" w:right="240" w:hanging="203"/>
        <w:spacing w:after="0" w:line="305" w:lineRule="auto"/>
        <w:tabs>
          <w:tab w:leader="none" w:pos="167" w:val="left"/>
        </w:tabs>
        <w:numPr>
          <w:ilvl w:val="0"/>
          <w:numId w:val="50"/>
        </w:numPr>
        <w:rPr>
          <w:rFonts w:ascii="Arial" w:cs="Arial" w:eastAsia="Arial" w:hAnsi="Arial"/>
          <w:sz w:val="14"/>
          <w:szCs w:val="14"/>
          <w:color w:val="00A798"/>
        </w:rPr>
      </w:pPr>
      <w:r>
        <w:rPr>
          <w:rFonts w:ascii="Arial" w:cs="Arial" w:eastAsia="Arial" w:hAnsi="Arial"/>
          <w:sz w:val="14"/>
          <w:szCs w:val="14"/>
          <w:color w:val="auto"/>
        </w:rPr>
        <w:t>Monitors evolving risks related to corporate responsibility strategy</w:t>
      </w:r>
    </w:p>
    <w:p>
      <w:pPr>
        <w:spacing w:after="0" w:line="22" w:lineRule="exact"/>
        <w:rPr>
          <w:rFonts w:ascii="Arial" w:cs="Arial" w:eastAsia="Arial" w:hAnsi="Arial"/>
          <w:sz w:val="14"/>
          <w:szCs w:val="14"/>
          <w:color w:val="00A798"/>
        </w:rPr>
      </w:pPr>
    </w:p>
    <w:p>
      <w:pPr>
        <w:ind w:left="203" w:right="100" w:hanging="203"/>
        <w:spacing w:after="0" w:line="305" w:lineRule="auto"/>
        <w:tabs>
          <w:tab w:leader="none" w:pos="167" w:val="left"/>
        </w:tabs>
        <w:numPr>
          <w:ilvl w:val="0"/>
          <w:numId w:val="50"/>
        </w:numPr>
        <w:rPr>
          <w:rFonts w:ascii="Arial" w:cs="Arial" w:eastAsia="Arial" w:hAnsi="Arial"/>
          <w:sz w:val="14"/>
          <w:szCs w:val="14"/>
          <w:color w:val="00A798"/>
        </w:rPr>
      </w:pPr>
      <w:r>
        <w:rPr>
          <w:rFonts w:ascii="Arial" w:cs="Arial" w:eastAsia="Arial" w:hAnsi="Arial"/>
          <w:sz w:val="14"/>
          <w:szCs w:val="14"/>
          <w:color w:val="auto"/>
        </w:rPr>
        <w:t>Receives annual reports on our Compliance program, risks and priorities</w:t>
      </w:r>
    </w:p>
    <w:p>
      <w:pPr>
        <w:spacing w:after="0" w:line="22" w:lineRule="exact"/>
        <w:rPr>
          <w:rFonts w:ascii="Arial" w:cs="Arial" w:eastAsia="Arial" w:hAnsi="Arial"/>
          <w:sz w:val="14"/>
          <w:szCs w:val="14"/>
          <w:color w:val="00A798"/>
        </w:rPr>
      </w:pPr>
    </w:p>
    <w:p>
      <w:pPr>
        <w:ind w:left="203" w:right="520" w:hanging="203"/>
        <w:spacing w:after="0" w:line="305" w:lineRule="auto"/>
        <w:tabs>
          <w:tab w:leader="none" w:pos="167" w:val="left"/>
        </w:tabs>
        <w:numPr>
          <w:ilvl w:val="0"/>
          <w:numId w:val="50"/>
        </w:numPr>
        <w:rPr>
          <w:rFonts w:ascii="Arial" w:cs="Arial" w:eastAsia="Arial" w:hAnsi="Arial"/>
          <w:sz w:val="14"/>
          <w:szCs w:val="14"/>
          <w:color w:val="00A798"/>
        </w:rPr>
      </w:pPr>
      <w:r>
        <w:rPr>
          <w:rFonts w:ascii="Arial" w:cs="Arial" w:eastAsia="Arial" w:hAnsi="Arial"/>
          <w:sz w:val="14"/>
          <w:szCs w:val="14"/>
          <w:color w:val="auto"/>
        </w:rPr>
        <w:t>Receives annual updates on governance trends and benchmarking of peers and best practices</w:t>
      </w:r>
    </w:p>
    <w:p>
      <w:pPr>
        <w:spacing w:after="0" w:line="9" w:lineRule="exact"/>
        <w:rPr>
          <w:rFonts w:ascii="Arial" w:cs="Arial" w:eastAsia="Arial" w:hAnsi="Arial"/>
          <w:sz w:val="14"/>
          <w:szCs w:val="14"/>
          <w:color w:val="00A798"/>
        </w:rPr>
      </w:pPr>
    </w:p>
    <w:p>
      <w:pPr>
        <w:ind w:left="163" w:hanging="163"/>
        <w:spacing w:after="0"/>
        <w:tabs>
          <w:tab w:leader="none" w:pos="163" w:val="left"/>
        </w:tabs>
        <w:numPr>
          <w:ilvl w:val="0"/>
          <w:numId w:val="50"/>
        </w:numPr>
        <w:rPr>
          <w:rFonts w:ascii="Arial" w:cs="Arial" w:eastAsia="Arial" w:hAnsi="Arial"/>
          <w:sz w:val="14"/>
          <w:szCs w:val="14"/>
          <w:color w:val="00A798"/>
        </w:rPr>
      </w:pPr>
      <w:r>
        <w:rPr>
          <w:rFonts w:ascii="Arial" w:cs="Arial" w:eastAsia="Arial" w:hAnsi="Arial"/>
          <w:sz w:val="14"/>
          <w:szCs w:val="14"/>
          <w:color w:val="auto"/>
        </w:rPr>
        <w:t>Oversees the Company’s public policy strategy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Strategy Committee</w:t>
      </w:r>
    </w:p>
    <w:p>
      <w:pPr>
        <w:spacing w:after="0" w:line="104" w:lineRule="exact"/>
        <w:rPr>
          <w:sz w:val="20"/>
          <w:szCs w:val="20"/>
          <w:color w:val="auto"/>
        </w:rPr>
      </w:pPr>
    </w:p>
    <w:p>
      <w:pPr>
        <w:ind w:left="200" w:right="420" w:hanging="193"/>
        <w:spacing w:after="0" w:line="275" w:lineRule="auto"/>
        <w:tabs>
          <w:tab w:leader="none" w:pos="164" w:val="left"/>
        </w:tabs>
        <w:numPr>
          <w:ilvl w:val="0"/>
          <w:numId w:val="51"/>
        </w:numPr>
        <w:rPr>
          <w:rFonts w:ascii="Arial" w:cs="Arial" w:eastAsia="Arial" w:hAnsi="Arial"/>
          <w:sz w:val="14"/>
          <w:szCs w:val="14"/>
          <w:color w:val="00A798"/>
        </w:rPr>
      </w:pPr>
      <w:r>
        <w:rPr>
          <w:rFonts w:ascii="Arial" w:cs="Arial" w:eastAsia="Arial" w:hAnsi="Arial"/>
          <w:sz w:val="14"/>
          <w:szCs w:val="14"/>
          <w:color w:val="auto"/>
        </w:rPr>
        <w:t>Oversees risks related to certain financial matters, including capital allocation, financial planning,</w:t>
      </w:r>
    </w:p>
    <w:p>
      <w:pPr>
        <w:ind w:left="200"/>
        <w:spacing w:after="0"/>
        <w:rPr>
          <w:rFonts w:ascii="Arial" w:cs="Arial" w:eastAsia="Arial" w:hAnsi="Arial"/>
          <w:sz w:val="14"/>
          <w:szCs w:val="14"/>
          <w:color w:val="00A798"/>
        </w:rPr>
      </w:pPr>
      <w:r>
        <w:rPr>
          <w:rFonts w:ascii="Arial" w:cs="Arial" w:eastAsia="Arial" w:hAnsi="Arial"/>
          <w:sz w:val="14"/>
          <w:szCs w:val="14"/>
          <w:color w:val="auto"/>
        </w:rPr>
        <w:t>credit and liquidity and related policies</w:t>
      </w:r>
    </w:p>
    <w:p>
      <w:pPr>
        <w:spacing w:after="0" w:line="54" w:lineRule="exact"/>
        <w:rPr>
          <w:rFonts w:ascii="Arial" w:cs="Arial" w:eastAsia="Arial" w:hAnsi="Arial"/>
          <w:sz w:val="14"/>
          <w:szCs w:val="14"/>
          <w:color w:val="00A798"/>
        </w:rPr>
      </w:pPr>
    </w:p>
    <w:p>
      <w:pPr>
        <w:ind w:left="200" w:right="380" w:hanging="193"/>
        <w:spacing w:after="0" w:line="282" w:lineRule="auto"/>
        <w:tabs>
          <w:tab w:leader="none" w:pos="164" w:val="left"/>
        </w:tabs>
        <w:numPr>
          <w:ilvl w:val="0"/>
          <w:numId w:val="51"/>
        </w:numPr>
        <w:rPr>
          <w:rFonts w:ascii="Arial" w:cs="Arial" w:eastAsia="Arial" w:hAnsi="Arial"/>
          <w:sz w:val="14"/>
          <w:szCs w:val="14"/>
          <w:color w:val="00A798"/>
        </w:rPr>
      </w:pPr>
      <w:r>
        <w:rPr>
          <w:rFonts w:ascii="Arial" w:cs="Arial" w:eastAsia="Arial" w:hAnsi="Arial"/>
          <w:sz w:val="14"/>
          <w:szCs w:val="14"/>
          <w:color w:val="auto"/>
        </w:rPr>
        <w:t>Monitors and provides guidance on strategic objectives, including</w:t>
      </w:r>
    </w:p>
    <w:p>
      <w:pPr>
        <w:ind w:left="200" w:right="340"/>
        <w:spacing w:after="0" w:line="283" w:lineRule="auto"/>
        <w:rPr>
          <w:rFonts w:ascii="Arial" w:cs="Arial" w:eastAsia="Arial" w:hAnsi="Arial"/>
          <w:sz w:val="14"/>
          <w:szCs w:val="14"/>
          <w:color w:val="00A798"/>
        </w:rPr>
      </w:pPr>
      <w:r>
        <w:rPr>
          <w:rFonts w:ascii="Arial" w:cs="Arial" w:eastAsia="Arial" w:hAnsi="Arial"/>
          <w:sz w:val="14"/>
          <w:szCs w:val="14"/>
          <w:color w:val="auto"/>
        </w:rPr>
        <w:t>on mergers, partnerships and acquisition opportunities, execution and integration</w:t>
      </w:r>
    </w:p>
    <w:p>
      <w:pPr>
        <w:spacing w:after="0" w:line="722" w:lineRule="exact"/>
        <w:rPr>
          <w:sz w:val="20"/>
          <w:szCs w:val="20"/>
          <w:color w:val="auto"/>
        </w:rPr>
      </w:pPr>
    </w:p>
    <w:p>
      <w:pPr>
        <w:sectPr>
          <w:pgSz w:w="11900" w:h="16838" w:orient="portrait"/>
          <w:cols w:equalWidth="0" w:num="3">
            <w:col w:w="3140" w:space="337"/>
            <w:col w:w="4003" w:space="580"/>
            <w:col w:w="2780"/>
          </w:cols>
          <w:pgMar w:left="320" w:top="130" w:right="739" w:bottom="1440" w:gutter="0" w:footer="0" w:header="0"/>
          <w:type w:val="continuous"/>
        </w:sectPr>
      </w:pP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1A3FD6"/>
        </w:rPr>
        <w:t>Audit Committee</w:t>
      </w:r>
    </w:p>
    <w:p>
      <w:pPr>
        <w:spacing w:after="0" w:line="91" w:lineRule="exact"/>
        <w:rPr>
          <w:sz w:val="20"/>
          <w:szCs w:val="20"/>
          <w:color w:val="auto"/>
        </w:rPr>
      </w:pPr>
    </w:p>
    <w:p>
      <w:pPr>
        <w:ind w:left="540" w:hanging="150"/>
        <w:spacing w:after="0"/>
        <w:tabs>
          <w:tab w:leader="none" w:pos="540" w:val="left"/>
        </w:tabs>
        <w:numPr>
          <w:ilvl w:val="0"/>
          <w:numId w:val="52"/>
        </w:numPr>
        <w:rPr>
          <w:rFonts w:ascii="Arial" w:cs="Arial" w:eastAsia="Arial" w:hAnsi="Arial"/>
          <w:sz w:val="14"/>
          <w:szCs w:val="14"/>
          <w:color w:val="00A798"/>
        </w:rPr>
      </w:pPr>
      <w:r>
        <w:rPr>
          <w:rFonts w:ascii="Arial" w:cs="Arial" w:eastAsia="Arial" w:hAnsi="Arial"/>
          <w:sz w:val="14"/>
          <w:szCs w:val="14"/>
          <w:color w:val="auto"/>
        </w:rPr>
        <w:t>Oversees MSCI’s ERM activities, including receiving quarterly reports from the Enterprise Risk Management Officer</w:t>
      </w:r>
    </w:p>
    <w:p>
      <w:pPr>
        <w:spacing w:after="0" w:line="68" w:lineRule="exact"/>
        <w:rPr>
          <w:rFonts w:ascii="Arial" w:cs="Arial" w:eastAsia="Arial" w:hAnsi="Arial"/>
          <w:sz w:val="14"/>
          <w:szCs w:val="14"/>
          <w:color w:val="00A798"/>
        </w:rPr>
      </w:pPr>
    </w:p>
    <w:p>
      <w:pPr>
        <w:ind w:left="580" w:right="60" w:hanging="190"/>
        <w:spacing w:after="0" w:line="305" w:lineRule="auto"/>
        <w:tabs>
          <w:tab w:leader="none" w:pos="544" w:val="left"/>
        </w:tabs>
        <w:numPr>
          <w:ilvl w:val="0"/>
          <w:numId w:val="52"/>
        </w:numPr>
        <w:rPr>
          <w:rFonts w:ascii="Arial" w:cs="Arial" w:eastAsia="Arial" w:hAnsi="Arial"/>
          <w:sz w:val="14"/>
          <w:szCs w:val="14"/>
          <w:color w:val="00A798"/>
        </w:rPr>
      </w:pPr>
      <w:r>
        <w:rPr>
          <w:rFonts w:ascii="Arial" w:cs="Arial" w:eastAsia="Arial" w:hAnsi="Arial"/>
          <w:sz w:val="14"/>
          <w:szCs w:val="14"/>
          <w:color w:val="auto"/>
        </w:rPr>
        <w:t>Oversees MSCI’s accounting and financial reporting processes and the integrity of MSCI’s financial statements and internal controls, including receiving quarterly reports from MSCI’s independent auditor</w:t>
      </w:r>
    </w:p>
    <w:p>
      <w:pPr>
        <w:spacing w:after="0" w:line="9" w:lineRule="exact"/>
        <w:rPr>
          <w:rFonts w:ascii="Arial" w:cs="Arial" w:eastAsia="Arial" w:hAnsi="Arial"/>
          <w:sz w:val="14"/>
          <w:szCs w:val="14"/>
          <w:color w:val="00A798"/>
        </w:rPr>
      </w:pPr>
    </w:p>
    <w:p>
      <w:pPr>
        <w:ind w:left="540" w:hanging="150"/>
        <w:spacing w:after="0"/>
        <w:tabs>
          <w:tab w:leader="none" w:pos="540" w:val="left"/>
        </w:tabs>
        <w:numPr>
          <w:ilvl w:val="0"/>
          <w:numId w:val="52"/>
        </w:numPr>
        <w:rPr>
          <w:rFonts w:ascii="Arial" w:cs="Arial" w:eastAsia="Arial" w:hAnsi="Arial"/>
          <w:sz w:val="14"/>
          <w:szCs w:val="14"/>
          <w:color w:val="00A798"/>
        </w:rPr>
      </w:pPr>
      <w:r>
        <w:rPr>
          <w:rFonts w:ascii="Arial" w:cs="Arial" w:eastAsia="Arial" w:hAnsi="Arial"/>
          <w:sz w:val="14"/>
          <w:szCs w:val="14"/>
          <w:color w:val="auto"/>
        </w:rPr>
        <w:t>Oversees MSCI’s legal and regulatory risks and issues, including regular reports from the General Counsel and Head of Corporate Affairs</w:t>
      </w:r>
    </w:p>
    <w:p>
      <w:pPr>
        <w:spacing w:after="0" w:line="82" w:lineRule="exact"/>
        <w:rPr>
          <w:rFonts w:ascii="Arial" w:cs="Arial" w:eastAsia="Arial" w:hAnsi="Arial"/>
          <w:sz w:val="14"/>
          <w:szCs w:val="14"/>
          <w:color w:val="00A798"/>
        </w:rPr>
      </w:pPr>
    </w:p>
    <w:p>
      <w:pPr>
        <w:ind w:left="580" w:right="580" w:hanging="190"/>
        <w:spacing w:after="0" w:line="311" w:lineRule="auto"/>
        <w:tabs>
          <w:tab w:leader="none" w:pos="537" w:val="left"/>
        </w:tabs>
        <w:numPr>
          <w:ilvl w:val="0"/>
          <w:numId w:val="52"/>
        </w:numPr>
        <w:rPr>
          <w:rFonts w:ascii="Arial" w:cs="Arial" w:eastAsia="Arial" w:hAnsi="Arial"/>
          <w:sz w:val="16"/>
          <w:szCs w:val="16"/>
          <w:color w:val="00A798"/>
        </w:rPr>
      </w:pPr>
      <w:r>
        <w:rPr>
          <w:rFonts w:ascii="Arial" w:cs="Arial" w:eastAsia="Arial" w:hAnsi="Arial"/>
          <w:sz w:val="14"/>
          <w:szCs w:val="14"/>
          <w:color w:val="auto"/>
        </w:rPr>
        <w:t>Oversees MSCI’s technology and cybersecurity risks, with quarterly reports from the Chief Information Security Officer, informed by discussions with, and assessments from, external information security advisors</w:t>
      </w:r>
    </w:p>
    <w:p>
      <w:pPr>
        <w:spacing w:after="0" w:line="11" w:lineRule="exact"/>
        <w:rPr>
          <w:rFonts w:ascii="Arial" w:cs="Arial" w:eastAsia="Arial" w:hAnsi="Arial"/>
          <w:sz w:val="16"/>
          <w:szCs w:val="16"/>
          <w:color w:val="00A798"/>
        </w:rPr>
      </w:pPr>
    </w:p>
    <w:p>
      <w:pPr>
        <w:ind w:left="540" w:hanging="150"/>
        <w:spacing w:after="0"/>
        <w:tabs>
          <w:tab w:leader="none" w:pos="540" w:val="left"/>
        </w:tabs>
        <w:numPr>
          <w:ilvl w:val="0"/>
          <w:numId w:val="52"/>
        </w:numPr>
        <w:rPr>
          <w:rFonts w:ascii="Arial" w:cs="Arial" w:eastAsia="Arial" w:hAnsi="Arial"/>
          <w:sz w:val="14"/>
          <w:szCs w:val="14"/>
          <w:color w:val="00A798"/>
        </w:rPr>
      </w:pPr>
      <w:r>
        <w:rPr>
          <w:rFonts w:ascii="Arial" w:cs="Arial" w:eastAsia="Arial" w:hAnsi="Arial"/>
          <w:sz w:val="14"/>
          <w:szCs w:val="14"/>
          <w:color w:val="auto"/>
        </w:rPr>
        <w:t>Oversees MSCI’s internal audit function, with quarterly reports from the Head of Internal Audit</w:t>
      </w:r>
    </w:p>
    <w:p>
      <w:pPr>
        <w:spacing w:after="0" w:line="68" w:lineRule="exact"/>
        <w:rPr>
          <w:rFonts w:ascii="Arial" w:cs="Arial" w:eastAsia="Arial" w:hAnsi="Arial"/>
          <w:sz w:val="14"/>
          <w:szCs w:val="14"/>
          <w:color w:val="00A798"/>
        </w:rPr>
      </w:pPr>
    </w:p>
    <w:p>
      <w:pPr>
        <w:ind w:left="540" w:hanging="150"/>
        <w:spacing w:after="0"/>
        <w:tabs>
          <w:tab w:leader="none" w:pos="540" w:val="left"/>
        </w:tabs>
        <w:numPr>
          <w:ilvl w:val="0"/>
          <w:numId w:val="52"/>
        </w:numPr>
        <w:rPr>
          <w:rFonts w:ascii="Arial" w:cs="Arial" w:eastAsia="Arial" w:hAnsi="Arial"/>
          <w:sz w:val="14"/>
          <w:szCs w:val="14"/>
          <w:color w:val="00A798"/>
        </w:rPr>
      </w:pPr>
      <w:r>
        <w:rPr>
          <w:rFonts w:ascii="Arial" w:cs="Arial" w:eastAsia="Arial" w:hAnsi="Arial"/>
          <w:sz w:val="14"/>
          <w:szCs w:val="14"/>
          <w:color w:val="auto"/>
        </w:rPr>
        <w:t>Receives regular reports from MSCI’s Disclosure Committee, which meets at least quarterly to review the adequacy of the Company’s disclosure</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controls and procedures</w:t>
      </w:r>
    </w:p>
    <w:p>
      <w:pPr>
        <w:spacing w:after="0" w:line="68" w:lineRule="exact"/>
        <w:rPr>
          <w:sz w:val="20"/>
          <w:szCs w:val="20"/>
          <w:color w:val="auto"/>
        </w:rPr>
      </w:pPr>
    </w:p>
    <w:p>
      <w:pPr>
        <w:ind w:left="540" w:hanging="150"/>
        <w:spacing w:after="0"/>
        <w:tabs>
          <w:tab w:leader="none" w:pos="540" w:val="left"/>
        </w:tabs>
        <w:numPr>
          <w:ilvl w:val="0"/>
          <w:numId w:val="53"/>
        </w:numPr>
        <w:rPr>
          <w:rFonts w:ascii="Arial" w:cs="Arial" w:eastAsia="Arial" w:hAnsi="Arial"/>
          <w:sz w:val="14"/>
          <w:szCs w:val="14"/>
          <w:color w:val="00A798"/>
        </w:rPr>
      </w:pPr>
      <w:r>
        <w:rPr>
          <w:rFonts w:ascii="Arial" w:cs="Arial" w:eastAsia="Arial" w:hAnsi="Arial"/>
          <w:sz w:val="14"/>
          <w:szCs w:val="14"/>
          <w:color w:val="auto"/>
        </w:rPr>
        <w:t>Oversees whistleblower reporting procedures for handling complaints and anonymous submissions related to accounting, internal controls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323850</wp:posOffset>
            </wp:positionV>
            <wp:extent cx="120015" cy="685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685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692150</wp:posOffset>
            </wp:positionV>
            <wp:extent cx="556895"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537845</wp:posOffset>
            </wp:positionV>
            <wp:extent cx="698627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sz w:val="1"/>
          <w:szCs w:val="1"/>
          <w:color w:val="auto"/>
        </w:rPr>
        <w:drawing>
          <wp:inline distT="0" distB="0" distL="0" distR="0">
            <wp:extent cx="120015" cy="37719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0015" cy="377190"/>
                    </a:xfrm>
                    <a:prstGeom prst="rect">
                      <a:avLst/>
                    </a:prstGeom>
                    <a:noFill/>
                    <a:ln>
                      <a:noFill/>
                    </a:ln>
                  </pic:spPr>
                </pic:pic>
              </a:graphicData>
            </a:graphic>
          </wp:inline>
        </w:drawing>
      </w:r>
      <w:r>
        <w:rPr>
          <w:rFonts w:ascii="Arial" w:cs="Arial" w:eastAsia="Arial" w:hAnsi="Arial"/>
          <w:sz w:val="25"/>
          <w:szCs w:val="25"/>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06285" cy="32486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06285" cy="3248660"/>
                    </a:xfrm>
                    <a:prstGeom prst="rect">
                      <a:avLst/>
                    </a:prstGeom>
                    <a:noFill/>
                  </pic:spPr>
                </pic:pic>
              </a:graphicData>
            </a:graphic>
          </wp:anchor>
        </w:drawing>
      </w:r>
    </w:p>
    <w:p>
      <w:pPr>
        <w:spacing w:after="0" w:line="254" w:lineRule="exact"/>
        <w:rPr>
          <w:sz w:val="20"/>
          <w:szCs w:val="20"/>
          <w:color w:val="auto"/>
        </w:rPr>
      </w:pPr>
    </w:p>
    <w:p>
      <w:pPr>
        <w:ind w:left="380" w:right="560"/>
        <w:spacing w:after="0" w:line="296" w:lineRule="auto"/>
        <w:rPr>
          <w:sz w:val="20"/>
          <w:szCs w:val="20"/>
          <w:color w:val="auto"/>
        </w:rPr>
      </w:pPr>
      <w:r>
        <w:rPr>
          <w:rFonts w:ascii="Arial" w:cs="Arial" w:eastAsia="Arial" w:hAnsi="Arial"/>
          <w:sz w:val="14"/>
          <w:szCs w:val="14"/>
          <w:color w:val="auto"/>
        </w:rPr>
        <w:t>Our management team has day-to-day responsibility for identifying, assessing and managing risks and opportunities. In this role, management interacts with outside advisors, including external information security advisors, compensation consultants, legal counsel, financial advisors and others. The Company’s EROC oversees the Company’s key risk management activities to ensure that the Company is identifying, evaluating and managing risks that may have an impact on our ability to achieve our operational and strategic objectives. Risk areas of significant management-level focus and reporting to the Board include:</w:t>
      </w:r>
    </w:p>
    <w:p>
      <w:pPr>
        <w:sectPr>
          <w:pgSz w:w="11900" w:h="16838" w:orient="portrait"/>
          <w:cols w:equalWidth="0" w:num="1">
            <w:col w:w="11240"/>
          </w:cols>
          <w:pgMar w:left="320" w:top="130" w:right="339" w:bottom="1440" w:gutter="0" w:footer="0" w:header="0"/>
        </w:sectPr>
      </w:pPr>
    </w:p>
    <w:p>
      <w:pPr>
        <w:spacing w:after="0" w:line="25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1A3FD6"/>
        </w:rPr>
        <w:t>Business Resiliency</w:t>
      </w:r>
    </w:p>
    <w:p>
      <w:pPr>
        <w:spacing w:after="0" w:line="91" w:lineRule="exact"/>
        <w:rPr>
          <w:sz w:val="20"/>
          <w:szCs w:val="20"/>
          <w:color w:val="auto"/>
        </w:rPr>
      </w:pPr>
    </w:p>
    <w:p>
      <w:pPr>
        <w:ind w:left="380" w:right="20"/>
        <w:spacing w:after="0" w:line="287" w:lineRule="auto"/>
        <w:rPr>
          <w:sz w:val="20"/>
          <w:szCs w:val="20"/>
          <w:color w:val="auto"/>
        </w:rPr>
      </w:pPr>
      <w:r>
        <w:rPr>
          <w:rFonts w:ascii="Arial" w:cs="Arial" w:eastAsia="Arial" w:hAnsi="Arial"/>
          <w:sz w:val="14"/>
          <w:szCs w:val="14"/>
          <w:color w:val="auto"/>
        </w:rPr>
        <w:t>Develop and execute strategies and processes to assess the severity, probability and scale of business interruption events and support business continuity plans, with regular reporting to the Audit Committee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1A3FD6"/>
        </w:rPr>
        <w:t>Cybersecurity</w:t>
      </w:r>
    </w:p>
    <w:p>
      <w:pPr>
        <w:spacing w:after="0" w:line="91" w:lineRule="exact"/>
        <w:rPr>
          <w:sz w:val="20"/>
          <w:szCs w:val="20"/>
          <w:color w:val="auto"/>
        </w:rPr>
      </w:pPr>
    </w:p>
    <w:p>
      <w:pPr>
        <w:ind w:left="380"/>
        <w:spacing w:after="0" w:line="286" w:lineRule="auto"/>
        <w:rPr>
          <w:sz w:val="20"/>
          <w:szCs w:val="20"/>
          <w:color w:val="auto"/>
        </w:rPr>
      </w:pPr>
      <w:r>
        <w:rPr>
          <w:rFonts w:ascii="Arial" w:cs="Arial" w:eastAsia="Arial" w:hAnsi="Arial"/>
          <w:sz w:val="14"/>
          <w:szCs w:val="14"/>
          <w:color w:val="auto"/>
        </w:rPr>
        <w:t>Assess and mitigate risks posed by cybersecurity incidents and cyber-attacks impacting data and information systems, including risks related to AI and emerging technologies, with regular reporting by our Chief Information Security Officer (“CISO”) to the Audit Committee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Legal and Regulatory</w:t>
      </w:r>
    </w:p>
    <w:p>
      <w:pPr>
        <w:spacing w:after="0" w:line="9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Oversee risk associated with legal and regulatory matters, including policy developments that may impact the Company’s business, with regular reporting to the Audit Committee and the Governance Committee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Disclosure Committee</w:t>
      </w:r>
    </w:p>
    <w:p>
      <w:pPr>
        <w:spacing w:after="0" w:line="91"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Assess risks related to the Company’s disclosure controls and procedures for public reporting, with regular reporting by the General Counsel and Global Controller to the Audit Committee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Compliance</w:t>
      </w:r>
    </w:p>
    <w:p>
      <w:pPr>
        <w:spacing w:after="0" w:line="91" w:lineRule="exact"/>
        <w:rPr>
          <w:sz w:val="20"/>
          <w:szCs w:val="20"/>
          <w:color w:val="auto"/>
        </w:rPr>
      </w:pPr>
    </w:p>
    <w:p>
      <w:pPr>
        <w:ind w:right="600"/>
        <w:spacing w:after="0" w:line="289" w:lineRule="auto"/>
        <w:rPr>
          <w:sz w:val="20"/>
          <w:szCs w:val="20"/>
          <w:color w:val="auto"/>
        </w:rPr>
      </w:pPr>
      <w:r>
        <w:rPr>
          <w:rFonts w:ascii="Arial" w:cs="Arial" w:eastAsia="Arial" w:hAnsi="Arial"/>
          <w:sz w:val="14"/>
          <w:szCs w:val="14"/>
          <w:color w:val="auto"/>
        </w:rPr>
        <w:t>Oversee ethical and other risks associated with the Company’s compliance programs, with reporting by our Head of Compliance to our Governance Committee on an annual basis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Internal Audit</w:t>
      </w:r>
    </w:p>
    <w:p>
      <w:pPr>
        <w:spacing w:after="0" w:line="91" w:lineRule="exact"/>
        <w:rPr>
          <w:sz w:val="20"/>
          <w:szCs w:val="20"/>
          <w:color w:val="auto"/>
        </w:rPr>
      </w:pPr>
    </w:p>
    <w:p>
      <w:pPr>
        <w:ind w:right="460"/>
        <w:spacing w:after="0" w:line="277" w:lineRule="auto"/>
        <w:rPr>
          <w:sz w:val="20"/>
          <w:szCs w:val="20"/>
          <w:color w:val="auto"/>
        </w:rPr>
      </w:pPr>
      <w:r>
        <w:rPr>
          <w:rFonts w:ascii="Arial" w:cs="Arial" w:eastAsia="Arial" w:hAnsi="Arial"/>
          <w:sz w:val="14"/>
          <w:szCs w:val="14"/>
          <w:color w:val="auto"/>
        </w:rPr>
        <w:t>Provide independent assurance and closely coordinate with the Enterprise Risk Management Officer to ensure annual audit plan is informed by key risks, with regular reporting to the</w:t>
      </w:r>
    </w:p>
    <w:p>
      <w:pPr>
        <w:ind w:right="640"/>
        <w:spacing w:after="0" w:line="323" w:lineRule="auto"/>
        <w:rPr>
          <w:sz w:val="20"/>
          <w:szCs w:val="20"/>
          <w:color w:val="auto"/>
        </w:rPr>
      </w:pPr>
      <w:r>
        <w:rPr>
          <w:rFonts w:ascii="Arial" w:cs="Arial" w:eastAsia="Arial" w:hAnsi="Arial"/>
          <w:sz w:val="14"/>
          <w:szCs w:val="14"/>
          <w:color w:val="auto"/>
        </w:rPr>
        <w:t>Audit Committee by the Head of Internal Audit, including in dedicated executive sessions</w:t>
      </w:r>
    </w:p>
    <w:p>
      <w:pPr>
        <w:spacing w:after="0" w:line="200" w:lineRule="exact"/>
        <w:rPr>
          <w:sz w:val="20"/>
          <w:szCs w:val="20"/>
          <w:color w:val="auto"/>
        </w:rPr>
      </w:pPr>
    </w:p>
    <w:p>
      <w:pPr>
        <w:sectPr>
          <w:pgSz w:w="11900" w:h="16838" w:orient="portrait"/>
          <w:cols w:equalWidth="0" w:num="3">
            <w:col w:w="3540" w:space="460"/>
            <w:col w:w="3140" w:space="500"/>
            <w:col w:w="36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Cybersecurity and Information Security Awareness</w:t>
      </w:r>
    </w:p>
    <w:p>
      <w:pPr>
        <w:spacing w:after="0" w:line="11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Our Board recognizes that the security of our technology is integral to our products, business processes and infrastructure. We have an enterprise-wide information security program designed to secure our technology assets, and we have implemented several measures to identify, assess and manage related risks. Our CISO manages this program in collaboration with our business and corporate teams. Our cybersecurity policies, standards and procedures align with industry standards, including the U.S. National Institute of Standards and Technology (“NIST”) cybersecurity framework and International Organization for Standardization (“ISO”) information security standards. The MSCI Information Security Management System has also achieved ISO/IEC 27001:2022 certification.</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Our management-level Information and Technology Risk Oversight Committee (“ITROC”), which is led by our CISO, and includes senior management leaders, provides oversight of key cybersecurity and technology risks, including those related to AI. Our IT risk program also includes an incident response plan that provides for how we detect, respond to and recover from cybersecurity incidents. The plan includes processes designed to triage, assess severity, investigate and remediate any incident, comply with potentially applicable legal obligations and mitigate damage to our brand and reputation.</w:t>
      </w:r>
    </w:p>
    <w:p>
      <w:pPr>
        <w:spacing w:after="0" w:line="96"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Quarterly, our CISO updates the Audit Committee on the Company’s IT security program, including an overview of any significant incidents, risks and trends, results from any third-party assessments, risk-mitigation activities, our incident response plan, and cybersecurity threat developments. This quarterly update is also made available to the full Board, and the Chair of the Audit Committee informs the Board of any key updates during quarterly reports to the Board.</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Board periodically conducts education sessions on cybersecurity trends and risks. Additional information regarding our IT risk management is detailed in our 2025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Artificial Intelligence (AI) Awareness</w:t>
      </w:r>
    </w:p>
    <w:p>
      <w:pPr>
        <w:spacing w:after="0" w:line="114" w:lineRule="exact"/>
        <w:rPr>
          <w:sz w:val="20"/>
          <w:szCs w:val="20"/>
          <w:color w:val="auto"/>
        </w:rPr>
      </w:pPr>
    </w:p>
    <w:p>
      <w:pPr>
        <w:ind w:right="520"/>
        <w:spacing w:after="0" w:line="284" w:lineRule="auto"/>
        <w:rPr>
          <w:sz w:val="20"/>
          <w:szCs w:val="20"/>
          <w:color w:val="auto"/>
        </w:rPr>
      </w:pPr>
      <w:r>
        <w:rPr>
          <w:rFonts w:ascii="Arial" w:cs="Arial" w:eastAsia="Arial" w:hAnsi="Arial"/>
          <w:sz w:val="16"/>
          <w:szCs w:val="16"/>
          <w:color w:val="auto"/>
        </w:rPr>
        <w:t>MSCI incorporates AI technologies, including generative AI, into its products and operations to drive product innovation, enhance client outcomes and enhance productivity. Given the strategic importance and evolving risk profile of AI, the Board maintains oversight of both the opportunities and risks associated with MSCI’s AI activities.</w:t>
      </w:r>
    </w:p>
    <w:p>
      <w:pPr>
        <w:spacing w:after="0" w:line="8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Board oversees AI-related risks and opportunities as part of its broader oversight of business strategy and enterprise risk management. The full Board regularly receives briefings from management on the impact of AI on the Company’s business, products and competitive environment and engages with management on the Company’s AI strategy, including product development and investment priorities. The Audit Committee has responsibility for oversight of technology and cybersecurity risks, including risks and opportunities related to AI. Management supports the Board and its committees through MSCI’s enterprise risk management program, including regular reporting and escalation processes, and provides updates regarding the Company’s AI governance framework and significant AI initiatives. Several members of the Board bring relevant experience in technology, data and AI-related fields, as reflected in the Board’s skills matrix on page 19 of this Proxy Statement.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Our management-level AI governance review process is overseen by a cross-functional team that evaluates AI use cases across the organization and reports to senior management. The process is designed to identify and mitigate risks to the Company and our clients, including business, legal, compliance and IT risks, while supporting efficiency and alignment with the Company’s strategy. The framework incorporates privacy, data security, potential bias, regulatory requirements and intellectual property considerations.</w:t>
      </w:r>
    </w:p>
    <w:p>
      <w:pPr>
        <w:spacing w:after="0" w:line="109"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internal acceptable use policy establishes guidelines for the use of systems and related technology, including requirements regarding approved AI tools, restrictions on the use of public AI tools and governance review of specified AI use cases.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Privacy Awareness</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Integrated with our IT security program and our enterprise risk program is our global privacy program. Our privacy program is led by our Chief Privacy Officer and the members of the MSCI Privacy Office, which reports to our CISO, and has been developed based on industry standards, including the NIST Privacy Framework. Our Privacy Steering Committee meets on a quarterly basis to review key risks and trends, progress on key initiatives, focus topics and regulatory developments. We also regularly undertake privacy and data protection training and testing of our employees. Our CISO’s quarterly updates to the Audit Committee include any notable updates relating to our privacy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413385</wp:posOffset>
            </wp:positionV>
            <wp:extent cx="556895"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Corporate Responsibility</w:t>
      </w:r>
    </w:p>
    <w:p>
      <w:pPr>
        <w:spacing w:after="0" w:line="181"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As a leading provider of sustainability and climate solutions, we also aim to demonstrate strong corporate responsibility practices and policies that are meaningful to our various stakeholders, and that we believe build long-term shareholder value.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Our approach to corporate responsibility is reflected in three strategic pillars:</w:t>
      </w:r>
    </w:p>
    <w:p>
      <w:pPr>
        <w:spacing w:after="0" w:line="1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Approach to Corporate Responsibility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471"/>
        </w:trPr>
        <w:tc>
          <w:tcPr>
            <w:tcW w:w="3460" w:type="dxa"/>
            <w:vAlign w:val="bottom"/>
            <w:shd w:val="clear" w:color="auto" w:fill="1A3FD6"/>
          </w:tcPr>
          <w:p>
            <w:pPr>
              <w:ind w:left="260"/>
              <w:spacing w:after="0"/>
              <w:rPr>
                <w:sz w:val="20"/>
                <w:szCs w:val="20"/>
                <w:color w:val="auto"/>
              </w:rPr>
            </w:pPr>
            <w:r>
              <w:rPr>
                <w:rFonts w:ascii="Arial" w:cs="Arial" w:eastAsia="Arial" w:hAnsi="Arial"/>
                <w:sz w:val="18"/>
                <w:szCs w:val="18"/>
                <w:b w:val="1"/>
                <w:bCs w:val="1"/>
                <w:color w:val="FFFFFF"/>
              </w:rPr>
              <w:t>Leadership and Governance</w:t>
            </w:r>
          </w:p>
        </w:tc>
        <w:tc>
          <w:tcPr>
            <w:tcW w:w="3960" w:type="dxa"/>
            <w:vAlign w:val="bottom"/>
            <w:shd w:val="clear" w:color="auto" w:fill="1A3FD6"/>
          </w:tcPr>
          <w:p>
            <w:pPr>
              <w:ind w:left="540"/>
              <w:spacing w:after="0"/>
              <w:rPr>
                <w:sz w:val="20"/>
                <w:szCs w:val="20"/>
                <w:color w:val="auto"/>
              </w:rPr>
            </w:pPr>
            <w:r>
              <w:rPr>
                <w:rFonts w:ascii="Arial" w:cs="Arial" w:eastAsia="Arial" w:hAnsi="Arial"/>
                <w:sz w:val="18"/>
                <w:szCs w:val="18"/>
                <w:b w:val="1"/>
                <w:bCs w:val="1"/>
                <w:color w:val="FFFFFF"/>
              </w:rPr>
              <w:t>Strategy and Execution</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8"/>
                <w:szCs w:val="18"/>
                <w:b w:val="1"/>
                <w:bCs w:val="1"/>
                <w:color w:val="FFFFFF"/>
              </w:rPr>
              <w:t>Stewardship</w:t>
            </w:r>
          </w:p>
        </w:tc>
      </w:tr>
      <w:tr>
        <w:trPr>
          <w:trHeight w:val="298"/>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Implement policies and practices that reflect</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Implement responsible business practices</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Implement sustainability practices within our</w:t>
            </w:r>
          </w:p>
        </w:tc>
      </w:tr>
      <w:tr>
        <w:trPr>
          <w:trHeight w:val="215"/>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MSCI’s commitment to ethical leadership,</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essential for building long term stakeholder</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operations and value chain to build</w:t>
            </w:r>
          </w:p>
        </w:tc>
      </w:tr>
      <w:tr>
        <w:trPr>
          <w:trHeight w:val="216"/>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strong governance and values, and a</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value, supported by high quality and</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resilience and protect value now and in the</w:t>
            </w:r>
          </w:p>
        </w:tc>
      </w:tr>
      <w:tr>
        <w:trPr>
          <w:trHeight w:val="204"/>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culture of transparency, accountability and</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decision-useful sustainability reporting. We</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future. This includes managing our carbon</w:t>
            </w:r>
          </w:p>
        </w:tc>
      </w:tr>
      <w:tr>
        <w:trPr>
          <w:trHeight w:val="215"/>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integrity, enabling high performance,</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leverage MSCI’s sustainability and climate</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emissions, climate and nature risks and</w:t>
            </w:r>
          </w:p>
        </w:tc>
      </w:tr>
      <w:tr>
        <w:trPr>
          <w:trHeight w:val="204"/>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responsible and sustainable innovation, and</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expertise to inform decision-making,</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opportunities, prioritizing talent development</w:t>
            </w:r>
          </w:p>
        </w:tc>
      </w:tr>
      <w:tr>
        <w:trPr>
          <w:trHeight w:val="215"/>
        </w:trPr>
        <w:tc>
          <w:tcPr>
            <w:tcW w:w="3460" w:type="dxa"/>
            <w:vAlign w:val="bottom"/>
            <w:shd w:val="clear" w:color="auto" w:fill="1A3FD6"/>
          </w:tcPr>
          <w:p>
            <w:pPr>
              <w:ind w:left="260"/>
              <w:spacing w:after="0"/>
              <w:rPr>
                <w:sz w:val="20"/>
                <w:szCs w:val="20"/>
                <w:color w:val="auto"/>
              </w:rPr>
            </w:pPr>
            <w:r>
              <w:rPr>
                <w:rFonts w:ascii="Arial" w:cs="Arial" w:eastAsia="Arial" w:hAnsi="Arial"/>
                <w:sz w:val="16"/>
                <w:szCs w:val="16"/>
                <w:color w:val="FFFFFF"/>
              </w:rPr>
              <w:t>business growth.</w:t>
            </w: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strengthen our business resilience and</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and employee wellbeing and cultivating an</w:t>
            </w:r>
          </w:p>
        </w:tc>
      </w:tr>
      <w:tr>
        <w:trPr>
          <w:trHeight w:val="216"/>
        </w:trPr>
        <w:tc>
          <w:tcPr>
            <w:tcW w:w="3460" w:type="dxa"/>
            <w:vAlign w:val="bottom"/>
            <w:shd w:val="clear" w:color="auto" w:fill="1A3FD6"/>
          </w:tcPr>
          <w:p>
            <w:pPr>
              <w:spacing w:after="0"/>
              <w:rPr>
                <w:sz w:val="18"/>
                <w:szCs w:val="18"/>
                <w:color w:val="auto"/>
              </w:rPr>
            </w:pPr>
          </w:p>
        </w:tc>
        <w:tc>
          <w:tcPr>
            <w:tcW w:w="3960" w:type="dxa"/>
            <w:vAlign w:val="bottom"/>
            <w:shd w:val="clear" w:color="auto" w:fill="1A3FD6"/>
          </w:tcPr>
          <w:p>
            <w:pPr>
              <w:ind w:left="540"/>
              <w:spacing w:after="0"/>
              <w:rPr>
                <w:sz w:val="20"/>
                <w:szCs w:val="20"/>
                <w:color w:val="auto"/>
              </w:rPr>
            </w:pPr>
            <w:r>
              <w:rPr>
                <w:rFonts w:ascii="Arial" w:cs="Arial" w:eastAsia="Arial" w:hAnsi="Arial"/>
                <w:sz w:val="16"/>
                <w:szCs w:val="16"/>
                <w:color w:val="FFFFFF"/>
              </w:rPr>
              <w:t>enhance our policies and disclosures.</w:t>
            </w:r>
          </w:p>
        </w:tc>
        <w:tc>
          <w:tcPr>
            <w:tcW w:w="3820" w:type="dxa"/>
            <w:vAlign w:val="bottom"/>
            <w:gridSpan w:val="2"/>
            <w:shd w:val="clear" w:color="auto" w:fill="1A3FD6"/>
          </w:tcPr>
          <w:p>
            <w:pPr>
              <w:ind w:left="320"/>
              <w:spacing w:after="0"/>
              <w:rPr>
                <w:sz w:val="20"/>
                <w:szCs w:val="20"/>
                <w:color w:val="auto"/>
              </w:rPr>
            </w:pPr>
            <w:r>
              <w:rPr>
                <w:rFonts w:ascii="Arial" w:cs="Arial" w:eastAsia="Arial" w:hAnsi="Arial"/>
                <w:sz w:val="16"/>
                <w:szCs w:val="16"/>
                <w:color w:val="FFFFFF"/>
              </w:rPr>
              <w:t>inclusive and engaged workforce.</w:t>
            </w:r>
          </w:p>
        </w:tc>
      </w:tr>
      <w:tr>
        <w:trPr>
          <w:trHeight w:val="340"/>
        </w:trPr>
        <w:tc>
          <w:tcPr>
            <w:tcW w:w="3460" w:type="dxa"/>
            <w:vAlign w:val="bottom"/>
            <w:shd w:val="clear" w:color="auto" w:fill="1A3FD6"/>
          </w:tcPr>
          <w:p>
            <w:pPr>
              <w:spacing w:after="0"/>
              <w:rPr>
                <w:sz w:val="24"/>
                <w:szCs w:val="24"/>
                <w:color w:val="auto"/>
              </w:rPr>
            </w:pPr>
          </w:p>
        </w:tc>
        <w:tc>
          <w:tcPr>
            <w:tcW w:w="3960" w:type="dxa"/>
            <w:vAlign w:val="bottom"/>
            <w:shd w:val="clear" w:color="auto" w:fill="1A3FD6"/>
          </w:tcPr>
          <w:p>
            <w:pPr>
              <w:spacing w:after="0"/>
              <w:rPr>
                <w:sz w:val="24"/>
                <w:szCs w:val="24"/>
                <w:color w:val="auto"/>
              </w:rPr>
            </w:pPr>
          </w:p>
        </w:tc>
        <w:tc>
          <w:tcPr>
            <w:tcW w:w="3800" w:type="dxa"/>
            <w:vAlign w:val="bottom"/>
            <w:shd w:val="clear" w:color="auto" w:fill="1A3FD6"/>
          </w:tcPr>
          <w:p>
            <w:pPr>
              <w:spacing w:after="0"/>
              <w:rPr>
                <w:sz w:val="24"/>
                <w:szCs w:val="24"/>
                <w:color w:val="auto"/>
              </w:rPr>
            </w:pPr>
          </w:p>
        </w:tc>
        <w:tc>
          <w:tcPr>
            <w:tcW w:w="20" w:type="dxa"/>
            <w:vAlign w:val="bottom"/>
            <w:shd w:val="clear" w:color="auto" w:fill="1A3FD6"/>
          </w:tcPr>
          <w:p>
            <w:pPr>
              <w:spacing w:after="0"/>
              <w:rPr>
                <w:sz w:val="24"/>
                <w:szCs w:val="24"/>
                <w:color w:val="auto"/>
              </w:rPr>
            </w:pPr>
          </w:p>
        </w:tc>
      </w:tr>
      <w:tr>
        <w:trPr>
          <w:trHeight w:val="283"/>
        </w:trPr>
        <w:tc>
          <w:tcPr>
            <w:tcW w:w="3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460" w:type="dxa"/>
            <w:vAlign w:val="bottom"/>
            <w:shd w:val="clear" w:color="auto" w:fill="DDEBF9"/>
          </w:tcPr>
          <w:p>
            <w:pPr>
              <w:spacing w:after="0"/>
              <w:rPr>
                <w:sz w:val="12"/>
                <w:szCs w:val="12"/>
                <w:color w:val="auto"/>
              </w:rPr>
            </w:pPr>
          </w:p>
        </w:tc>
        <w:tc>
          <w:tcPr>
            <w:tcW w:w="3960" w:type="dxa"/>
            <w:vAlign w:val="bottom"/>
            <w:shd w:val="clear" w:color="auto" w:fill="DDEBF9"/>
          </w:tcPr>
          <w:p>
            <w:pPr>
              <w:spacing w:after="0"/>
              <w:rPr>
                <w:sz w:val="12"/>
                <w:szCs w:val="12"/>
                <w:color w:val="auto"/>
              </w:rPr>
            </w:pPr>
          </w:p>
        </w:tc>
        <w:tc>
          <w:tcPr>
            <w:tcW w:w="3800" w:type="dxa"/>
            <w:vAlign w:val="bottom"/>
            <w:shd w:val="clear" w:color="auto" w:fill="DDEBF9"/>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-1790700</wp:posOffset>
            </wp:positionV>
            <wp:extent cx="8255" cy="13887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138874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-1790700</wp:posOffset>
            </wp:positionV>
            <wp:extent cx="8890" cy="13887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13887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15175" cy="16802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15175" cy="1680210"/>
                    </a:xfrm>
                    <a:prstGeom prst="rect">
                      <a:avLst/>
                    </a:prstGeom>
                    <a:noFill/>
                  </pic:spPr>
                </pic:pic>
              </a:graphicData>
            </a:graphic>
          </wp:anchor>
        </w:drawing>
      </w:r>
    </w:p>
    <w:p>
      <w:pPr>
        <w:ind w:left="260"/>
        <w:spacing w:after="0"/>
        <w:rPr>
          <w:sz w:val="20"/>
          <w:szCs w:val="20"/>
          <w:color w:val="auto"/>
        </w:rPr>
      </w:pPr>
      <w:r>
        <w:rPr>
          <w:rFonts w:ascii="Arial" w:cs="Arial" w:eastAsia="Arial" w:hAnsi="Arial"/>
          <w:sz w:val="25"/>
          <w:szCs w:val="25"/>
          <w:b w:val="1"/>
          <w:bCs w:val="1"/>
          <w:color w:val="auto"/>
        </w:rPr>
        <w:t>2025 Corporate Responsibility Highlights</w:t>
      </w:r>
    </w:p>
    <w:p>
      <w:pPr>
        <w:spacing w:after="0" w:line="133" w:lineRule="exact"/>
        <w:rPr>
          <w:sz w:val="20"/>
          <w:szCs w:val="20"/>
          <w:color w:val="auto"/>
        </w:rPr>
      </w:pPr>
    </w:p>
    <w:p>
      <w:pPr>
        <w:ind w:left="420" w:hanging="151"/>
        <w:spacing w:after="0"/>
        <w:tabs>
          <w:tab w:leader="none" w:pos="420" w:val="left"/>
        </w:tabs>
        <w:numPr>
          <w:ilvl w:val="0"/>
          <w:numId w:val="54"/>
        </w:numPr>
        <w:rPr>
          <w:rFonts w:ascii="Arial" w:cs="Arial" w:eastAsia="Arial" w:hAnsi="Arial"/>
          <w:sz w:val="14"/>
          <w:szCs w:val="14"/>
          <w:color w:val="00A798"/>
        </w:rPr>
      </w:pPr>
      <w:r>
        <w:rPr>
          <w:rFonts w:ascii="Arial" w:cs="Arial" w:eastAsia="Arial" w:hAnsi="Arial"/>
          <w:sz w:val="14"/>
          <w:szCs w:val="14"/>
          <w:color w:val="auto"/>
        </w:rPr>
        <w:t>Achieved a CDP Climate ‘A’ rating and published our 7th annual CDP report, demonstrating continued leadership in climate transparency and disclosure</w:t>
      </w:r>
    </w:p>
    <w:p>
      <w:pPr>
        <w:spacing w:after="0" w:line="109" w:lineRule="exact"/>
        <w:rPr>
          <w:rFonts w:ascii="Arial" w:cs="Arial" w:eastAsia="Arial" w:hAnsi="Arial"/>
          <w:sz w:val="14"/>
          <w:szCs w:val="14"/>
          <w:color w:val="00A798"/>
        </w:rPr>
      </w:pPr>
    </w:p>
    <w:p>
      <w:pPr>
        <w:ind w:left="460" w:right="400" w:hanging="191"/>
        <w:spacing w:after="0" w:line="325" w:lineRule="auto"/>
        <w:tabs>
          <w:tab w:leader="none" w:pos="424" w:val="left"/>
        </w:tabs>
        <w:numPr>
          <w:ilvl w:val="0"/>
          <w:numId w:val="54"/>
        </w:numPr>
        <w:rPr>
          <w:rFonts w:ascii="Arial" w:cs="Arial" w:eastAsia="Arial" w:hAnsi="Arial"/>
          <w:sz w:val="14"/>
          <w:szCs w:val="14"/>
          <w:color w:val="00A798"/>
        </w:rPr>
      </w:pPr>
      <w:r>
        <w:rPr>
          <w:rFonts w:ascii="Arial" w:cs="Arial" w:eastAsia="Arial" w:hAnsi="Arial"/>
          <w:sz w:val="14"/>
          <w:szCs w:val="14"/>
          <w:color w:val="auto"/>
        </w:rPr>
        <w:t>As an inaugural Taskforce on Nature-related Financial Disclosures (TNFD) early adopter, conducted a LEAP assessment to map nature-related risks, dependencies and impacts across our global offices</w:t>
      </w:r>
    </w:p>
    <w:p>
      <w:pPr>
        <w:spacing w:after="0" w:line="9" w:lineRule="exact"/>
        <w:rPr>
          <w:rFonts w:ascii="Arial" w:cs="Arial" w:eastAsia="Arial" w:hAnsi="Arial"/>
          <w:sz w:val="14"/>
          <w:szCs w:val="14"/>
          <w:color w:val="00A798"/>
        </w:rPr>
      </w:pPr>
    </w:p>
    <w:p>
      <w:pPr>
        <w:ind w:left="420" w:hanging="151"/>
        <w:spacing w:after="0"/>
        <w:tabs>
          <w:tab w:leader="none" w:pos="420" w:val="left"/>
        </w:tabs>
        <w:numPr>
          <w:ilvl w:val="0"/>
          <w:numId w:val="54"/>
        </w:numPr>
        <w:rPr>
          <w:rFonts w:ascii="Arial" w:cs="Arial" w:eastAsia="Arial" w:hAnsi="Arial"/>
          <w:sz w:val="14"/>
          <w:szCs w:val="14"/>
          <w:color w:val="00A798"/>
        </w:rPr>
      </w:pPr>
      <w:r>
        <w:rPr>
          <w:rFonts w:ascii="Arial" w:cs="Arial" w:eastAsia="Arial" w:hAnsi="Arial"/>
          <w:sz w:val="14"/>
          <w:szCs w:val="14"/>
          <w:color w:val="auto"/>
        </w:rPr>
        <w:t>Advanced efforts to reduce emissions, including strategic engagement with third-party suppliers</w:t>
      </w:r>
    </w:p>
    <w:p>
      <w:pPr>
        <w:spacing w:after="0" w:line="109" w:lineRule="exact"/>
        <w:rPr>
          <w:rFonts w:ascii="Arial" w:cs="Arial" w:eastAsia="Arial" w:hAnsi="Arial"/>
          <w:sz w:val="14"/>
          <w:szCs w:val="14"/>
          <w:color w:val="00A798"/>
        </w:rPr>
      </w:pPr>
    </w:p>
    <w:p>
      <w:pPr>
        <w:ind w:left="460" w:right="380" w:hanging="191"/>
        <w:spacing w:after="0" w:line="291" w:lineRule="auto"/>
        <w:tabs>
          <w:tab w:leader="none" w:pos="417" w:val="left"/>
        </w:tabs>
        <w:numPr>
          <w:ilvl w:val="0"/>
          <w:numId w:val="54"/>
        </w:numPr>
        <w:rPr>
          <w:rFonts w:ascii="Arial" w:cs="Arial" w:eastAsia="Arial" w:hAnsi="Arial"/>
          <w:sz w:val="16"/>
          <w:szCs w:val="16"/>
          <w:color w:val="00A798"/>
        </w:rPr>
      </w:pPr>
      <w:r>
        <w:rPr>
          <w:rFonts w:ascii="Arial" w:cs="Arial" w:eastAsia="Arial" w:hAnsi="Arial"/>
          <w:sz w:val="14"/>
          <w:szCs w:val="14"/>
          <w:color w:val="auto"/>
        </w:rPr>
        <w:t>Applied an internal Carbon Price on business travel, using funds raised to purchase carbon and renewable energy credits to support transition risk management and long-term resilience</w:t>
      </w:r>
    </w:p>
    <w:p>
      <w:pPr>
        <w:spacing w:after="0" w:line="40" w:lineRule="exact"/>
        <w:rPr>
          <w:rFonts w:ascii="Arial" w:cs="Arial" w:eastAsia="Arial" w:hAnsi="Arial"/>
          <w:sz w:val="16"/>
          <w:szCs w:val="16"/>
          <w:color w:val="00A798"/>
        </w:rPr>
      </w:pPr>
    </w:p>
    <w:p>
      <w:pPr>
        <w:ind w:left="460" w:right="540" w:hanging="191"/>
        <w:spacing w:after="0" w:line="325" w:lineRule="auto"/>
        <w:tabs>
          <w:tab w:leader="none" w:pos="424" w:val="left"/>
        </w:tabs>
        <w:numPr>
          <w:ilvl w:val="0"/>
          <w:numId w:val="54"/>
        </w:numPr>
        <w:rPr>
          <w:rFonts w:ascii="Arial" w:cs="Arial" w:eastAsia="Arial" w:hAnsi="Arial"/>
          <w:sz w:val="14"/>
          <w:szCs w:val="14"/>
          <w:color w:val="00A798"/>
        </w:rPr>
      </w:pPr>
      <w:r>
        <w:rPr>
          <w:rFonts w:ascii="Arial" w:cs="Arial" w:eastAsia="Arial" w:hAnsi="Arial"/>
          <w:sz w:val="14"/>
          <w:szCs w:val="14"/>
          <w:color w:val="auto"/>
        </w:rPr>
        <w:t>Demonstrated robust corporate responsibility governance through dedicated oversight bodies, including our Corporate Responsibility Advisory Council, Corporate Responsibility Committee and Corporate Responsibility Disclosure Committee</w:t>
      </w:r>
    </w:p>
    <w:p>
      <w:pPr>
        <w:spacing w:after="0" w:line="38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Additional information on our corporate responsibility efforts, including our published sustainability reports and carbon-emissions reporting, can be found on our Corporate Responsibility website (</w:t>
      </w:r>
      <w:r>
        <w:rPr>
          <w:rFonts w:ascii="Arial" w:cs="Arial" w:eastAsia="Arial" w:hAnsi="Arial"/>
          <w:sz w:val="16"/>
          <w:szCs w:val="16"/>
          <w:color w:val="1A3FD6"/>
        </w:rPr>
        <w:t>https://www.msci.com/who-we-are/corporate-responsibility</w:t>
      </w:r>
      <w:r>
        <w:rPr>
          <w:rFonts w:ascii="Arial" w:cs="Arial" w:eastAsia="Arial" w:hAnsi="Arial"/>
          <w:sz w:val="16"/>
          <w:szCs w:val="16"/>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Responsibility Governance</w:t>
      </w:r>
    </w:p>
    <w:p>
      <w:pPr>
        <w:spacing w:after="0" w:line="1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MSCI incorporates corporate responsibility into its strategy, reflecting our belief that sustainable practices are essential to long-term growth. The Governance Committee oversees MSCI’s corporate responsibility strategy and activities and receives regular updates from management on key initiatives and developments.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MSCI’s corporate responsibility program is overseen by a dedicated governance structure. Our Corporate Responsibility Committee includes representatives from key functions across MSCI and reviews corporate responsibility activities, key reports and industry trends. The Corporate Responsibility Advisory Council consists of senior executives who lead functions that underpin our corporate responsibility strategy and provides input on significant policies, actions and disclosures to ensure alignment with MSCI’s mission and long-term strategy.</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Oversight of Corporate Responsibility</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MSCI’s EROC is also integrated into our corporate responsibility governance. The EROC oversees MSCI’s risk-management activities to ensure we have an effective process designed to identify, evaluate and manage risks that may adversely impact MSCI’s ability to achieve its operational and strategic objectives. Environmental risks, including climate-related and nature-related risks, are integrated into MSCI’s ERM reporting. The Audit Committee receives a quarterly update from the Enterprise Risk Management Officer on the work of the EROC.</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Board’s Oversight of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402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30257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02577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3051F2"/>
        </w:rPr>
        <w:t>Governance Committee</w:t>
      </w:r>
    </w:p>
    <w:p>
      <w:pPr>
        <w:spacing w:after="0" w:line="254" w:lineRule="exact"/>
        <w:rPr>
          <w:sz w:val="20"/>
          <w:szCs w:val="20"/>
          <w:color w:val="auto"/>
        </w:rPr>
      </w:pPr>
    </w:p>
    <w:p>
      <w:pPr>
        <w:ind w:left="580" w:hanging="203"/>
        <w:spacing w:after="0" w:line="260" w:lineRule="auto"/>
        <w:tabs>
          <w:tab w:leader="none" w:pos="537" w:val="left"/>
        </w:tabs>
        <w:numPr>
          <w:ilvl w:val="0"/>
          <w:numId w:val="55"/>
        </w:numPr>
        <w:rPr>
          <w:rFonts w:ascii="Arial" w:cs="Arial" w:eastAsia="Arial" w:hAnsi="Arial"/>
          <w:sz w:val="16"/>
          <w:szCs w:val="16"/>
          <w:color w:val="00A798"/>
        </w:rPr>
      </w:pPr>
      <w:r>
        <w:rPr>
          <w:rFonts w:ascii="Arial" w:cs="Arial" w:eastAsia="Arial" w:hAnsi="Arial"/>
          <w:sz w:val="13"/>
          <w:szCs w:val="13"/>
          <w:color w:val="auto"/>
        </w:rPr>
        <w:t>Chief Responsibility Officer provides quarterly updates on corporate responsibility strategy, key initiatives and developments</w:t>
      </w:r>
    </w:p>
    <w:p>
      <w:pPr>
        <w:spacing w:after="0" w:line="30" w:lineRule="exact"/>
        <w:rPr>
          <w:rFonts w:ascii="Arial" w:cs="Arial" w:eastAsia="Arial" w:hAnsi="Arial"/>
          <w:sz w:val="16"/>
          <w:szCs w:val="16"/>
          <w:color w:val="00A798"/>
        </w:rPr>
      </w:pPr>
    </w:p>
    <w:p>
      <w:pPr>
        <w:jc w:val="both"/>
        <w:ind w:left="580" w:right="360" w:hanging="203"/>
        <w:spacing w:after="0" w:line="260" w:lineRule="auto"/>
        <w:tabs>
          <w:tab w:leader="none" w:pos="537" w:val="left"/>
        </w:tabs>
        <w:numPr>
          <w:ilvl w:val="0"/>
          <w:numId w:val="55"/>
        </w:numPr>
        <w:rPr>
          <w:rFonts w:ascii="Arial" w:cs="Arial" w:eastAsia="Arial" w:hAnsi="Arial"/>
          <w:sz w:val="16"/>
          <w:szCs w:val="16"/>
          <w:color w:val="00A798"/>
        </w:rPr>
      </w:pPr>
      <w:r>
        <w:rPr>
          <w:rFonts w:ascii="Arial" w:cs="Arial" w:eastAsia="Arial" w:hAnsi="Arial"/>
          <w:sz w:val="13"/>
          <w:szCs w:val="13"/>
          <w:color w:val="auto"/>
        </w:rPr>
        <w:t>Corporate Secretary oversees annual review of charters and Board policies</w:t>
      </w:r>
    </w:p>
    <w:p>
      <w:pPr>
        <w:spacing w:after="0" w:line="30" w:lineRule="exact"/>
        <w:rPr>
          <w:rFonts w:ascii="Arial" w:cs="Arial" w:eastAsia="Arial" w:hAnsi="Arial"/>
          <w:sz w:val="16"/>
          <w:szCs w:val="16"/>
          <w:color w:val="00A798"/>
        </w:rPr>
      </w:pPr>
    </w:p>
    <w:p>
      <w:pPr>
        <w:ind w:left="580" w:right="400" w:hanging="203"/>
        <w:spacing w:after="0" w:line="261" w:lineRule="auto"/>
        <w:tabs>
          <w:tab w:leader="none" w:pos="537" w:val="left"/>
        </w:tabs>
        <w:numPr>
          <w:ilvl w:val="0"/>
          <w:numId w:val="55"/>
        </w:numPr>
        <w:rPr>
          <w:rFonts w:ascii="Arial" w:cs="Arial" w:eastAsia="Arial" w:hAnsi="Arial"/>
          <w:sz w:val="16"/>
          <w:szCs w:val="16"/>
          <w:color w:val="00A798"/>
        </w:rPr>
      </w:pPr>
      <w:r>
        <w:rPr>
          <w:rFonts w:ascii="Arial" w:cs="Arial" w:eastAsia="Arial" w:hAnsi="Arial"/>
          <w:sz w:val="13"/>
          <w:szCs w:val="13"/>
          <w:color w:val="auto"/>
        </w:rPr>
        <w:t>Head of Compliance provides annual update</w:t>
      </w:r>
    </w:p>
    <w:p>
      <w:pPr>
        <w:spacing w:after="0" w:line="28" w:lineRule="exact"/>
        <w:rPr>
          <w:rFonts w:ascii="Arial" w:cs="Arial" w:eastAsia="Arial" w:hAnsi="Arial"/>
          <w:sz w:val="16"/>
          <w:szCs w:val="16"/>
          <w:color w:val="00A798"/>
        </w:rPr>
      </w:pPr>
    </w:p>
    <w:p>
      <w:pPr>
        <w:ind w:left="580" w:right="140" w:hanging="203"/>
        <w:spacing w:after="0" w:line="261" w:lineRule="auto"/>
        <w:tabs>
          <w:tab w:leader="none" w:pos="537" w:val="left"/>
        </w:tabs>
        <w:numPr>
          <w:ilvl w:val="0"/>
          <w:numId w:val="55"/>
        </w:numPr>
        <w:rPr>
          <w:rFonts w:ascii="Arial" w:cs="Arial" w:eastAsia="Arial" w:hAnsi="Arial"/>
          <w:sz w:val="16"/>
          <w:szCs w:val="16"/>
          <w:color w:val="00A798"/>
        </w:rPr>
      </w:pPr>
      <w:r>
        <w:rPr>
          <w:rFonts w:ascii="Arial" w:cs="Arial" w:eastAsia="Arial" w:hAnsi="Arial"/>
          <w:sz w:val="13"/>
          <w:szCs w:val="13"/>
          <w:color w:val="auto"/>
        </w:rPr>
        <w:t>General Counsel oversees annual review of governance trends</w:t>
      </w:r>
    </w:p>
    <w:p>
      <w:pPr>
        <w:spacing w:after="0" w:line="28" w:lineRule="exact"/>
        <w:rPr>
          <w:rFonts w:ascii="Arial" w:cs="Arial" w:eastAsia="Arial" w:hAnsi="Arial"/>
          <w:sz w:val="16"/>
          <w:szCs w:val="16"/>
          <w:color w:val="00A798"/>
        </w:rPr>
      </w:pPr>
    </w:p>
    <w:p>
      <w:pPr>
        <w:ind w:left="580" w:right="140" w:hanging="203"/>
        <w:spacing w:after="0" w:line="256" w:lineRule="auto"/>
        <w:tabs>
          <w:tab w:leader="none" w:pos="537" w:val="left"/>
        </w:tabs>
        <w:numPr>
          <w:ilvl w:val="0"/>
          <w:numId w:val="55"/>
        </w:numPr>
        <w:rPr>
          <w:rFonts w:ascii="Arial" w:cs="Arial" w:eastAsia="Arial" w:hAnsi="Arial"/>
          <w:sz w:val="16"/>
          <w:szCs w:val="16"/>
          <w:color w:val="00A798"/>
        </w:rPr>
      </w:pPr>
      <w:r>
        <w:rPr>
          <w:rFonts w:ascii="Arial" w:cs="Arial" w:eastAsia="Arial" w:hAnsi="Arial"/>
          <w:sz w:val="13"/>
          <w:szCs w:val="13"/>
          <w:color w:val="auto"/>
        </w:rPr>
        <w:t>Governance Committee oversees shareholder engagement on corporate responsibility, including participation by independent Board members in</w:t>
      </w:r>
    </w:p>
    <w:p>
      <w:pPr>
        <w:spacing w:after="0" w:line="1" w:lineRule="exact"/>
        <w:rPr>
          <w:rFonts w:ascii="Arial" w:cs="Arial" w:eastAsia="Arial" w:hAnsi="Arial"/>
          <w:sz w:val="16"/>
          <w:szCs w:val="16"/>
          <w:color w:val="00A798"/>
        </w:rPr>
      </w:pPr>
    </w:p>
    <w:p>
      <w:pPr>
        <w:ind w:left="580"/>
        <w:spacing w:after="0"/>
        <w:rPr>
          <w:rFonts w:ascii="Arial" w:cs="Arial" w:eastAsia="Arial" w:hAnsi="Arial"/>
          <w:sz w:val="16"/>
          <w:szCs w:val="16"/>
          <w:color w:val="00A798"/>
        </w:rPr>
      </w:pPr>
      <w:r>
        <w:rPr>
          <w:rFonts w:ascii="Arial" w:cs="Arial" w:eastAsia="Arial" w:hAnsi="Arial"/>
          <w:sz w:val="13"/>
          <w:szCs w:val="13"/>
          <w:color w:val="auto"/>
        </w:rPr>
        <w:t>annual engagement</w:t>
      </w:r>
    </w:p>
    <w:p>
      <w:pPr>
        <w:spacing w:after="0" w:line="54" w:lineRule="exact"/>
        <w:rPr>
          <w:rFonts w:ascii="Arial" w:cs="Arial" w:eastAsia="Arial" w:hAnsi="Arial"/>
          <w:sz w:val="16"/>
          <w:szCs w:val="16"/>
          <w:color w:val="00A798"/>
        </w:rPr>
      </w:pPr>
    </w:p>
    <w:p>
      <w:pPr>
        <w:ind w:left="580" w:right="40" w:hanging="203"/>
        <w:spacing w:after="0" w:line="261" w:lineRule="auto"/>
        <w:tabs>
          <w:tab w:leader="none" w:pos="537" w:val="left"/>
        </w:tabs>
        <w:numPr>
          <w:ilvl w:val="0"/>
          <w:numId w:val="55"/>
        </w:numPr>
        <w:rPr>
          <w:rFonts w:ascii="Arial" w:cs="Arial" w:eastAsia="Arial" w:hAnsi="Arial"/>
          <w:sz w:val="16"/>
          <w:szCs w:val="16"/>
          <w:color w:val="00A798"/>
        </w:rPr>
      </w:pPr>
      <w:r>
        <w:rPr>
          <w:rFonts w:ascii="Arial" w:cs="Arial" w:eastAsia="Arial" w:hAnsi="Arial"/>
          <w:sz w:val="13"/>
          <w:szCs w:val="13"/>
          <w:color w:val="auto"/>
        </w:rPr>
        <w:t>Head of Corporate Affairs provides updates on public policy matters that may affect MSCI’s business or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676910</wp:posOffset>
            </wp:positionV>
            <wp:extent cx="556895"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3051F2"/>
        </w:rPr>
        <w:t>Compensation Committee</w:t>
      </w:r>
    </w:p>
    <w:p>
      <w:pPr>
        <w:spacing w:after="0" w:line="254" w:lineRule="exact"/>
        <w:rPr>
          <w:sz w:val="20"/>
          <w:szCs w:val="20"/>
          <w:color w:val="auto"/>
        </w:rPr>
      </w:pPr>
    </w:p>
    <w:p>
      <w:pPr>
        <w:ind w:left="190" w:right="40" w:hanging="190"/>
        <w:spacing w:after="0" w:line="260" w:lineRule="auto"/>
        <w:tabs>
          <w:tab w:leader="none" w:pos="147" w:val="left"/>
        </w:tabs>
        <w:numPr>
          <w:ilvl w:val="0"/>
          <w:numId w:val="56"/>
        </w:numPr>
        <w:rPr>
          <w:rFonts w:ascii="Arial" w:cs="Arial" w:eastAsia="Arial" w:hAnsi="Arial"/>
          <w:sz w:val="16"/>
          <w:szCs w:val="16"/>
          <w:color w:val="00A798"/>
        </w:rPr>
      </w:pPr>
      <w:r>
        <w:rPr>
          <w:rFonts w:ascii="Arial" w:cs="Arial" w:eastAsia="Arial" w:hAnsi="Arial"/>
          <w:sz w:val="13"/>
          <w:szCs w:val="13"/>
          <w:color w:val="auto"/>
        </w:rPr>
        <w:t>Chief Human Resources Officer and Head of Executive Talent report on senior leader succession and progression planning</w:t>
      </w:r>
    </w:p>
    <w:p>
      <w:pPr>
        <w:spacing w:after="0" w:line="30" w:lineRule="exact"/>
        <w:rPr>
          <w:rFonts w:ascii="Arial" w:cs="Arial" w:eastAsia="Arial" w:hAnsi="Arial"/>
          <w:sz w:val="16"/>
          <w:szCs w:val="16"/>
          <w:color w:val="00A798"/>
        </w:rPr>
      </w:pPr>
    </w:p>
    <w:p>
      <w:pPr>
        <w:jc w:val="both"/>
        <w:ind w:left="190" w:right="40" w:hanging="190"/>
        <w:spacing w:after="0" w:line="260" w:lineRule="auto"/>
        <w:tabs>
          <w:tab w:leader="none" w:pos="147" w:val="left"/>
        </w:tabs>
        <w:numPr>
          <w:ilvl w:val="0"/>
          <w:numId w:val="56"/>
        </w:numPr>
        <w:rPr>
          <w:rFonts w:ascii="Arial" w:cs="Arial" w:eastAsia="Arial" w:hAnsi="Arial"/>
          <w:sz w:val="16"/>
          <w:szCs w:val="16"/>
          <w:color w:val="00A798"/>
        </w:rPr>
      </w:pPr>
      <w:r>
        <w:rPr>
          <w:rFonts w:ascii="Arial" w:cs="Arial" w:eastAsia="Arial" w:hAnsi="Arial"/>
          <w:sz w:val="13"/>
          <w:szCs w:val="13"/>
          <w:color w:val="auto"/>
        </w:rPr>
        <w:t>Chief Responsibility Officer provides updates on employee engagement and culture</w:t>
      </w:r>
    </w:p>
    <w:p>
      <w:pPr>
        <w:spacing w:after="0" w:line="30" w:lineRule="exact"/>
        <w:rPr>
          <w:rFonts w:ascii="Arial" w:cs="Arial" w:eastAsia="Arial" w:hAnsi="Arial"/>
          <w:sz w:val="16"/>
          <w:szCs w:val="16"/>
          <w:color w:val="00A798"/>
        </w:rPr>
      </w:pPr>
    </w:p>
    <w:p>
      <w:pPr>
        <w:ind w:left="190" w:right="40" w:hanging="190"/>
        <w:spacing w:after="0" w:line="255" w:lineRule="auto"/>
        <w:tabs>
          <w:tab w:leader="none" w:pos="147" w:val="left"/>
        </w:tabs>
        <w:numPr>
          <w:ilvl w:val="0"/>
          <w:numId w:val="56"/>
        </w:numPr>
        <w:rPr>
          <w:rFonts w:ascii="Arial" w:cs="Arial" w:eastAsia="Arial" w:hAnsi="Arial"/>
          <w:sz w:val="16"/>
          <w:szCs w:val="16"/>
          <w:color w:val="00A798"/>
        </w:rPr>
      </w:pPr>
      <w:r>
        <w:rPr>
          <w:rFonts w:ascii="Arial" w:cs="Arial" w:eastAsia="Arial" w:hAnsi="Arial"/>
          <w:sz w:val="13"/>
          <w:szCs w:val="13"/>
          <w:color w:val="auto"/>
        </w:rPr>
        <w:t>Head of Compensation and Benefits incorporates the Compensation Committee’s recommendations into executive</w:t>
      </w:r>
    </w:p>
    <w:p>
      <w:pPr>
        <w:spacing w:after="0" w:line="1" w:lineRule="exact"/>
        <w:rPr>
          <w:rFonts w:ascii="Arial" w:cs="Arial" w:eastAsia="Arial" w:hAnsi="Arial"/>
          <w:sz w:val="16"/>
          <w:szCs w:val="16"/>
          <w:color w:val="00A798"/>
        </w:rPr>
      </w:pPr>
    </w:p>
    <w:p>
      <w:pPr>
        <w:ind w:left="190"/>
        <w:spacing w:after="0"/>
        <w:rPr>
          <w:rFonts w:ascii="Arial" w:cs="Arial" w:eastAsia="Arial" w:hAnsi="Arial"/>
          <w:sz w:val="16"/>
          <w:szCs w:val="16"/>
          <w:color w:val="00A798"/>
        </w:rPr>
      </w:pPr>
      <w:r>
        <w:rPr>
          <w:rFonts w:ascii="Arial" w:cs="Arial" w:eastAsia="Arial" w:hAnsi="Arial"/>
          <w:sz w:val="13"/>
          <w:szCs w:val="13"/>
          <w:color w:val="auto"/>
        </w:rPr>
        <w:t>compensation program</w:t>
      </w:r>
    </w:p>
    <w:p>
      <w:pPr>
        <w:spacing w:after="0" w:line="54" w:lineRule="exact"/>
        <w:rPr>
          <w:rFonts w:ascii="Arial" w:cs="Arial" w:eastAsia="Arial" w:hAnsi="Arial"/>
          <w:sz w:val="16"/>
          <w:szCs w:val="16"/>
          <w:color w:val="00A798"/>
        </w:rPr>
      </w:pPr>
    </w:p>
    <w:p>
      <w:pPr>
        <w:ind w:left="190" w:hanging="190"/>
        <w:spacing w:after="0" w:line="261" w:lineRule="auto"/>
        <w:tabs>
          <w:tab w:leader="none" w:pos="147" w:val="left"/>
        </w:tabs>
        <w:numPr>
          <w:ilvl w:val="0"/>
          <w:numId w:val="56"/>
        </w:numPr>
        <w:rPr>
          <w:rFonts w:ascii="Arial" w:cs="Arial" w:eastAsia="Arial" w:hAnsi="Arial"/>
          <w:sz w:val="16"/>
          <w:szCs w:val="16"/>
          <w:color w:val="00A798"/>
        </w:rPr>
      </w:pPr>
      <w:r>
        <w:rPr>
          <w:rFonts w:ascii="Arial" w:cs="Arial" w:eastAsia="Arial" w:hAnsi="Arial"/>
          <w:sz w:val="13"/>
          <w:szCs w:val="13"/>
          <w:color w:val="auto"/>
        </w:rPr>
        <w:t>Compensation consultant advises on risks of compensation policies and program designs, and peer and best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520" w:type="dxa"/>
            <w:vAlign w:val="bottom"/>
          </w:tcPr>
          <w:p>
            <w:pPr>
              <w:spacing w:after="0"/>
              <w:rPr>
                <w:sz w:val="20"/>
                <w:szCs w:val="20"/>
                <w:color w:val="auto"/>
              </w:rPr>
            </w:pPr>
            <w:r>
              <w:rPr>
                <w:rFonts w:ascii="Arial" w:cs="Arial" w:eastAsia="Arial" w:hAnsi="Arial"/>
                <w:sz w:val="14"/>
                <w:szCs w:val="14"/>
                <w:b w:val="1"/>
                <w:bCs w:val="1"/>
                <w:color w:val="3051F2"/>
              </w:rPr>
              <w:t>Audit Committee</w:t>
            </w:r>
          </w:p>
        </w:tc>
        <w:tc>
          <w:tcPr>
            <w:tcW w:w="2420" w:type="dxa"/>
            <w:vAlign w:val="bottom"/>
          </w:tcPr>
          <w:p>
            <w:pPr>
              <w:ind w:left="180"/>
              <w:spacing w:after="0"/>
              <w:rPr>
                <w:sz w:val="20"/>
                <w:szCs w:val="20"/>
                <w:color w:val="auto"/>
              </w:rPr>
            </w:pPr>
            <w:r>
              <w:rPr>
                <w:rFonts w:ascii="Arial" w:cs="Arial" w:eastAsia="Arial" w:hAnsi="Arial"/>
                <w:sz w:val="14"/>
                <w:szCs w:val="14"/>
                <w:b w:val="1"/>
                <w:bCs w:val="1"/>
                <w:color w:val="3051F2"/>
              </w:rPr>
              <w:t>Strategy Committee</w:t>
            </w:r>
          </w:p>
        </w:tc>
      </w:tr>
      <w:tr>
        <w:trPr>
          <w:trHeight w:val="394"/>
        </w:trPr>
        <w:tc>
          <w:tcPr>
            <w:tcW w:w="2520" w:type="dxa"/>
            <w:vAlign w:val="bottom"/>
          </w:tcPr>
          <w:p>
            <w:pPr>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3"/>
                <w:szCs w:val="13"/>
                <w:color w:val="000000"/>
              </w:rPr>
              <w:t>CFO and Global Controller report on</w:t>
            </w:r>
          </w:p>
        </w:tc>
        <w:tc>
          <w:tcPr>
            <w:tcW w:w="2420" w:type="dxa"/>
            <w:vAlign w:val="bottom"/>
          </w:tcPr>
          <w:p>
            <w:pPr>
              <w:ind w:left="180"/>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3"/>
                <w:szCs w:val="13"/>
                <w:color w:val="000000"/>
              </w:rPr>
              <w:t>Ensures that relevant opportunities</w:t>
            </w: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quarterly earnings, including review</w:t>
            </w:r>
          </w:p>
        </w:tc>
        <w:tc>
          <w:tcPr>
            <w:tcW w:w="2420" w:type="dxa"/>
            <w:vAlign w:val="bottom"/>
          </w:tcPr>
          <w:p>
            <w:pPr>
              <w:ind w:left="380"/>
              <w:spacing w:after="0"/>
              <w:rPr>
                <w:sz w:val="20"/>
                <w:szCs w:val="20"/>
                <w:color w:val="auto"/>
              </w:rPr>
            </w:pPr>
            <w:r>
              <w:rPr>
                <w:rFonts w:ascii="Arial" w:cs="Arial" w:eastAsia="Arial" w:hAnsi="Arial"/>
                <w:sz w:val="13"/>
                <w:szCs w:val="13"/>
                <w:color w:val="auto"/>
              </w:rPr>
              <w:t>and considerations are integrated</w:t>
            </w:r>
          </w:p>
        </w:tc>
      </w:tr>
      <w:tr>
        <w:trPr>
          <w:trHeight w:val="176"/>
        </w:trPr>
        <w:tc>
          <w:tcPr>
            <w:tcW w:w="2520" w:type="dxa"/>
            <w:vAlign w:val="bottom"/>
          </w:tcPr>
          <w:p>
            <w:pPr>
              <w:ind w:left="200"/>
              <w:spacing w:after="0"/>
              <w:rPr>
                <w:sz w:val="20"/>
                <w:szCs w:val="20"/>
                <w:color w:val="auto"/>
              </w:rPr>
            </w:pPr>
            <w:r>
              <w:rPr>
                <w:rFonts w:ascii="Arial" w:cs="Arial" w:eastAsia="Arial" w:hAnsi="Arial"/>
                <w:sz w:val="13"/>
                <w:szCs w:val="13"/>
                <w:color w:val="auto"/>
              </w:rPr>
              <w:t>process and key issues</w:t>
            </w:r>
          </w:p>
        </w:tc>
        <w:tc>
          <w:tcPr>
            <w:tcW w:w="2420" w:type="dxa"/>
            <w:vAlign w:val="bottom"/>
          </w:tcPr>
          <w:p>
            <w:pPr>
              <w:ind w:left="380"/>
              <w:spacing w:after="0"/>
              <w:rPr>
                <w:sz w:val="20"/>
                <w:szCs w:val="20"/>
                <w:color w:val="auto"/>
              </w:rPr>
            </w:pPr>
            <w:r>
              <w:rPr>
                <w:rFonts w:ascii="Arial" w:cs="Arial" w:eastAsia="Arial" w:hAnsi="Arial"/>
                <w:sz w:val="13"/>
                <w:szCs w:val="13"/>
                <w:color w:val="auto"/>
              </w:rPr>
              <w:t>into our business strategy</w:t>
            </w:r>
          </w:p>
        </w:tc>
      </w:tr>
      <w:tr>
        <w:trPr>
          <w:trHeight w:val="215"/>
        </w:trPr>
        <w:tc>
          <w:tcPr>
            <w:tcW w:w="2520" w:type="dxa"/>
            <w:vAlign w:val="bottom"/>
          </w:tcPr>
          <w:p>
            <w:pPr>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3"/>
                <w:szCs w:val="13"/>
                <w:color w:val="000000"/>
              </w:rPr>
              <w:t>Independent auditor oversees</w:t>
            </w:r>
          </w:p>
        </w:tc>
        <w:tc>
          <w:tcPr>
            <w:tcW w:w="2420" w:type="dxa"/>
            <w:vAlign w:val="bottom"/>
          </w:tcPr>
          <w:p>
            <w:pPr>
              <w:ind w:left="180"/>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3"/>
                <w:szCs w:val="13"/>
                <w:color w:val="000000"/>
              </w:rPr>
              <w:t>Advises on key partnership and</w:t>
            </w: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integrity in financial reporting</w:t>
            </w:r>
          </w:p>
        </w:tc>
        <w:tc>
          <w:tcPr>
            <w:tcW w:w="2420" w:type="dxa"/>
            <w:vAlign w:val="bottom"/>
          </w:tcPr>
          <w:p>
            <w:pPr>
              <w:ind w:left="380"/>
              <w:spacing w:after="0"/>
              <w:rPr>
                <w:sz w:val="20"/>
                <w:szCs w:val="20"/>
                <w:color w:val="auto"/>
              </w:rPr>
            </w:pPr>
            <w:r>
              <w:rPr>
                <w:rFonts w:ascii="Arial" w:cs="Arial" w:eastAsia="Arial" w:hAnsi="Arial"/>
                <w:sz w:val="13"/>
                <w:szCs w:val="13"/>
                <w:color w:val="auto"/>
              </w:rPr>
              <w:t>acquisition opportunities that</w:t>
            </w:r>
          </w:p>
        </w:tc>
      </w:tr>
      <w:tr>
        <w:trPr>
          <w:trHeight w:val="229"/>
        </w:trPr>
        <w:tc>
          <w:tcPr>
            <w:tcW w:w="2520" w:type="dxa"/>
            <w:vAlign w:val="bottom"/>
          </w:tcPr>
          <w:p>
            <w:pPr>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3"/>
                <w:szCs w:val="13"/>
                <w:color w:val="000000"/>
              </w:rPr>
              <w:t>Head of Internal Audit reports to</w:t>
            </w:r>
          </w:p>
        </w:tc>
        <w:tc>
          <w:tcPr>
            <w:tcW w:w="2420" w:type="dxa"/>
            <w:vAlign w:val="bottom"/>
          </w:tcPr>
          <w:p>
            <w:pPr>
              <w:ind w:left="380"/>
              <w:spacing w:after="0"/>
              <w:rPr>
                <w:sz w:val="20"/>
                <w:szCs w:val="20"/>
                <w:color w:val="auto"/>
              </w:rPr>
            </w:pPr>
            <w:r>
              <w:rPr>
                <w:rFonts w:ascii="Arial" w:cs="Arial" w:eastAsia="Arial" w:hAnsi="Arial"/>
                <w:sz w:val="13"/>
                <w:szCs w:val="13"/>
                <w:color w:val="auto"/>
              </w:rPr>
              <w:t>support strategic priorities</w:t>
            </w: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Audit Committee and provides</w:t>
            </w:r>
          </w:p>
        </w:tc>
        <w:tc>
          <w:tcPr>
            <w:tcW w:w="2420" w:type="dxa"/>
            <w:vAlign w:val="bottom"/>
          </w:tcPr>
          <w:p>
            <w:pPr>
              <w:spacing w:after="0"/>
              <w:rPr>
                <w:sz w:val="14"/>
                <w:szCs w:val="14"/>
                <w:color w:val="auto"/>
              </w:rPr>
            </w:pP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quarterly updates on relevant audit</w:t>
            </w:r>
          </w:p>
        </w:tc>
        <w:tc>
          <w:tcPr>
            <w:tcW w:w="2420" w:type="dxa"/>
            <w:vAlign w:val="bottom"/>
          </w:tcPr>
          <w:p>
            <w:pPr>
              <w:spacing w:after="0"/>
              <w:rPr>
                <w:sz w:val="14"/>
                <w:szCs w:val="14"/>
                <w:color w:val="auto"/>
              </w:rPr>
            </w:pPr>
          </w:p>
        </w:tc>
      </w:tr>
      <w:tr>
        <w:trPr>
          <w:trHeight w:val="176"/>
        </w:trPr>
        <w:tc>
          <w:tcPr>
            <w:tcW w:w="2520" w:type="dxa"/>
            <w:vAlign w:val="bottom"/>
          </w:tcPr>
          <w:p>
            <w:pPr>
              <w:ind w:left="200"/>
              <w:spacing w:after="0"/>
              <w:rPr>
                <w:sz w:val="20"/>
                <w:szCs w:val="20"/>
                <w:color w:val="auto"/>
              </w:rPr>
            </w:pPr>
            <w:r>
              <w:rPr>
                <w:rFonts w:ascii="Arial" w:cs="Arial" w:eastAsia="Arial" w:hAnsi="Arial"/>
                <w:sz w:val="13"/>
                <w:szCs w:val="13"/>
                <w:color w:val="auto"/>
              </w:rPr>
              <w:t>activities, findings and assurance</w:t>
            </w:r>
          </w:p>
        </w:tc>
        <w:tc>
          <w:tcPr>
            <w:tcW w:w="2420" w:type="dxa"/>
            <w:vAlign w:val="bottom"/>
          </w:tcPr>
          <w:p>
            <w:pPr>
              <w:spacing w:after="0"/>
              <w:rPr>
                <w:sz w:val="15"/>
                <w:szCs w:val="15"/>
                <w:color w:val="auto"/>
              </w:rPr>
            </w:pPr>
          </w:p>
        </w:tc>
      </w:tr>
    </w:tbl>
    <w:p>
      <w:pPr>
        <w:spacing w:after="0" w:line="40" w:lineRule="exact"/>
        <w:rPr>
          <w:sz w:val="20"/>
          <w:szCs w:val="20"/>
          <w:color w:val="auto"/>
        </w:rPr>
      </w:pPr>
    </w:p>
    <w:p>
      <w:pPr>
        <w:jc w:val="both"/>
        <w:ind w:left="200" w:right="3080" w:hanging="197"/>
        <w:spacing w:after="0" w:line="261" w:lineRule="auto"/>
        <w:tabs>
          <w:tab w:leader="none" w:pos="157" w:val="left"/>
        </w:tabs>
        <w:numPr>
          <w:ilvl w:val="0"/>
          <w:numId w:val="57"/>
        </w:numPr>
        <w:rPr>
          <w:rFonts w:ascii="Arial" w:cs="Arial" w:eastAsia="Arial" w:hAnsi="Arial"/>
          <w:sz w:val="16"/>
          <w:szCs w:val="16"/>
          <w:color w:val="00A798"/>
        </w:rPr>
      </w:pPr>
      <w:r>
        <w:rPr>
          <w:rFonts w:ascii="Arial" w:cs="Arial" w:eastAsia="Arial" w:hAnsi="Arial"/>
          <w:sz w:val="13"/>
          <w:szCs w:val="13"/>
          <w:color w:val="auto"/>
        </w:rPr>
        <w:t>Enterprise Risk Management Officer and CISO provide quarterly updates</w:t>
      </w:r>
    </w:p>
    <w:p>
      <w:pPr>
        <w:spacing w:after="0" w:line="28" w:lineRule="exact"/>
        <w:rPr>
          <w:rFonts w:ascii="Arial" w:cs="Arial" w:eastAsia="Arial" w:hAnsi="Arial"/>
          <w:sz w:val="16"/>
          <w:szCs w:val="16"/>
          <w:color w:val="00A798"/>
        </w:rPr>
      </w:pPr>
    </w:p>
    <w:p>
      <w:pPr>
        <w:ind w:left="200" w:right="3160" w:hanging="197"/>
        <w:spacing w:after="0" w:line="260" w:lineRule="auto"/>
        <w:tabs>
          <w:tab w:leader="none" w:pos="157" w:val="left"/>
        </w:tabs>
        <w:numPr>
          <w:ilvl w:val="0"/>
          <w:numId w:val="57"/>
        </w:numPr>
        <w:rPr>
          <w:rFonts w:ascii="Arial" w:cs="Arial" w:eastAsia="Arial" w:hAnsi="Arial"/>
          <w:sz w:val="16"/>
          <w:szCs w:val="16"/>
          <w:color w:val="00A798"/>
        </w:rPr>
      </w:pPr>
      <w:r>
        <w:rPr>
          <w:rFonts w:ascii="Arial" w:cs="Arial" w:eastAsia="Arial" w:hAnsi="Arial"/>
          <w:sz w:val="13"/>
          <w:szCs w:val="13"/>
          <w:color w:val="auto"/>
        </w:rPr>
        <w:t>General Counsel provides quarterly updates on legal and regulatory risks and issues</w:t>
      </w:r>
    </w:p>
    <w:p>
      <w:pPr>
        <w:spacing w:after="0" w:line="30" w:lineRule="exact"/>
        <w:rPr>
          <w:rFonts w:ascii="Arial" w:cs="Arial" w:eastAsia="Arial" w:hAnsi="Arial"/>
          <w:sz w:val="16"/>
          <w:szCs w:val="16"/>
          <w:color w:val="00A798"/>
        </w:rPr>
      </w:pPr>
    </w:p>
    <w:p>
      <w:pPr>
        <w:ind w:left="200" w:right="3160" w:hanging="197"/>
        <w:spacing w:after="0" w:line="269" w:lineRule="auto"/>
        <w:tabs>
          <w:tab w:leader="none" w:pos="157" w:val="left"/>
        </w:tabs>
        <w:numPr>
          <w:ilvl w:val="0"/>
          <w:numId w:val="57"/>
        </w:numPr>
        <w:rPr>
          <w:rFonts w:ascii="Arial" w:cs="Arial" w:eastAsia="Arial" w:hAnsi="Arial"/>
          <w:sz w:val="16"/>
          <w:szCs w:val="16"/>
          <w:color w:val="00A798"/>
        </w:rPr>
      </w:pPr>
      <w:r>
        <w:rPr>
          <w:rFonts w:ascii="Arial" w:cs="Arial" w:eastAsia="Arial" w:hAnsi="Arial"/>
          <w:sz w:val="13"/>
          <w:szCs w:val="13"/>
          <w:color w:val="auto"/>
        </w:rPr>
        <w:t>Global Controller provides quarterly updates on Disclosure Committee</w:t>
      </w:r>
    </w:p>
    <w:p>
      <w:pPr>
        <w:spacing w:after="0" w:line="1000" w:lineRule="exact"/>
        <w:rPr>
          <w:sz w:val="20"/>
          <w:szCs w:val="20"/>
          <w:color w:val="auto"/>
        </w:rPr>
      </w:pPr>
    </w:p>
    <w:p>
      <w:pPr>
        <w:sectPr>
          <w:pgSz w:w="11900" w:h="16838" w:orient="portrait"/>
          <w:cols w:equalWidth="0" w:num="3">
            <w:col w:w="2700" w:space="350"/>
            <w:col w:w="2350" w:space="360"/>
            <w:col w:w="544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Workforce and Talent Management</w:t>
      </w:r>
    </w:p>
    <w:p>
      <w:pPr>
        <w:spacing w:after="0" w:line="18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MSCI is committed to creating a performance culture and meritocracy with a high degree of employee engagement. Our talent and leadership development programs are designed to identify and develop the people and skills necessary to deliver on MSCI’s strategy. In 2025, the Company undertook organizational enhancements to improve management spans, reporting layers and accountability across the organization. The Compensation Committee has oversight over talent management matters, including efforts relating to succession planning, career progression, retention strategies, learning and leadership development. In addition, the Compensation Committee oversees efforts relating to our corporate culture, such as our employee engagement and inclusion strategies, and management reports regularly to the Compensation Committee on such matters. We also regularly engage with our shareholders on our human capital management strategies.</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Workforce and Talent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54305" cy="22371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 cy="223710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0" w:type="dxa"/>
            <w:vAlign w:val="bottom"/>
            <w:shd w:val="clear" w:color="auto" w:fill="F5F5F5"/>
          </w:tcPr>
          <w:p>
            <w:pPr>
              <w:spacing w:after="0"/>
              <w:rPr>
                <w:sz w:val="12"/>
                <w:szCs w:val="12"/>
                <w:color w:val="auto"/>
              </w:rPr>
            </w:pPr>
          </w:p>
        </w:tc>
        <w:tc>
          <w:tcPr>
            <w:tcW w:w="240" w:type="dxa"/>
            <w:vAlign w:val="bottom"/>
            <w:shd w:val="clear" w:color="auto" w:fill="F5F5F5"/>
          </w:tcPr>
          <w:p>
            <w:pPr>
              <w:spacing w:after="0"/>
              <w:rPr>
                <w:sz w:val="12"/>
                <w:szCs w:val="12"/>
                <w:color w:val="auto"/>
              </w:rPr>
            </w:pPr>
          </w:p>
        </w:tc>
        <w:tc>
          <w:tcPr>
            <w:tcW w:w="5000" w:type="dxa"/>
            <w:vAlign w:val="bottom"/>
            <w:vMerge w:val="restart"/>
            <w:shd w:val="clear" w:color="auto" w:fill="F5F5F5"/>
          </w:tcPr>
          <w:p>
            <w:pPr>
              <w:ind w:left="20"/>
              <w:spacing w:after="0"/>
              <w:rPr>
                <w:sz w:val="20"/>
                <w:szCs w:val="20"/>
                <w:color w:val="auto"/>
              </w:rPr>
            </w:pPr>
            <w:r>
              <w:rPr>
                <w:rFonts w:ascii="Arial" w:cs="Arial" w:eastAsia="Arial" w:hAnsi="Arial"/>
                <w:sz w:val="18"/>
                <w:szCs w:val="18"/>
                <w:b w:val="1"/>
                <w:bCs w:val="1"/>
                <w:color w:val="auto"/>
              </w:rPr>
              <w:t>Learning and Development</w:t>
            </w:r>
          </w:p>
        </w:tc>
        <w:tc>
          <w:tcPr>
            <w:tcW w:w="440" w:type="dxa"/>
            <w:vAlign w:val="bottom"/>
            <w:shd w:val="clear" w:color="auto" w:fill="F5F5F5"/>
          </w:tcPr>
          <w:p>
            <w:pPr>
              <w:spacing w:after="0"/>
              <w:rPr>
                <w:sz w:val="12"/>
                <w:szCs w:val="12"/>
                <w:color w:val="auto"/>
              </w:rPr>
            </w:pPr>
          </w:p>
        </w:tc>
        <w:tc>
          <w:tcPr>
            <w:tcW w:w="5280" w:type="dxa"/>
            <w:vAlign w:val="bottom"/>
            <w:gridSpan w:val="2"/>
            <w:vMerge w:val="restart"/>
            <w:shd w:val="clear" w:color="auto" w:fill="F5F5F5"/>
          </w:tcPr>
          <w:p>
            <w:pPr>
              <w:ind w:left="20"/>
              <w:spacing w:after="0"/>
              <w:rPr>
                <w:sz w:val="20"/>
                <w:szCs w:val="20"/>
                <w:color w:val="auto"/>
              </w:rPr>
            </w:pPr>
            <w:r>
              <w:rPr>
                <w:rFonts w:ascii="Arial" w:cs="Arial" w:eastAsia="Arial" w:hAnsi="Arial"/>
                <w:sz w:val="18"/>
                <w:szCs w:val="18"/>
                <w:b w:val="1"/>
                <w:bCs w:val="1"/>
                <w:color w:val="auto"/>
              </w:rPr>
              <w:t>Employee Wellbeing</w:t>
            </w:r>
          </w:p>
        </w:tc>
        <w:tc>
          <w:tcPr>
            <w:tcW w:w="0" w:type="dxa"/>
            <w:vAlign w:val="bottom"/>
          </w:tcPr>
          <w:p>
            <w:pPr>
              <w:spacing w:after="0"/>
              <w:rPr>
                <w:sz w:val="1"/>
                <w:szCs w:val="1"/>
                <w:color w:val="auto"/>
              </w:rPr>
            </w:pPr>
          </w:p>
        </w:tc>
      </w:tr>
      <w:tr>
        <w:trPr>
          <w:trHeight w:val="268"/>
        </w:trPr>
        <w:tc>
          <w:tcPr>
            <w:tcW w:w="260" w:type="dxa"/>
            <w:vAlign w:val="bottom"/>
          </w:tcPr>
          <w:p>
            <w:pPr>
              <w:spacing w:after="0"/>
              <w:rPr>
                <w:sz w:val="23"/>
                <w:szCs w:val="23"/>
                <w:color w:val="auto"/>
              </w:rPr>
            </w:pPr>
          </w:p>
        </w:tc>
        <w:tc>
          <w:tcPr>
            <w:tcW w:w="240" w:type="dxa"/>
            <w:vAlign w:val="bottom"/>
            <w:shd w:val="clear" w:color="auto" w:fill="F5F5F5"/>
          </w:tcPr>
          <w:p>
            <w:pPr>
              <w:spacing w:after="0"/>
              <w:rPr>
                <w:sz w:val="23"/>
                <w:szCs w:val="23"/>
                <w:color w:val="auto"/>
              </w:rPr>
            </w:pPr>
          </w:p>
        </w:tc>
        <w:tc>
          <w:tcPr>
            <w:tcW w:w="5000" w:type="dxa"/>
            <w:vAlign w:val="bottom"/>
            <w:vMerge w:val="continue"/>
            <w:shd w:val="clear" w:color="auto" w:fill="F5F5F5"/>
          </w:tcPr>
          <w:p>
            <w:pPr>
              <w:spacing w:after="0"/>
              <w:rPr>
                <w:sz w:val="23"/>
                <w:szCs w:val="23"/>
                <w:color w:val="auto"/>
              </w:rPr>
            </w:pPr>
          </w:p>
        </w:tc>
        <w:tc>
          <w:tcPr>
            <w:tcW w:w="440" w:type="dxa"/>
            <w:vAlign w:val="bottom"/>
            <w:shd w:val="clear" w:color="auto" w:fill="F5F5F5"/>
          </w:tcPr>
          <w:p>
            <w:pPr>
              <w:spacing w:after="0"/>
              <w:rPr>
                <w:sz w:val="23"/>
                <w:szCs w:val="23"/>
                <w:color w:val="auto"/>
              </w:rPr>
            </w:pPr>
          </w:p>
        </w:tc>
        <w:tc>
          <w:tcPr>
            <w:tcW w:w="5280" w:type="dxa"/>
            <w:vAlign w:val="bottom"/>
            <w:gridSpan w:val="2"/>
            <w:vMerge w:val="continue"/>
            <w:shd w:val="clear" w:color="auto" w:fill="F5F5F5"/>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40" w:type="dxa"/>
            <w:vAlign w:val="bottom"/>
            <w:shd w:val="clear" w:color="auto" w:fill="F5F5F5"/>
          </w:tcPr>
          <w:p>
            <w:pPr>
              <w:spacing w:after="0"/>
              <w:rPr>
                <w:sz w:val="21"/>
                <w:szCs w:val="21"/>
                <w:color w:val="auto"/>
              </w:rPr>
            </w:pPr>
          </w:p>
        </w:tc>
        <w:tc>
          <w:tcPr>
            <w:tcW w:w="5000" w:type="dxa"/>
            <w:vAlign w:val="bottom"/>
            <w:shd w:val="clear" w:color="auto" w:fill="F5F5F5"/>
          </w:tcPr>
          <w:p>
            <w:pPr>
              <w:ind w:left="20"/>
              <w:spacing w:after="0"/>
              <w:rPr>
                <w:sz w:val="20"/>
                <w:szCs w:val="20"/>
                <w:color w:val="auto"/>
              </w:rPr>
            </w:pPr>
            <w:r>
              <w:rPr>
                <w:rFonts w:ascii="Arial" w:cs="Arial" w:eastAsia="Arial" w:hAnsi="Arial"/>
                <w:sz w:val="16"/>
                <w:szCs w:val="16"/>
                <w:color w:val="auto"/>
              </w:rPr>
              <w:t>We offer a variety of learning and development opportunities to help</w:t>
            </w:r>
          </w:p>
        </w:tc>
        <w:tc>
          <w:tcPr>
            <w:tcW w:w="440" w:type="dxa"/>
            <w:vAlign w:val="bottom"/>
            <w:shd w:val="clear" w:color="auto" w:fill="F5F5F5"/>
          </w:tcPr>
          <w:p>
            <w:pPr>
              <w:spacing w:after="0"/>
              <w:rPr>
                <w:sz w:val="21"/>
                <w:szCs w:val="21"/>
                <w:color w:val="auto"/>
              </w:rPr>
            </w:pPr>
          </w:p>
        </w:tc>
        <w:tc>
          <w:tcPr>
            <w:tcW w:w="5280" w:type="dxa"/>
            <w:vAlign w:val="bottom"/>
            <w:gridSpan w:val="2"/>
            <w:shd w:val="clear" w:color="auto" w:fill="F5F5F5"/>
          </w:tcPr>
          <w:p>
            <w:pPr>
              <w:ind w:left="20"/>
              <w:spacing w:after="0"/>
              <w:rPr>
                <w:sz w:val="20"/>
                <w:szCs w:val="20"/>
                <w:color w:val="auto"/>
              </w:rPr>
            </w:pPr>
            <w:r>
              <w:rPr>
                <w:rFonts w:ascii="Arial" w:cs="Arial" w:eastAsia="Arial" w:hAnsi="Arial"/>
                <w:sz w:val="16"/>
                <w:szCs w:val="16"/>
                <w:color w:val="auto"/>
              </w:rPr>
              <w:t>We are committed to providing a safe workplace, and the well-being</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240" w:type="dxa"/>
            <w:vAlign w:val="bottom"/>
            <w:shd w:val="clear" w:color="auto" w:fill="F5F5F5"/>
          </w:tcPr>
          <w:p>
            <w:pPr>
              <w:spacing w:after="0"/>
              <w:rPr>
                <w:sz w:val="17"/>
                <w:szCs w:val="17"/>
                <w:color w:val="auto"/>
              </w:rPr>
            </w:pPr>
          </w:p>
        </w:tc>
        <w:tc>
          <w:tcPr>
            <w:tcW w:w="5000" w:type="dxa"/>
            <w:vAlign w:val="bottom"/>
            <w:shd w:val="clear" w:color="auto" w:fill="F5F5F5"/>
          </w:tcPr>
          <w:p>
            <w:pPr>
              <w:ind w:left="20"/>
              <w:spacing w:after="0"/>
              <w:rPr>
                <w:sz w:val="20"/>
                <w:szCs w:val="20"/>
                <w:color w:val="auto"/>
              </w:rPr>
            </w:pPr>
            <w:r>
              <w:rPr>
                <w:rFonts w:ascii="Arial" w:cs="Arial" w:eastAsia="Arial" w:hAnsi="Arial"/>
                <w:sz w:val="16"/>
                <w:szCs w:val="16"/>
                <w:color w:val="auto"/>
              </w:rPr>
              <w:t>employees grow their skills, receive feedback and coaching, deliver</w:t>
            </w:r>
          </w:p>
        </w:tc>
        <w:tc>
          <w:tcPr>
            <w:tcW w:w="440" w:type="dxa"/>
            <w:vAlign w:val="bottom"/>
            <w:shd w:val="clear" w:color="auto" w:fill="F5F5F5"/>
          </w:tcPr>
          <w:p>
            <w:pPr>
              <w:spacing w:after="0"/>
              <w:rPr>
                <w:sz w:val="17"/>
                <w:szCs w:val="17"/>
                <w:color w:val="auto"/>
              </w:rPr>
            </w:pPr>
          </w:p>
        </w:tc>
        <w:tc>
          <w:tcPr>
            <w:tcW w:w="5280" w:type="dxa"/>
            <w:vAlign w:val="bottom"/>
            <w:gridSpan w:val="2"/>
            <w:shd w:val="clear" w:color="auto" w:fill="F5F5F5"/>
          </w:tcPr>
          <w:p>
            <w:pPr>
              <w:ind w:left="20"/>
              <w:spacing w:after="0"/>
              <w:rPr>
                <w:sz w:val="20"/>
                <w:szCs w:val="20"/>
                <w:color w:val="auto"/>
              </w:rPr>
            </w:pPr>
            <w:r>
              <w:rPr>
                <w:rFonts w:ascii="Arial" w:cs="Arial" w:eastAsia="Arial" w:hAnsi="Arial"/>
                <w:sz w:val="16"/>
                <w:szCs w:val="16"/>
                <w:color w:val="auto"/>
              </w:rPr>
              <w:t>of our employees is one of our highest priorities. We have relevant</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240" w:type="dxa"/>
            <w:vAlign w:val="bottom"/>
            <w:shd w:val="clear" w:color="auto" w:fill="F5F5F5"/>
          </w:tcPr>
          <w:p>
            <w:pPr>
              <w:spacing w:after="0"/>
              <w:rPr>
                <w:sz w:val="18"/>
                <w:szCs w:val="18"/>
                <w:color w:val="auto"/>
              </w:rPr>
            </w:pPr>
          </w:p>
        </w:tc>
        <w:tc>
          <w:tcPr>
            <w:tcW w:w="5000" w:type="dxa"/>
            <w:vAlign w:val="bottom"/>
            <w:shd w:val="clear" w:color="auto" w:fill="F5F5F5"/>
          </w:tcPr>
          <w:p>
            <w:pPr>
              <w:ind w:left="20"/>
              <w:spacing w:after="0"/>
              <w:rPr>
                <w:sz w:val="20"/>
                <w:szCs w:val="20"/>
                <w:color w:val="auto"/>
              </w:rPr>
            </w:pPr>
            <w:r>
              <w:rPr>
                <w:rFonts w:ascii="Arial" w:cs="Arial" w:eastAsia="Arial" w:hAnsi="Arial"/>
                <w:sz w:val="16"/>
                <w:szCs w:val="16"/>
                <w:color w:val="auto"/>
              </w:rPr>
              <w:t>on their goals, and plan their careers. In 2025, participants in our</w:t>
            </w:r>
          </w:p>
        </w:tc>
        <w:tc>
          <w:tcPr>
            <w:tcW w:w="440" w:type="dxa"/>
            <w:vAlign w:val="bottom"/>
            <w:shd w:val="clear" w:color="auto" w:fill="F5F5F5"/>
          </w:tcPr>
          <w:p>
            <w:pPr>
              <w:spacing w:after="0"/>
              <w:rPr>
                <w:sz w:val="18"/>
                <w:szCs w:val="18"/>
                <w:color w:val="auto"/>
              </w:rPr>
            </w:pPr>
          </w:p>
        </w:tc>
        <w:tc>
          <w:tcPr>
            <w:tcW w:w="5280" w:type="dxa"/>
            <w:vAlign w:val="bottom"/>
            <w:gridSpan w:val="2"/>
            <w:shd w:val="clear" w:color="auto" w:fill="F5F5F5"/>
          </w:tcPr>
          <w:p>
            <w:pPr>
              <w:ind w:left="20"/>
              <w:spacing w:after="0"/>
              <w:rPr>
                <w:sz w:val="20"/>
                <w:szCs w:val="20"/>
                <w:color w:val="auto"/>
              </w:rPr>
            </w:pPr>
            <w:r>
              <w:rPr>
                <w:rFonts w:ascii="Arial" w:cs="Arial" w:eastAsia="Arial" w:hAnsi="Arial"/>
                <w:sz w:val="16"/>
                <w:szCs w:val="16"/>
                <w:color w:val="auto"/>
              </w:rPr>
              <w:t>health and safety policies and procedures and are committed to</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0" w:type="dxa"/>
            <w:vAlign w:val="bottom"/>
            <w:shd w:val="clear" w:color="auto" w:fill="F5F5F5"/>
          </w:tcPr>
          <w:p>
            <w:pPr>
              <w:spacing w:after="0"/>
              <w:rPr>
                <w:sz w:val="18"/>
                <w:szCs w:val="18"/>
                <w:color w:val="auto"/>
              </w:rPr>
            </w:pPr>
          </w:p>
        </w:tc>
        <w:tc>
          <w:tcPr>
            <w:tcW w:w="5000" w:type="dxa"/>
            <w:vAlign w:val="bottom"/>
            <w:shd w:val="clear" w:color="auto" w:fill="F5F5F5"/>
          </w:tcPr>
          <w:p>
            <w:pPr>
              <w:ind w:left="20"/>
              <w:spacing w:after="0"/>
              <w:rPr>
                <w:sz w:val="20"/>
                <w:szCs w:val="20"/>
                <w:color w:val="auto"/>
              </w:rPr>
            </w:pPr>
            <w:r>
              <w:rPr>
                <w:rFonts w:ascii="Arial" w:cs="Arial" w:eastAsia="Arial" w:hAnsi="Arial"/>
                <w:sz w:val="16"/>
                <w:szCs w:val="16"/>
                <w:color w:val="auto"/>
              </w:rPr>
              <w:t>Learning@MSCI platform spent an average of approximately nine</w:t>
            </w:r>
          </w:p>
        </w:tc>
        <w:tc>
          <w:tcPr>
            <w:tcW w:w="440" w:type="dxa"/>
            <w:vAlign w:val="bottom"/>
            <w:shd w:val="clear" w:color="auto" w:fill="F5F5F5"/>
          </w:tcPr>
          <w:p>
            <w:pPr>
              <w:spacing w:after="0"/>
              <w:rPr>
                <w:sz w:val="18"/>
                <w:szCs w:val="18"/>
                <w:color w:val="auto"/>
              </w:rPr>
            </w:pPr>
          </w:p>
        </w:tc>
        <w:tc>
          <w:tcPr>
            <w:tcW w:w="5280" w:type="dxa"/>
            <w:vAlign w:val="bottom"/>
            <w:gridSpan w:val="2"/>
            <w:shd w:val="clear" w:color="auto" w:fill="F5F5F5"/>
          </w:tcPr>
          <w:p>
            <w:pPr>
              <w:ind w:left="20"/>
              <w:spacing w:after="0"/>
              <w:rPr>
                <w:sz w:val="20"/>
                <w:szCs w:val="20"/>
                <w:color w:val="auto"/>
              </w:rPr>
            </w:pPr>
            <w:r>
              <w:rPr>
                <w:rFonts w:ascii="Arial" w:cs="Arial" w:eastAsia="Arial" w:hAnsi="Arial"/>
                <w:sz w:val="16"/>
                <w:szCs w:val="16"/>
                <w:color w:val="auto"/>
              </w:rPr>
              <w:t>complying with all applicable laws and regulations relating to</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40" w:type="dxa"/>
            <w:vAlign w:val="bottom"/>
            <w:shd w:val="clear" w:color="auto" w:fill="F5F5F5"/>
          </w:tcPr>
          <w:p>
            <w:pPr>
              <w:spacing w:after="0"/>
              <w:rPr>
                <w:sz w:val="18"/>
                <w:szCs w:val="18"/>
                <w:color w:val="auto"/>
              </w:rPr>
            </w:pPr>
          </w:p>
        </w:tc>
        <w:tc>
          <w:tcPr>
            <w:tcW w:w="5000" w:type="dxa"/>
            <w:vAlign w:val="bottom"/>
            <w:shd w:val="clear" w:color="auto" w:fill="F5F5F5"/>
          </w:tcPr>
          <w:p>
            <w:pPr>
              <w:ind w:left="20"/>
              <w:spacing w:after="0"/>
              <w:rPr>
                <w:sz w:val="20"/>
                <w:szCs w:val="20"/>
                <w:color w:val="auto"/>
              </w:rPr>
            </w:pPr>
            <w:r>
              <w:rPr>
                <w:rFonts w:ascii="Arial" w:cs="Arial" w:eastAsia="Arial" w:hAnsi="Arial"/>
                <w:sz w:val="16"/>
                <w:szCs w:val="16"/>
                <w:color w:val="auto"/>
              </w:rPr>
              <w:t>hours each on MSCI-provided classroom and self-paced learning.</w:t>
            </w:r>
          </w:p>
        </w:tc>
        <w:tc>
          <w:tcPr>
            <w:tcW w:w="440" w:type="dxa"/>
            <w:vAlign w:val="bottom"/>
            <w:shd w:val="clear" w:color="auto" w:fill="F5F5F5"/>
          </w:tcPr>
          <w:p>
            <w:pPr>
              <w:spacing w:after="0"/>
              <w:rPr>
                <w:sz w:val="18"/>
                <w:szCs w:val="18"/>
                <w:color w:val="auto"/>
              </w:rPr>
            </w:pPr>
          </w:p>
        </w:tc>
        <w:tc>
          <w:tcPr>
            <w:tcW w:w="5280" w:type="dxa"/>
            <w:vAlign w:val="bottom"/>
            <w:gridSpan w:val="2"/>
            <w:shd w:val="clear" w:color="auto" w:fill="F5F5F5"/>
          </w:tcPr>
          <w:p>
            <w:pPr>
              <w:ind w:left="20"/>
              <w:spacing w:after="0"/>
              <w:rPr>
                <w:sz w:val="20"/>
                <w:szCs w:val="20"/>
                <w:color w:val="auto"/>
              </w:rPr>
            </w:pPr>
            <w:r>
              <w:rPr>
                <w:rFonts w:ascii="Arial" w:cs="Arial" w:eastAsia="Arial" w:hAnsi="Arial"/>
                <w:sz w:val="16"/>
                <w:szCs w:val="16"/>
                <w:color w:val="auto"/>
              </w:rPr>
              <w:t>workplace safety.</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240" w:type="dxa"/>
            <w:vAlign w:val="bottom"/>
            <w:shd w:val="clear" w:color="auto" w:fill="F5F5F5"/>
          </w:tcPr>
          <w:p>
            <w:pPr>
              <w:spacing w:after="0"/>
              <w:rPr>
                <w:sz w:val="15"/>
                <w:szCs w:val="15"/>
                <w:color w:val="auto"/>
              </w:rPr>
            </w:pPr>
          </w:p>
        </w:tc>
        <w:tc>
          <w:tcPr>
            <w:tcW w:w="5000" w:type="dxa"/>
            <w:vAlign w:val="bottom"/>
            <w:shd w:val="clear" w:color="auto" w:fill="F5F5F5"/>
          </w:tcPr>
          <w:p>
            <w:pPr>
              <w:spacing w:after="0"/>
              <w:rPr>
                <w:sz w:val="15"/>
                <w:szCs w:val="15"/>
                <w:color w:val="auto"/>
              </w:rPr>
            </w:pPr>
          </w:p>
        </w:tc>
        <w:tc>
          <w:tcPr>
            <w:tcW w:w="440" w:type="dxa"/>
            <w:vAlign w:val="bottom"/>
            <w:shd w:val="clear" w:color="auto" w:fill="F5F5F5"/>
          </w:tcPr>
          <w:p>
            <w:pPr>
              <w:spacing w:after="0"/>
              <w:rPr>
                <w:sz w:val="15"/>
                <w:szCs w:val="15"/>
                <w:color w:val="auto"/>
              </w:rPr>
            </w:pPr>
          </w:p>
        </w:tc>
        <w:tc>
          <w:tcPr>
            <w:tcW w:w="5020" w:type="dxa"/>
            <w:vAlign w:val="bottom"/>
            <w:shd w:val="clear" w:color="auto" w:fill="F5F5F5"/>
          </w:tcPr>
          <w:p>
            <w:pPr>
              <w:spacing w:after="0"/>
              <w:rPr>
                <w:sz w:val="15"/>
                <w:szCs w:val="15"/>
                <w:color w:val="auto"/>
              </w:rPr>
            </w:pPr>
          </w:p>
        </w:tc>
        <w:tc>
          <w:tcPr>
            <w:tcW w:w="26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0" w:type="dxa"/>
            <w:vAlign w:val="bottom"/>
            <w:tcBorders>
              <w:bottom w:val="single" w:sz="8" w:color="BCBEC0"/>
            </w:tcBorders>
            <w:shd w:val="clear" w:color="auto" w:fill="F5F5F5"/>
          </w:tcPr>
          <w:p>
            <w:pPr>
              <w:spacing w:after="0"/>
              <w:rPr>
                <w:sz w:val="12"/>
                <w:szCs w:val="12"/>
                <w:color w:val="auto"/>
              </w:rPr>
            </w:pPr>
          </w:p>
        </w:tc>
        <w:tc>
          <w:tcPr>
            <w:tcW w:w="440" w:type="dxa"/>
            <w:vAlign w:val="bottom"/>
            <w:tcBorders>
              <w:bottom w:val="single" w:sz="8" w:color="F5F5F5"/>
            </w:tcBorders>
            <w:shd w:val="clear" w:color="auto" w:fill="F5F5F5"/>
          </w:tcPr>
          <w:p>
            <w:pPr>
              <w:spacing w:after="0"/>
              <w:rPr>
                <w:sz w:val="12"/>
                <w:szCs w:val="12"/>
                <w:color w:val="auto"/>
              </w:rPr>
            </w:pPr>
          </w:p>
        </w:tc>
        <w:tc>
          <w:tcPr>
            <w:tcW w:w="5020" w:type="dxa"/>
            <w:vAlign w:val="bottom"/>
            <w:tcBorders>
              <w:bottom w:val="single" w:sz="8" w:color="BCBEC0"/>
            </w:tcBorders>
            <w:shd w:val="clear" w:color="auto" w:fill="F5F5F5"/>
          </w:tcPr>
          <w:p>
            <w:pPr>
              <w:spacing w:after="0"/>
              <w:rPr>
                <w:sz w:val="12"/>
                <w:szCs w:val="12"/>
                <w:color w:val="auto"/>
              </w:rPr>
            </w:pPr>
          </w:p>
        </w:tc>
        <w:tc>
          <w:tcPr>
            <w:tcW w:w="260" w:type="dxa"/>
            <w:vAlign w:val="bottom"/>
            <w:tcBorders>
              <w:bottom w:val="single" w:sz="8" w:color="F5F5F5"/>
            </w:tcBorders>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440" w:type="dxa"/>
            <w:vAlign w:val="bottom"/>
            <w:shd w:val="clear" w:color="auto" w:fill="F5F5F5"/>
          </w:tcPr>
          <w:p>
            <w:pPr>
              <w:spacing w:after="0"/>
              <w:rPr>
                <w:sz w:val="11"/>
                <w:szCs w:val="11"/>
                <w:color w:val="auto"/>
              </w:rPr>
            </w:pPr>
          </w:p>
        </w:tc>
        <w:tc>
          <w:tcPr>
            <w:tcW w:w="5020" w:type="dxa"/>
            <w:vAlign w:val="bottom"/>
            <w:shd w:val="clear" w:color="auto" w:fill="F5F5F5"/>
          </w:tcPr>
          <w:p>
            <w:pPr>
              <w:spacing w:after="0"/>
              <w:rPr>
                <w:sz w:val="11"/>
                <w:szCs w:val="11"/>
                <w:color w:val="auto"/>
              </w:rPr>
            </w:pPr>
          </w:p>
        </w:tc>
        <w:tc>
          <w:tcPr>
            <w:tcW w:w="260" w:type="dxa"/>
            <w:vAlign w:val="bottom"/>
            <w:shd w:val="clear" w:color="auto" w:fill="F5F5F5"/>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-1165225</wp:posOffset>
            </wp:positionV>
            <wp:extent cx="3480435" cy="21431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80435" cy="21431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7"/>
        </w:trPr>
        <w:tc>
          <w:tcPr>
            <w:tcW w:w="5720" w:type="dxa"/>
            <w:vAlign w:val="bottom"/>
          </w:tcPr>
          <w:p>
            <w:pPr>
              <w:ind w:left="520"/>
              <w:spacing w:after="0"/>
              <w:rPr>
                <w:sz w:val="20"/>
                <w:szCs w:val="20"/>
                <w:color w:val="auto"/>
              </w:rPr>
            </w:pPr>
            <w:r>
              <w:rPr>
                <w:rFonts w:ascii="Arial" w:cs="Arial" w:eastAsia="Arial" w:hAnsi="Arial"/>
                <w:sz w:val="18"/>
                <w:szCs w:val="18"/>
                <w:b w:val="1"/>
                <w:bCs w:val="1"/>
                <w:color w:val="auto"/>
              </w:rPr>
              <w:t>Inclusion</w:t>
            </w:r>
          </w:p>
        </w:tc>
        <w:tc>
          <w:tcPr>
            <w:tcW w:w="5500" w:type="dxa"/>
            <w:vAlign w:val="bottom"/>
            <w:shd w:val="clear" w:color="auto" w:fill="F5F5F5"/>
          </w:tcPr>
          <w:p>
            <w:pPr>
              <w:ind w:left="240"/>
              <w:spacing w:after="0"/>
              <w:rPr>
                <w:sz w:val="20"/>
                <w:szCs w:val="20"/>
                <w:color w:val="auto"/>
              </w:rPr>
            </w:pPr>
            <w:r>
              <w:rPr>
                <w:rFonts w:ascii="Arial" w:cs="Arial" w:eastAsia="Arial" w:hAnsi="Arial"/>
                <w:sz w:val="18"/>
                <w:szCs w:val="18"/>
                <w:b w:val="1"/>
                <w:bCs w:val="1"/>
                <w:color w:val="auto"/>
              </w:rPr>
              <w:t>Community</w:t>
            </w:r>
          </w:p>
        </w:tc>
      </w:tr>
      <w:tr>
        <w:trPr>
          <w:trHeight w:val="224"/>
        </w:trPr>
        <w:tc>
          <w:tcPr>
            <w:tcW w:w="5720" w:type="dxa"/>
            <w:vAlign w:val="bottom"/>
          </w:tcPr>
          <w:p>
            <w:pPr>
              <w:ind w:left="520"/>
              <w:spacing w:after="0"/>
              <w:rPr>
                <w:sz w:val="20"/>
                <w:szCs w:val="20"/>
                <w:color w:val="auto"/>
              </w:rPr>
            </w:pPr>
            <w:r>
              <w:rPr>
                <w:rFonts w:ascii="Arial" w:cs="Arial" w:eastAsia="Arial" w:hAnsi="Arial"/>
                <w:sz w:val="16"/>
                <w:szCs w:val="16"/>
                <w:color w:val="auto"/>
              </w:rPr>
              <w:t>Fostering inclusivity is a core value of MSCI. We strive to empower</w:t>
            </w:r>
          </w:p>
        </w:tc>
        <w:tc>
          <w:tcPr>
            <w:tcW w:w="5500" w:type="dxa"/>
            <w:vAlign w:val="bottom"/>
            <w:shd w:val="clear" w:color="auto" w:fill="F5F5F5"/>
          </w:tcPr>
          <w:p>
            <w:pPr>
              <w:ind w:left="240"/>
              <w:spacing w:after="0"/>
              <w:rPr>
                <w:sz w:val="20"/>
                <w:szCs w:val="20"/>
                <w:color w:val="auto"/>
              </w:rPr>
            </w:pPr>
            <w:r>
              <w:rPr>
                <w:rFonts w:ascii="Arial" w:cs="Arial" w:eastAsia="Arial" w:hAnsi="Arial"/>
                <w:sz w:val="16"/>
                <w:szCs w:val="16"/>
                <w:color w:val="auto"/>
              </w:rPr>
              <w:t>We support community involvement through global and</w:t>
            </w:r>
          </w:p>
        </w:tc>
      </w:tr>
      <w:tr>
        <w:trPr>
          <w:trHeight w:val="204"/>
        </w:trPr>
        <w:tc>
          <w:tcPr>
            <w:tcW w:w="5720" w:type="dxa"/>
            <w:vAlign w:val="bottom"/>
          </w:tcPr>
          <w:p>
            <w:pPr>
              <w:ind w:left="520"/>
              <w:spacing w:after="0"/>
              <w:rPr>
                <w:sz w:val="20"/>
                <w:szCs w:val="20"/>
                <w:color w:val="auto"/>
              </w:rPr>
            </w:pPr>
            <w:r>
              <w:rPr>
                <w:rFonts w:ascii="Arial" w:cs="Arial" w:eastAsia="Arial" w:hAnsi="Arial"/>
                <w:sz w:val="16"/>
                <w:szCs w:val="16"/>
                <w:color w:val="auto"/>
              </w:rPr>
              <w:t>our people to maximize their potential in an inclusive environment.</w:t>
            </w:r>
          </w:p>
        </w:tc>
        <w:tc>
          <w:tcPr>
            <w:tcW w:w="5500" w:type="dxa"/>
            <w:vAlign w:val="bottom"/>
            <w:shd w:val="clear" w:color="auto" w:fill="F5F5F5"/>
          </w:tcPr>
          <w:p>
            <w:pPr>
              <w:ind w:left="240"/>
              <w:spacing w:after="0"/>
              <w:rPr>
                <w:sz w:val="20"/>
                <w:szCs w:val="20"/>
                <w:color w:val="auto"/>
              </w:rPr>
            </w:pPr>
            <w:r>
              <w:rPr>
                <w:rFonts w:ascii="Arial" w:cs="Arial" w:eastAsia="Arial" w:hAnsi="Arial"/>
                <w:sz w:val="16"/>
                <w:szCs w:val="16"/>
                <w:color w:val="auto"/>
              </w:rPr>
              <w:t>local initiatives. We empower teams at all our office locations to</w:t>
            </w:r>
          </w:p>
        </w:tc>
      </w:tr>
      <w:tr>
        <w:trPr>
          <w:trHeight w:val="215"/>
        </w:trPr>
        <w:tc>
          <w:tcPr>
            <w:tcW w:w="5720" w:type="dxa"/>
            <w:vAlign w:val="bottom"/>
          </w:tcPr>
          <w:p>
            <w:pPr>
              <w:ind w:left="520"/>
              <w:spacing w:after="0"/>
              <w:rPr>
                <w:sz w:val="20"/>
                <w:szCs w:val="20"/>
                <w:color w:val="auto"/>
              </w:rPr>
            </w:pPr>
            <w:r>
              <w:rPr>
                <w:rFonts w:ascii="Arial" w:cs="Arial" w:eastAsia="Arial" w:hAnsi="Arial"/>
                <w:sz w:val="16"/>
                <w:szCs w:val="16"/>
                <w:color w:val="auto"/>
              </w:rPr>
              <w:t>Our performance culture and meritocracy are supported by the belief</w:t>
            </w:r>
          </w:p>
        </w:tc>
        <w:tc>
          <w:tcPr>
            <w:tcW w:w="5500" w:type="dxa"/>
            <w:vAlign w:val="bottom"/>
            <w:shd w:val="clear" w:color="auto" w:fill="F5F5F5"/>
          </w:tcPr>
          <w:p>
            <w:pPr>
              <w:ind w:left="240"/>
              <w:spacing w:after="0"/>
              <w:rPr>
                <w:sz w:val="20"/>
                <w:szCs w:val="20"/>
                <w:color w:val="auto"/>
              </w:rPr>
            </w:pPr>
            <w:r>
              <w:rPr>
                <w:rFonts w:ascii="Arial" w:cs="Arial" w:eastAsia="Arial" w:hAnsi="Arial"/>
                <w:sz w:val="16"/>
                <w:szCs w:val="16"/>
                <w:color w:val="auto"/>
              </w:rPr>
              <w:t>identify and support organizations that have positively impacted</w:t>
            </w:r>
          </w:p>
        </w:tc>
      </w:tr>
      <w:tr>
        <w:trPr>
          <w:trHeight w:val="216"/>
        </w:trPr>
        <w:tc>
          <w:tcPr>
            <w:tcW w:w="5720" w:type="dxa"/>
            <w:vAlign w:val="bottom"/>
          </w:tcPr>
          <w:p>
            <w:pPr>
              <w:ind w:left="520"/>
              <w:spacing w:after="0"/>
              <w:rPr>
                <w:sz w:val="20"/>
                <w:szCs w:val="20"/>
                <w:color w:val="auto"/>
              </w:rPr>
            </w:pPr>
            <w:r>
              <w:rPr>
                <w:rFonts w:ascii="Arial" w:cs="Arial" w:eastAsia="Arial" w:hAnsi="Arial"/>
                <w:sz w:val="16"/>
                <w:szCs w:val="16"/>
                <w:color w:val="auto"/>
              </w:rPr>
              <w:t>that all of our people will perform their best when they feel included</w:t>
            </w:r>
          </w:p>
        </w:tc>
        <w:tc>
          <w:tcPr>
            <w:tcW w:w="5500" w:type="dxa"/>
            <w:vAlign w:val="bottom"/>
            <w:shd w:val="clear" w:color="auto" w:fill="F5F5F5"/>
          </w:tcPr>
          <w:p>
            <w:pPr>
              <w:ind w:left="240"/>
              <w:spacing w:after="0"/>
              <w:rPr>
                <w:sz w:val="20"/>
                <w:szCs w:val="20"/>
                <w:color w:val="auto"/>
              </w:rPr>
            </w:pPr>
            <w:r>
              <w:rPr>
                <w:rFonts w:ascii="Arial" w:cs="Arial" w:eastAsia="Arial" w:hAnsi="Arial"/>
                <w:sz w:val="16"/>
                <w:szCs w:val="16"/>
                <w:color w:val="auto"/>
              </w:rPr>
              <w:t>their communities.</w:t>
            </w:r>
          </w:p>
        </w:tc>
      </w:tr>
      <w:tr>
        <w:trPr>
          <w:trHeight w:val="216"/>
        </w:trPr>
        <w:tc>
          <w:tcPr>
            <w:tcW w:w="5720" w:type="dxa"/>
            <w:vAlign w:val="bottom"/>
          </w:tcPr>
          <w:p>
            <w:pPr>
              <w:ind w:left="520"/>
              <w:spacing w:after="0"/>
              <w:rPr>
                <w:sz w:val="20"/>
                <w:szCs w:val="20"/>
                <w:color w:val="auto"/>
              </w:rPr>
            </w:pPr>
            <w:r>
              <w:rPr>
                <w:rFonts w:ascii="Arial" w:cs="Arial" w:eastAsia="Arial" w:hAnsi="Arial"/>
                <w:sz w:val="16"/>
                <w:szCs w:val="16"/>
                <w:color w:val="auto"/>
              </w:rPr>
              <w:t>and valued.</w:t>
            </w:r>
          </w:p>
        </w:tc>
        <w:tc>
          <w:tcPr>
            <w:tcW w:w="5500" w:type="dxa"/>
            <w:vAlign w:val="bottom"/>
            <w:shd w:val="clear" w:color="auto" w:fill="F5F5F5"/>
          </w:tcPr>
          <w:p>
            <w:pPr>
              <w:spacing w:after="0"/>
              <w:rPr>
                <w:sz w:val="18"/>
                <w:szCs w:val="18"/>
                <w:color w:val="auto"/>
              </w:rPr>
            </w:pPr>
          </w:p>
        </w:tc>
      </w:tr>
      <w:tr>
        <w:trPr>
          <w:trHeight w:val="178"/>
        </w:trPr>
        <w:tc>
          <w:tcPr>
            <w:tcW w:w="5720" w:type="dxa"/>
            <w:vAlign w:val="bottom"/>
          </w:tcPr>
          <w:p>
            <w:pPr>
              <w:spacing w:after="0"/>
              <w:rPr>
                <w:sz w:val="15"/>
                <w:szCs w:val="15"/>
                <w:color w:val="auto"/>
              </w:rPr>
            </w:pPr>
          </w:p>
        </w:tc>
        <w:tc>
          <w:tcPr>
            <w:tcW w:w="5500" w:type="dxa"/>
            <w:vAlign w:val="bottom"/>
            <w:shd w:val="clear" w:color="auto" w:fill="F5F5F5"/>
          </w:tcPr>
          <w:p>
            <w:pPr>
              <w:spacing w:after="0"/>
              <w:rPr>
                <w:sz w:val="15"/>
                <w:szCs w:val="15"/>
                <w:color w:val="auto"/>
              </w:rPr>
            </w:pPr>
          </w:p>
        </w:tc>
      </w:tr>
      <w:tr>
        <w:trPr>
          <w:trHeight w:val="149"/>
        </w:trPr>
        <w:tc>
          <w:tcPr>
            <w:tcW w:w="5720" w:type="dxa"/>
            <w:vAlign w:val="bottom"/>
            <w:shd w:val="clear" w:color="auto" w:fill="1A3FD6"/>
          </w:tcPr>
          <w:p>
            <w:pPr>
              <w:spacing w:after="0"/>
              <w:rPr>
                <w:sz w:val="12"/>
                <w:szCs w:val="12"/>
                <w:color w:val="auto"/>
              </w:rPr>
            </w:pPr>
          </w:p>
        </w:tc>
        <w:tc>
          <w:tcPr>
            <w:tcW w:w="5500" w:type="dxa"/>
            <w:vAlign w:val="bottom"/>
            <w:shd w:val="clear" w:color="auto" w:fill="1A3FD6"/>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3970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5175" cy="1397000"/>
                    </a:xfrm>
                    <a:prstGeom prst="rect">
                      <a:avLst/>
                    </a:prstGeom>
                    <a:noFill/>
                  </pic:spPr>
                </pic:pic>
              </a:graphicData>
            </a:graphic>
          </wp:anchor>
        </w:drawing>
      </w:r>
    </w:p>
    <w:p>
      <w:pPr>
        <w:ind w:left="300"/>
        <w:spacing w:after="0"/>
        <w:rPr>
          <w:sz w:val="20"/>
          <w:szCs w:val="20"/>
          <w:color w:val="auto"/>
        </w:rPr>
      </w:pPr>
      <w:r>
        <w:rPr>
          <w:rFonts w:ascii="Arial" w:cs="Arial" w:eastAsia="Arial" w:hAnsi="Arial"/>
          <w:sz w:val="25"/>
          <w:szCs w:val="25"/>
          <w:b w:val="1"/>
          <w:bCs w:val="1"/>
          <w:color w:val="FFFFFF"/>
        </w:rPr>
        <w:t>2025 Notable Developments</w:t>
      </w:r>
    </w:p>
    <w:p>
      <w:pPr>
        <w:spacing w:after="0" w:line="101" w:lineRule="exact"/>
        <w:rPr>
          <w:sz w:val="20"/>
          <w:szCs w:val="20"/>
          <w:color w:val="auto"/>
        </w:rPr>
      </w:pPr>
    </w:p>
    <w:p>
      <w:pPr>
        <w:ind w:left="460" w:right="960" w:hanging="193"/>
        <w:spacing w:after="0" w:line="304" w:lineRule="auto"/>
        <w:rPr>
          <w:sz w:val="20"/>
          <w:szCs w:val="20"/>
          <w:color w:val="auto"/>
        </w:rPr>
      </w:pPr>
      <w:r>
        <w:rPr>
          <w:rFonts w:ascii="Arial" w:cs="Arial" w:eastAsia="Arial" w:hAnsi="Arial"/>
          <w:sz w:val="16"/>
          <w:szCs w:val="16"/>
          <w:color w:val="00A798"/>
        </w:rPr>
        <w:t xml:space="preserve">• </w:t>
      </w:r>
      <w:r>
        <w:rPr>
          <w:rFonts w:ascii="Arial" w:cs="Arial" w:eastAsia="Arial" w:hAnsi="Arial"/>
          <w:sz w:val="16"/>
          <w:szCs w:val="16"/>
          <w:color w:val="FFFFFF"/>
        </w:rPr>
        <w:t>As part of the Company’s AI-first approach, introduced an AI Upskilling Framework to provide targeted learning opportunities ranging from</w:t>
      </w:r>
      <w:r>
        <w:rPr>
          <w:rFonts w:ascii="Arial" w:cs="Arial" w:eastAsia="Arial" w:hAnsi="Arial"/>
          <w:sz w:val="16"/>
          <w:szCs w:val="16"/>
          <w:color w:val="00A798"/>
        </w:rPr>
        <w:t xml:space="preserve"> </w:t>
      </w:r>
      <w:r>
        <w:rPr>
          <w:rFonts w:ascii="Arial" w:cs="Arial" w:eastAsia="Arial" w:hAnsi="Arial"/>
          <w:sz w:val="16"/>
          <w:szCs w:val="16"/>
          <w:color w:val="FFFFFF"/>
        </w:rPr>
        <w:t>foundational skills to technical specialization; participants actively engaged with AI-focused courses through our digital learning platform</w:t>
      </w:r>
    </w:p>
    <w:p>
      <w:pPr>
        <w:spacing w:after="0" w:line="20" w:lineRule="exact"/>
        <w:rPr>
          <w:sz w:val="20"/>
          <w:szCs w:val="20"/>
          <w:color w:val="auto"/>
        </w:rPr>
      </w:pPr>
    </w:p>
    <w:p>
      <w:pPr>
        <w:ind w:left="460" w:right="320" w:hanging="193"/>
        <w:spacing w:after="0" w:line="321" w:lineRule="auto"/>
        <w:rPr>
          <w:sz w:val="20"/>
          <w:szCs w:val="20"/>
          <w:color w:val="auto"/>
        </w:rPr>
      </w:pPr>
      <w:r>
        <w:rPr>
          <w:rFonts w:ascii="Arial" w:cs="Arial" w:eastAsia="Arial" w:hAnsi="Arial"/>
          <w:sz w:val="16"/>
          <w:szCs w:val="16"/>
          <w:color w:val="00A798"/>
        </w:rPr>
        <w:t xml:space="preserve">• </w:t>
      </w:r>
      <w:r>
        <w:rPr>
          <w:rFonts w:ascii="Arial" w:cs="Arial" w:eastAsia="Arial" w:hAnsi="Arial"/>
          <w:sz w:val="16"/>
          <w:szCs w:val="16"/>
          <w:color w:val="FFFFFF"/>
        </w:rPr>
        <w:t>Strengthened internal mobility and talent development programs, prioritizing upskilling and employee development to align with business goals and</w:t>
      </w:r>
      <w:r>
        <w:rPr>
          <w:rFonts w:ascii="Arial" w:cs="Arial" w:eastAsia="Arial" w:hAnsi="Arial"/>
          <w:sz w:val="16"/>
          <w:szCs w:val="16"/>
          <w:color w:val="00A798"/>
        </w:rPr>
        <w:t xml:space="preserve"> </w:t>
      </w:r>
      <w:r>
        <w:rPr>
          <w:rFonts w:ascii="Arial" w:cs="Arial" w:eastAsia="Arial" w:hAnsi="Arial"/>
          <w:sz w:val="16"/>
          <w:szCs w:val="16"/>
          <w:color w:val="FFFFFF"/>
        </w:rPr>
        <w:t>support growth</w:t>
      </w:r>
    </w:p>
    <w:p>
      <w:pPr>
        <w:spacing w:after="0" w:line="7" w:lineRule="exact"/>
        <w:rPr>
          <w:sz w:val="20"/>
          <w:szCs w:val="20"/>
          <w:color w:val="auto"/>
        </w:rPr>
      </w:pPr>
    </w:p>
    <w:p>
      <w:pPr>
        <w:ind w:left="460" w:right="460" w:hanging="193"/>
        <w:spacing w:after="0" w:line="304" w:lineRule="auto"/>
        <w:rPr>
          <w:sz w:val="20"/>
          <w:szCs w:val="20"/>
          <w:color w:val="auto"/>
        </w:rPr>
      </w:pPr>
      <w:r>
        <w:rPr>
          <w:rFonts w:ascii="Arial" w:cs="Arial" w:eastAsia="Arial" w:hAnsi="Arial"/>
          <w:sz w:val="16"/>
          <w:szCs w:val="16"/>
          <w:color w:val="00A798"/>
        </w:rPr>
        <w:t xml:space="preserve">• </w:t>
      </w:r>
      <w:r>
        <w:rPr>
          <w:rFonts w:ascii="Arial" w:cs="Arial" w:eastAsia="Arial" w:hAnsi="Arial"/>
          <w:sz w:val="16"/>
          <w:szCs w:val="16"/>
          <w:color w:val="FFFFFF"/>
        </w:rPr>
        <w:t>Enhanced employee listening strategy through focus groups, functional deep-dives and regional initiatives to improve collaboration, development</w:t>
      </w:r>
      <w:r>
        <w:rPr>
          <w:rFonts w:ascii="Arial" w:cs="Arial" w:eastAsia="Arial" w:hAnsi="Arial"/>
          <w:sz w:val="16"/>
          <w:szCs w:val="16"/>
          <w:color w:val="00A798"/>
        </w:rPr>
        <w:t xml:space="preserve"> </w:t>
      </w:r>
      <w:r>
        <w:rPr>
          <w:rFonts w:ascii="Arial" w:cs="Arial" w:eastAsia="Arial" w:hAnsi="Arial"/>
          <w:sz w:val="16"/>
          <w:szCs w:val="16"/>
          <w:color w:val="FFFFFF"/>
        </w:rPr>
        <w:t>and overall employee engagement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 Succession Planning</w:t>
      </w:r>
    </w:p>
    <w:p>
      <w:pPr>
        <w:spacing w:after="0" w:line="11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oversees talent management matters, including efforts relating to succession/progression planning, career progression and retention strategies, and learning and leadership development. Our CEO meets with our functions to review talent plans with an aim to identify top talent who have the most potential to progress to senior roles at MSCI. The Board views management succession planning as a critical element of its oversight responsibilities and a key driver of long-term value creation.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To align the management succession and progression process with MSCI’s strategic objectives, the Compensation Committee consults with the CEO to periodically review the Company’s succession plans, including for the CEO and other executives. This process covers selection, succession in the event of incapacity, retirement or removal of an executive, and evaluations of, and development plans for, potential successors to each of the executives. In addition to the Company’s long-term succession plans, the Compensation Committee maintains and reviews an emergency contingency succession plan designed to ensure business and operational continuity in the event the CEO is unexpectedly unable to serve. The contingency plan identifies internal candidates who could assume critical leadership responsibilities on an interim basis.</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Company’s Management Committee, consisting of the Company’s senior-most leaders, engages in discussions focused on succession and progression plans with an emphasis on growth opportunities for potential future senior leaders. High-potential leaders are identified for additional responsibilities to challenge them and develop additional skills. These individuals are often positioned to interact more frequently with the Board, through Board and Committee presentations and discussions, as well as informal events and interactions, throughout the year.</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Board and its committees engage in succession-related activities on a recurring basis throughout the year, including:</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Developing Our Next Generation of Leaders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5360" w:type="dxa"/>
            <w:vAlign w:val="bottom"/>
            <w:shd w:val="clear" w:color="auto" w:fill="1A3FD6"/>
          </w:tcPr>
          <w:p>
            <w:pPr>
              <w:ind w:left="260"/>
              <w:spacing w:after="0"/>
              <w:rPr>
                <w:sz w:val="20"/>
                <w:szCs w:val="20"/>
                <w:color w:val="auto"/>
              </w:rPr>
            </w:pPr>
            <w:r>
              <w:rPr>
                <w:rFonts w:ascii="Arial" w:cs="Arial" w:eastAsia="Arial" w:hAnsi="Arial"/>
                <w:sz w:val="18"/>
                <w:szCs w:val="18"/>
                <w:b w:val="1"/>
                <w:bCs w:val="1"/>
                <w:color w:val="FFFFFF"/>
              </w:rPr>
              <w:t>Ongoing Exposure and Review</w:t>
            </w:r>
          </w:p>
        </w:tc>
        <w:tc>
          <w:tcPr>
            <w:tcW w:w="5880" w:type="dxa"/>
            <w:vAlign w:val="bottom"/>
            <w:shd w:val="clear" w:color="auto" w:fill="1A3FD6"/>
          </w:tcPr>
          <w:p>
            <w:pPr>
              <w:ind w:left="520"/>
              <w:spacing w:after="0"/>
              <w:rPr>
                <w:sz w:val="20"/>
                <w:szCs w:val="20"/>
                <w:color w:val="auto"/>
              </w:rPr>
            </w:pPr>
            <w:r>
              <w:rPr>
                <w:rFonts w:ascii="Arial" w:cs="Arial" w:eastAsia="Arial" w:hAnsi="Arial"/>
                <w:sz w:val="18"/>
                <w:szCs w:val="18"/>
                <w:b w:val="1"/>
                <w:bCs w:val="1"/>
                <w:color w:val="FFFFFF"/>
              </w:rPr>
              <w:t>Formal Succession and Progression Planning</w:t>
            </w:r>
          </w:p>
        </w:tc>
      </w:tr>
      <w:tr>
        <w:trPr>
          <w:trHeight w:val="110"/>
        </w:trPr>
        <w:tc>
          <w:tcPr>
            <w:tcW w:w="5360" w:type="dxa"/>
            <w:vAlign w:val="bottom"/>
            <w:shd w:val="clear" w:color="auto" w:fill="1A3FD6"/>
          </w:tcPr>
          <w:p>
            <w:pPr>
              <w:spacing w:after="0"/>
              <w:rPr>
                <w:sz w:val="9"/>
                <w:szCs w:val="9"/>
                <w:color w:val="auto"/>
              </w:rPr>
            </w:pPr>
          </w:p>
        </w:tc>
        <w:tc>
          <w:tcPr>
            <w:tcW w:w="5880" w:type="dxa"/>
            <w:vAlign w:val="bottom"/>
            <w:shd w:val="clear" w:color="auto" w:fill="1A3FD6"/>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102870</wp:posOffset>
            </wp:positionV>
            <wp:extent cx="8890" cy="1817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181737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75" w:lineRule="exact"/>
        <w:rPr>
          <w:sz w:val="20"/>
          <w:szCs w:val="20"/>
          <w:color w:val="auto"/>
        </w:rPr>
      </w:pPr>
    </w:p>
    <w:p>
      <w:pPr>
        <w:ind w:left="260"/>
        <w:spacing w:after="0" w:line="282" w:lineRule="auto"/>
        <w:rPr>
          <w:sz w:val="20"/>
          <w:szCs w:val="20"/>
          <w:color w:val="auto"/>
        </w:rPr>
      </w:pPr>
      <w:r>
        <w:rPr>
          <w:rFonts w:ascii="Arial" w:cs="Arial" w:eastAsia="Arial" w:hAnsi="Arial"/>
          <w:sz w:val="16"/>
          <w:szCs w:val="16"/>
          <w:color w:val="auto"/>
        </w:rPr>
        <w:t>High-potential leaders are given exposure to our directors through formal presentations at Board or committee meetings, informal virtual education sessions, one-on-one meetings with individual directors and participation in other Board activities. The Board also holds ongoing reviews of our leadership bench.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The Compensation Committee holds an annual formal succession and progression planning session led by our CEO, Chief Human Resources Officer and Head of Executive Talent, which all directors are invited to attend. This session includes identifying potential successors, and reviewing succession and progression plans and opportunities to hire from the market, for all senior management positions. This session also may include participation by external talent consultants we have engaged to assist in identifying and evaluating candidates and to ensure that we are considering a large pool of candidates from a wide variety of backgrounds and experiences.</w:t>
      </w:r>
    </w:p>
    <w:p>
      <w:pPr>
        <w:spacing w:after="0" w:line="123" w:lineRule="exact"/>
        <w:rPr>
          <w:sz w:val="20"/>
          <w:szCs w:val="20"/>
          <w:color w:val="auto"/>
        </w:rPr>
      </w:pPr>
    </w:p>
    <w:p>
      <w:pPr>
        <w:jc w:val="both"/>
        <w:ind w:right="480"/>
        <w:spacing w:after="0" w:line="304" w:lineRule="auto"/>
        <w:rPr>
          <w:sz w:val="20"/>
          <w:szCs w:val="20"/>
          <w:color w:val="auto"/>
        </w:rPr>
      </w:pPr>
      <w:r>
        <w:rPr>
          <w:rFonts w:ascii="Arial" w:cs="Arial" w:eastAsia="Arial" w:hAnsi="Arial"/>
          <w:sz w:val="16"/>
          <w:szCs w:val="16"/>
          <w:color w:val="auto"/>
        </w:rPr>
        <w:t>The Compensation Committee reviews succession and contingency planning for our CEO and members of our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184785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80"/>
            <w:col w:w="5360"/>
          </w:cols>
          <w:pgMar w:left="320" w:top="130"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Leadership Appointments</w:t>
      </w:r>
    </w:p>
    <w:p>
      <w:pPr>
        <w:spacing w:after="0" w:line="99"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The effectiveness of MSCI’s succession and development process is demonstrated by the Company’s ability to draw on its deep leadership bench to execute orderly transitions and drive continued growth. Over the last year, the Company made the following senior appointments from its succession and progression pools:</w:t>
      </w:r>
    </w:p>
    <w:p>
      <w:pPr>
        <w:spacing w:after="0" w:line="98" w:lineRule="exact"/>
        <w:rPr>
          <w:sz w:val="20"/>
          <w:szCs w:val="20"/>
          <w:color w:val="auto"/>
        </w:rPr>
      </w:pPr>
    </w:p>
    <w:p>
      <w:pPr>
        <w:ind w:left="200" w:right="160" w:hanging="192"/>
        <w:spacing w:after="0" w:line="292" w:lineRule="auto"/>
        <w:tabs>
          <w:tab w:leader="none" w:pos="157" w:val="left"/>
        </w:tabs>
        <w:numPr>
          <w:ilvl w:val="0"/>
          <w:numId w:val="58"/>
        </w:numPr>
        <w:rPr>
          <w:rFonts w:ascii="Arial" w:cs="Arial" w:eastAsia="Arial" w:hAnsi="Arial"/>
          <w:sz w:val="16"/>
          <w:szCs w:val="16"/>
          <w:color w:val="00A798"/>
        </w:rPr>
      </w:pPr>
      <w:r>
        <w:rPr>
          <w:rFonts w:ascii="Arial" w:cs="Arial" w:eastAsia="Arial" w:hAnsi="Arial"/>
          <w:sz w:val="16"/>
          <w:szCs w:val="16"/>
          <w:color w:val="auto"/>
        </w:rPr>
        <w:t>In November 2025, the Company announced that C.D. Baer Pettit, President, Chief Operating Officer and member of the Board of Directors, would retire in early 2026 after more than 25 years in senior leadership roles at MSCI. Mr. Pettit’s retirement reflects an orderly transition enabled by the Board’s ongoing succession planning process.</w:t>
      </w:r>
    </w:p>
    <w:p>
      <w:pPr>
        <w:spacing w:after="0" w:line="30" w:lineRule="exact"/>
        <w:rPr>
          <w:rFonts w:ascii="Arial" w:cs="Arial" w:eastAsia="Arial" w:hAnsi="Arial"/>
          <w:sz w:val="16"/>
          <w:szCs w:val="16"/>
          <w:color w:val="00A798"/>
        </w:rPr>
      </w:pPr>
    </w:p>
    <w:p>
      <w:pPr>
        <w:ind w:left="160" w:hanging="152"/>
        <w:spacing w:after="0"/>
        <w:tabs>
          <w:tab w:leader="none" w:pos="160" w:val="left"/>
        </w:tabs>
        <w:numPr>
          <w:ilvl w:val="0"/>
          <w:numId w:val="58"/>
        </w:numPr>
        <w:rPr>
          <w:rFonts w:ascii="Arial" w:cs="Arial" w:eastAsia="Arial" w:hAnsi="Arial"/>
          <w:sz w:val="16"/>
          <w:szCs w:val="16"/>
          <w:color w:val="00A798"/>
        </w:rPr>
      </w:pPr>
      <w:r>
        <w:rPr>
          <w:rFonts w:ascii="Arial" w:cs="Arial" w:eastAsia="Arial" w:hAnsi="Arial"/>
          <w:sz w:val="16"/>
          <w:szCs w:val="16"/>
          <w:color w:val="auto"/>
        </w:rPr>
        <w:t>In connection with Mr. Pettit’s departure, the Company announced additional senior leadership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320675</wp:posOffset>
            </wp:positionV>
            <wp:extent cx="556895"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4"/>
          <w:szCs w:val="14"/>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right="360" w:hanging="198"/>
        <w:spacing w:after="0" w:line="321" w:lineRule="auto"/>
        <w:tabs>
          <w:tab w:leader="none" w:pos="357" w:val="left"/>
        </w:tabs>
        <w:numPr>
          <w:ilvl w:val="0"/>
          <w:numId w:val="59"/>
        </w:numPr>
        <w:rPr>
          <w:rFonts w:ascii="Arial" w:cs="Arial" w:eastAsia="Arial" w:hAnsi="Arial"/>
          <w:sz w:val="16"/>
          <w:szCs w:val="16"/>
          <w:color w:val="00A798"/>
        </w:rPr>
      </w:pPr>
      <w:r>
        <w:rPr>
          <w:rFonts w:ascii="Arial" w:cs="Arial" w:eastAsia="Arial" w:hAnsi="Arial"/>
          <w:sz w:val="16"/>
          <w:szCs w:val="16"/>
          <w:color w:val="auto"/>
        </w:rPr>
        <w:t>Alvise Munari, Chief Product Officer, was appointed Head of Client Segments, driving expansion of the Company’s products for new use cases and clients. Mr. Munari has been with the Company for 10 years and previously served as Chief Client Officer.</w:t>
      </w:r>
    </w:p>
    <w:p>
      <w:pPr>
        <w:spacing w:after="0" w:line="7" w:lineRule="exact"/>
        <w:rPr>
          <w:rFonts w:ascii="Arial" w:cs="Arial" w:eastAsia="Arial" w:hAnsi="Arial"/>
          <w:sz w:val="16"/>
          <w:szCs w:val="16"/>
          <w:color w:val="00A798"/>
        </w:rPr>
      </w:pPr>
    </w:p>
    <w:p>
      <w:pPr>
        <w:ind w:left="400" w:right="160" w:hanging="198"/>
        <w:spacing w:after="0" w:line="307" w:lineRule="auto"/>
        <w:tabs>
          <w:tab w:leader="none" w:pos="357" w:val="left"/>
        </w:tabs>
        <w:numPr>
          <w:ilvl w:val="0"/>
          <w:numId w:val="59"/>
        </w:numPr>
        <w:rPr>
          <w:rFonts w:ascii="Arial" w:cs="Arial" w:eastAsia="Arial" w:hAnsi="Arial"/>
          <w:sz w:val="16"/>
          <w:szCs w:val="16"/>
          <w:color w:val="00A798"/>
        </w:rPr>
      </w:pPr>
      <w:r>
        <w:rPr>
          <w:rFonts w:ascii="Arial" w:cs="Arial" w:eastAsia="Arial" w:hAnsi="Arial"/>
          <w:sz w:val="16"/>
          <w:szCs w:val="16"/>
          <w:color w:val="auto"/>
        </w:rPr>
        <w:t>Jorge Mina, Head of Analytics, was appointed Chief Operating Officer, leading the Company’s integrated operations across all products and functional areas. Mr. Mina has been with the firm for over 25 years and has a deep understanding of MSCI’s operations, business processes and technology stack. He also chairs MSCIʼs AI Transformation Center of Excellence, which is intended to help MSCI scale AI across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Talent and Culture Governance</w:t>
      </w:r>
    </w:p>
    <w:p>
      <w:pPr>
        <w:spacing w:after="0" w:line="11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Compensation Committee operates under a written charter adopted by the Board and is responsible for reviewing and approving annually all compensation awarded to the Company’s Executives, including the CEO and our other NEOs. The Compensation Committee also regularly engages with our CEO, Chief Human Resources Officer, Head of Executive Talent, Chief Responsibility Officer and other members of senior leadership on a broad range of workforce and talent management topics. The Board regularly receives reports from the Compensation Committee on workforce and talent management topics throughout the year. The Compensation Committee annually reviews the Company’s talent management strategies and programs with respect to senior levels in the organization and key performance metrics, and periodically reviews open senior management roles, future talent needs, the Company’s corporate culture and learning and development programs, as well as the results of the Company’s employee engagement survey. See page 36 of this Proxy Statement for additional information on the Compensation Committee’s responsibilities.</w:t>
      </w:r>
    </w:p>
    <w:p>
      <w:pPr>
        <w:spacing w:after="0" w:line="11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principal compensation plans and arrangements applicable to our NEOs are described in the “Compensation Matters” section of this Proxy Statement and the executive compensation tables included therein. The Compensation Committee may delegate the administration of these plans and arrangements, as appropriate, including to one or more officers of the Company, subcommittees or to the Chair of the Compensation Committee, in each case, when it deems doing so to be appropriate, in the best interests of the Company and consistent with applicable law and NYSE requirements.</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Compensation Committee has the authority to retain and terminate any compensation consultant assisting the Compensation Committee in the evaluation of CEO or other executive officer compensation. As further described in the “Compensation Discussion and Analysis” section included herein, during 2025, the Compensation Committee continued to retain Semler Brossy Consulting Group, LLC (“Semler Brossy”) as its own independent compensation consultant to review CEO and other executive officer compensation. All of the services provided by Semler Brossy to the Compensation Committee during 2025 were to provide advice or recommendations on the amount or form of executive officer and director compensation, and Semler Brossy did not provide any additional services to the Company during 2025. The Compensation Committee has considered, among other things, the factors delineated in Rule 10C-1 under the Exchange Act (“Rule 10C-1”), including the NYSE listing rules implementing Rule 10C-1 and Semler Brossy’s conflict of interest policies, and determined that the engagement of Semler Brossy does not raise any conflict of interest or other factors that compromise the independence of its relationship with the Compensation Committee. The Compensation Committee annually considers the performance and independence of Semler Brossy. In developing its views on compensation matters and determining the compensation awarded to our CEO and other executive officers, the human resources department provides data and analyses to aid the Compensation Committee in its decisions. The CEO makes recommendations on compensation for executive officers other than himself, and the Compensation Committee takes these recommendations into account in reaching its compensation decisions. The CEO is not present during discussions or decisions regarding the CEO’s compensation. From time to time, the Compensation Committee may obtain input from external legal counsel, including Davis Polk &amp; Wardwell LLP (“Davis Polk”), on compensation award documentation and other compensation-related practices, which in 2025 was communicated to the Compensation Committee via management, the legal department or the human resources department. In light of this relationship, the Compensation Committee has considered, among other things, the factors delineated in Rule 10C-1, including the NYSE listing rules implementing Rule 10C-1 and Davis Polk’s Principles and Guidelines for Advice to Compensation Committees.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47"/>
          <w:szCs w:val="47"/>
          <w:b w:val="1"/>
          <w:bCs w:val="1"/>
          <w:color w:val="1A3FD6"/>
        </w:rPr>
        <w:t>Director Compensation and</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Stock Ownership Guidelines</w:t>
      </w:r>
    </w:p>
    <w:p>
      <w:pPr>
        <w:spacing w:after="0" w:line="28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Director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16"/>
          <w:szCs w:val="16"/>
          <w:b w:val="1"/>
          <w:bCs w:val="1"/>
          <w:color w:val="auto"/>
        </w:rPr>
        <w:t>Robust Director Stock Ownership</w:t>
      </w:r>
      <w:r>
        <w:rPr>
          <w:sz w:val="20"/>
          <w:szCs w:val="20"/>
          <w:color w:val="auto"/>
        </w:rPr>
        <w:tab/>
      </w:r>
      <w:r>
        <w:rPr>
          <w:rFonts w:ascii="Arial" w:cs="Arial" w:eastAsia="Arial" w:hAnsi="Arial"/>
          <w:sz w:val="16"/>
          <w:szCs w:val="16"/>
          <w:color w:val="auto"/>
        </w:rPr>
        <w:t>In January 2026, the Compensation Committee amended the stock ownership guidelines for non-employee</w:t>
      </w:r>
    </w:p>
    <w:p>
      <w:pPr>
        <w:spacing w:after="0" w:line="35" w:lineRule="exact"/>
        <w:rPr>
          <w:sz w:val="20"/>
          <w:szCs w:val="20"/>
          <w:color w:val="auto"/>
        </w:rPr>
      </w:pPr>
    </w:p>
    <w:p>
      <w:pPr>
        <w:ind w:left="3060" w:right="80" w:hanging="3039"/>
        <w:spacing w:after="0" w:line="273" w:lineRule="auto"/>
        <w:tabs>
          <w:tab w:leader="none" w:pos="3040" w:val="left"/>
        </w:tabs>
        <w:rPr>
          <w:sz w:val="20"/>
          <w:szCs w:val="20"/>
          <w:color w:val="auto"/>
        </w:rPr>
      </w:pPr>
      <w:r>
        <w:rPr>
          <w:rFonts w:ascii="Arial" w:cs="Arial" w:eastAsia="Arial" w:hAnsi="Arial"/>
          <w:sz w:val="16"/>
          <w:szCs w:val="16"/>
          <w:b w:val="1"/>
          <w:bCs w:val="1"/>
          <w:color w:val="auto"/>
        </w:rPr>
        <w:t>Guidelines</w:t>
      </w:r>
      <w:r>
        <w:rPr>
          <w:sz w:val="20"/>
          <w:szCs w:val="20"/>
          <w:color w:val="auto"/>
        </w:rPr>
        <w:tab/>
      </w:r>
      <w:r>
        <w:rPr>
          <w:rFonts w:ascii="Arial" w:cs="Arial" w:eastAsia="Arial" w:hAnsi="Arial"/>
          <w:sz w:val="16"/>
          <w:szCs w:val="16"/>
          <w:color w:val="auto"/>
        </w:rPr>
        <w:t>directors so that each non-employee director is required to own a target number of shares of stock of the Company having an aggregate value equal to seven times the Company’s annual cash retainer for non-employee directors for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left="3060" w:right="280" w:hanging="3023"/>
        <w:spacing w:after="0" w:line="284" w:lineRule="auto"/>
        <w:rPr>
          <w:sz w:val="20"/>
          <w:szCs w:val="20"/>
          <w:color w:val="auto"/>
        </w:rPr>
      </w:pPr>
      <w:r>
        <w:rPr>
          <w:rFonts w:ascii="Arial" w:cs="Arial" w:eastAsia="Arial" w:hAnsi="Arial"/>
          <w:sz w:val="16"/>
          <w:szCs w:val="16"/>
          <w:b w:val="1"/>
          <w:bCs w:val="1"/>
          <w:color w:val="auto"/>
        </w:rPr>
        <w:t xml:space="preserve">Anti-Hedging and Anti-Pledging Policy </w:t>
      </w:r>
      <w:r>
        <w:rPr>
          <w:rFonts w:ascii="Arial" w:cs="Arial" w:eastAsia="Arial" w:hAnsi="Arial"/>
          <w:sz w:val="16"/>
          <w:szCs w:val="16"/>
          <w:color w:val="auto"/>
        </w:rPr>
        <w:t>We prohibit all directors and employees, including all NEOs, from hedging or pledging the Company’s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engaging in short sales, purchases or sales of options, puts or calls, as well as derivatives such as swaps, forwards or futures and trading on a short-term basis in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6" w:lineRule="exact"/>
        <w:rPr>
          <w:sz w:val="20"/>
          <w:szCs w:val="20"/>
          <w:color w:val="auto"/>
        </w:rPr>
      </w:pPr>
    </w:p>
    <w:p>
      <w:pPr>
        <w:ind w:left="3060" w:right="220" w:hanging="3023"/>
        <w:spacing w:after="0" w:line="304" w:lineRule="auto"/>
        <w:tabs>
          <w:tab w:leader="none" w:pos="3040" w:val="left"/>
        </w:tabs>
        <w:rPr>
          <w:sz w:val="20"/>
          <w:szCs w:val="20"/>
          <w:color w:val="auto"/>
        </w:rPr>
      </w:pPr>
      <w:r>
        <w:rPr>
          <w:rFonts w:ascii="Arial" w:cs="Arial" w:eastAsia="Arial" w:hAnsi="Arial"/>
          <w:sz w:val="16"/>
          <w:szCs w:val="16"/>
          <w:b w:val="1"/>
          <w:bCs w:val="1"/>
          <w:color w:val="auto"/>
        </w:rPr>
        <w:t>Emphasis on Equity Compensation</w:t>
      </w:r>
      <w:r>
        <w:rPr>
          <w:sz w:val="20"/>
          <w:szCs w:val="20"/>
          <w:color w:val="auto"/>
        </w:rPr>
        <w:tab/>
      </w:r>
      <w:r>
        <w:rPr>
          <w:rFonts w:ascii="Arial" w:cs="Arial" w:eastAsia="Arial" w:hAnsi="Arial"/>
          <w:sz w:val="16"/>
          <w:szCs w:val="16"/>
          <w:color w:val="auto"/>
        </w:rPr>
        <w:t>The most significant portion of non-employee director compensation is the annual RSU equity award for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Shareholder Approved</w:t>
            </w:r>
          </w:p>
        </w:tc>
        <w:tc>
          <w:tcPr>
            <w:tcW w:w="8760" w:type="dxa"/>
            <w:vAlign w:val="bottom"/>
          </w:tcPr>
          <w:p>
            <w:pPr>
              <w:ind w:left="580"/>
              <w:spacing w:after="0"/>
              <w:rPr>
                <w:sz w:val="20"/>
                <w:szCs w:val="20"/>
                <w:color w:val="auto"/>
              </w:rPr>
            </w:pPr>
            <w:r>
              <w:rPr>
                <w:rFonts w:ascii="Arial" w:cs="Arial" w:eastAsia="Arial" w:hAnsi="Arial"/>
                <w:sz w:val="16"/>
                <w:szCs w:val="16"/>
                <w:color w:val="auto"/>
              </w:rPr>
              <w:t>At our 2025 annual meeting of shareholders, our shareholders approved an annual limit on the total annual</w:t>
            </w:r>
          </w:p>
        </w:tc>
      </w:tr>
      <w:tr>
        <w:trPr>
          <w:trHeight w:val="20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Limit on Annual Director</w:t>
            </w:r>
          </w:p>
        </w:tc>
        <w:tc>
          <w:tcPr>
            <w:tcW w:w="8760" w:type="dxa"/>
            <w:vAlign w:val="bottom"/>
          </w:tcPr>
          <w:p>
            <w:pPr>
              <w:ind w:left="580"/>
              <w:spacing w:after="0"/>
              <w:rPr>
                <w:sz w:val="20"/>
                <w:szCs w:val="20"/>
                <w:color w:val="auto"/>
              </w:rPr>
            </w:pPr>
            <w:r>
              <w:rPr>
                <w:rFonts w:ascii="Arial" w:cs="Arial" w:eastAsia="Arial" w:hAnsi="Arial"/>
                <w:sz w:val="16"/>
                <w:szCs w:val="16"/>
                <w:color w:val="auto"/>
              </w:rPr>
              <w:t>compensation (cash and equity awards) that our non-employee directors may receive for service on the Board of</w:t>
            </w:r>
          </w:p>
        </w:tc>
      </w:tr>
      <w:tr>
        <w:trPr>
          <w:trHeight w:val="236"/>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Compensation</w:t>
            </w:r>
          </w:p>
        </w:tc>
        <w:tc>
          <w:tcPr>
            <w:tcW w:w="8760" w:type="dxa"/>
            <w:vAlign w:val="bottom"/>
          </w:tcPr>
          <w:p>
            <w:pPr>
              <w:ind w:left="580"/>
              <w:spacing w:after="0"/>
              <w:rPr>
                <w:sz w:val="20"/>
                <w:szCs w:val="20"/>
                <w:color w:val="auto"/>
              </w:rPr>
            </w:pPr>
            <w:r>
              <w:rPr>
                <w:rFonts w:ascii="Arial" w:cs="Arial" w:eastAsia="Arial" w:hAnsi="Arial"/>
                <w:sz w:val="16"/>
                <w:szCs w:val="16"/>
                <w:color w:val="auto"/>
              </w:rPr>
              <w:t>$1,000,000 in the aggregate per director. This cap cannot be increased without the approval of our shareholders.</w:t>
            </w:r>
          </w:p>
        </w:tc>
      </w:tr>
      <w:tr>
        <w:trPr>
          <w:trHeight w:val="223"/>
        </w:trPr>
        <w:tc>
          <w:tcPr>
            <w:tcW w:w="2480" w:type="dxa"/>
            <w:vAlign w:val="bottom"/>
            <w:tcBorders>
              <w:bottom w:val="single" w:sz="8" w:color="1A3FD6"/>
            </w:tcBorders>
          </w:tcPr>
          <w:p>
            <w:pPr>
              <w:spacing w:after="0"/>
              <w:rPr>
                <w:sz w:val="19"/>
                <w:szCs w:val="19"/>
                <w:color w:val="auto"/>
              </w:rPr>
            </w:pPr>
          </w:p>
        </w:tc>
        <w:tc>
          <w:tcPr>
            <w:tcW w:w="8760" w:type="dxa"/>
            <w:vAlign w:val="bottom"/>
            <w:tcBorders>
              <w:bottom w:val="single" w:sz="8" w:color="1A3FD6"/>
            </w:tcBorders>
          </w:tcPr>
          <w:p>
            <w:pPr>
              <w:spacing w:after="0"/>
              <w:rPr>
                <w:sz w:val="19"/>
                <w:szCs w:val="19"/>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 Program</w:t>
      </w:r>
    </w:p>
    <w:p>
      <w:pPr>
        <w:spacing w:after="0" w:line="132" w:lineRule="exact"/>
        <w:rPr>
          <w:sz w:val="20"/>
          <w:szCs w:val="20"/>
          <w:color w:val="auto"/>
        </w:rPr>
      </w:pPr>
    </w:p>
    <w:p>
      <w:pPr>
        <w:jc w:val="both"/>
        <w:ind w:right="180"/>
        <w:spacing w:after="0" w:line="283" w:lineRule="auto"/>
        <w:rPr>
          <w:sz w:val="20"/>
          <w:szCs w:val="20"/>
          <w:color w:val="auto"/>
        </w:rPr>
      </w:pPr>
      <w:r>
        <w:rPr>
          <w:rFonts w:ascii="Arial" w:cs="Arial" w:eastAsia="Arial" w:hAnsi="Arial"/>
          <w:sz w:val="16"/>
          <w:szCs w:val="16"/>
          <w:color w:val="auto"/>
        </w:rPr>
        <w:t>The Compensation Committee reviews non-employee director compensation every two years and recommends changes, when appropriate, to the Board. This review includes consideration of MSCI’s non-employee director stock ownership guidelines. The Compensation Committee is aided in its review by its external independent compensation consultant, Semler Brossy. The Compensation Committee takes into account peer benchmarking and broader general industry practices to establish non-employee director compensation.</w:t>
      </w:r>
    </w:p>
    <w:p>
      <w:pPr>
        <w:spacing w:after="0" w:line="25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b w:val="1"/>
          <w:bCs w:val="1"/>
          <w:color w:val="1A3FD6"/>
        </w:rPr>
        <w:t>Director Fees</w:t>
      </w:r>
      <w:r>
        <w:rPr>
          <w:sz w:val="20"/>
          <w:szCs w:val="20"/>
          <w:color w:val="auto"/>
        </w:rPr>
        <w:tab/>
      </w:r>
      <w:r>
        <w:rPr>
          <w:rFonts w:ascii="Arial" w:cs="Arial" w:eastAsia="Arial" w:hAnsi="Arial"/>
          <w:sz w:val="16"/>
          <w:szCs w:val="16"/>
          <w:b w:val="1"/>
          <w:bCs w:val="1"/>
          <w:color w:val="1A3FD6"/>
        </w:rPr>
        <w:t>Committee Membership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300470" cy="11398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004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the closing share price of MSCI common stock as reported by the NYSE on the trading day prior to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366395</wp:posOffset>
            </wp:positionV>
            <wp:extent cx="556895"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Director Compensation and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915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 w:right="580"/>
        <w:spacing w:after="0" w:line="282" w:lineRule="auto"/>
        <w:rPr>
          <w:sz w:val="20"/>
          <w:szCs w:val="20"/>
          <w:color w:val="auto"/>
        </w:rPr>
      </w:pPr>
      <w:r>
        <w:rPr>
          <w:rFonts w:ascii="Arial" w:cs="Arial" w:eastAsia="Arial" w:hAnsi="Arial"/>
          <w:sz w:val="16"/>
          <w:szCs w:val="16"/>
          <w:color w:val="auto"/>
        </w:rPr>
        <w:t>Following a review of peer company and market practice, the Compensation Committee approved certain adjustments to our director compensation program for 2026. Effective May 1, 2026, the grant date values of the annual RSU equity awards for each non-employee director will increase by $20,000 to $230,000 and for the Lead Director will increase by $30,000 to $290,000. In addition, the cash retainer for serving as chair of the Audit Committee will increase by $10,000 to $40,000, the cash retainer for serving as chair of our other committees will increase by $5,000 to $30,000 and the cash retainer for serving on each of our committees will increase by $5,000 to $15,000.</w:t>
      </w:r>
    </w:p>
    <w:p>
      <w:pPr>
        <w:spacing w:after="0" w:line="3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Directors may elect under the terms of the MSCI Inc. 2025 Omnibus Incentive Plan (the “2025 Omnibus Plan”) to receive their cash retainer in the form of shares of our common stock. Under the 2025 Omnibus Plan, non-employee directors are subject to annual limits on their cash and equity compensation, which were approved by our shareholders at our 2025 annual meeting of shareholders, as follows: non-employee directors may not receive in any calendar year compensation, including equity awards and cash compensation, in excess of $1,000,000 in the aggregate per director. These caps cannot be increased without the approval of our shareholders.</w:t>
      </w:r>
    </w:p>
    <w:p>
      <w:pPr>
        <w:spacing w:after="0" w:line="10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RSUs granted to non-employee directors are granted on May 1 of each year and vest on the first anniversary of the grant date. Cash retainers and RSU awards are prorated when a director joins the Board and/or a committee at any time other than May 1. RSUs granted on or after May 1 vest on the next May 1 to occur following the grant date. For example, if a director joins the Board on February 1, 2026, his or her prorated RSUs will vest on May 1, 2026. If a director joins the Board on May 31, 2026, his or her prorated RSUs will vest on May 1, 2027.</w:t>
      </w:r>
    </w:p>
    <w:p>
      <w:pPr>
        <w:spacing w:after="0" w:line="9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RSUs are recognized as an expense in the Company’s financial statements for financial reporting purposes with respect to 2025 in accordance with FASB ASC Subtopic 718-10.</w:t>
      </w:r>
    </w:p>
    <w:p>
      <w:pPr>
        <w:spacing w:after="0" w:line="7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Holders of these RSUs are entitled to participate in dividend equivalent payments, and such payments may be settled in cash, shares of our common stock, or a combination thereof, to be decided by the Company in its sole discretion. Prior to the conversion to shares, RSU holders do not have any rights as an MSCI shareholder with respect to such RSUs, including the right to vote the underlying shares. The RSUs are generally non-transferable; however, our Board may, in its discretion, specify circumstances under which an award may become immediately transferable and non-forfeitable or under which the award will be forfeited. The RSUs vest and convert to shares immediately upon termination of service for reasons of death, disability or a change in control. If service as a director terminates for any other reason, all unvested RSUs will be cancelled and forfeited unless determined otherwise by the Board or the 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are reimbursed for expenses incurred in connection with attending Board meetings and educational sessions.</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Deferral Plan</w:t>
      </w:r>
    </w:p>
    <w:p>
      <w:pPr>
        <w:spacing w:after="0" w:line="11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the MSCI Inc. Non-Employee Directors Deferral Plan (the “Deferral Plan”), our directors are permitted to defer receipt of shares of our common stock payable in lieu of cash retainers and/or upon conversion of RSUs granted to the director following the year for which an election has been submitted; provided that an election made by a director within 30 days after the director becomes eligible to receive a cash retainer or RSUs shall apply to any common stock payable in lieu of such a cash retainer and/or upon conversion of such RSUs granted to the director following the date on which the director makes the election. Receipt of shares of our common stock may be deferred until a future date specified by the director, a termination of service from the Board, or the earlier of the two. While the Deferral Plan allows for it, the Board has not yet implemented a process for the deferral of cash payments.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Director Compensation and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Non-Employee Director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3560" w:type="dxa"/>
            <w:vAlign w:val="bottom"/>
          </w:tcPr>
          <w:p>
            <w:pPr>
              <w:jc w:val="right"/>
              <w:ind w:right="201"/>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tcPr>
          <w:p>
            <w:pPr>
              <w:jc w:val="right"/>
              <w:ind w:right="241"/>
              <w:spacing w:after="0"/>
              <w:rPr>
                <w:sz w:val="20"/>
                <w:szCs w:val="20"/>
                <w:color w:val="auto"/>
              </w:rPr>
            </w:pPr>
            <w:r>
              <w:rPr>
                <w:rFonts w:ascii="Arial" w:cs="Arial" w:eastAsia="Arial" w:hAnsi="Arial"/>
                <w:sz w:val="14"/>
                <w:szCs w:val="14"/>
                <w:b w:val="1"/>
                <w:bCs w:val="1"/>
                <w:color w:val="auto"/>
              </w:rPr>
              <w:t>Stock</w:t>
            </w:r>
          </w:p>
        </w:tc>
        <w:tc>
          <w:tcPr>
            <w:tcW w:w="1740" w:type="dxa"/>
            <w:vAlign w:val="bottom"/>
          </w:tcPr>
          <w:p>
            <w:pPr>
              <w:jc w:val="right"/>
              <w:ind w:right="241"/>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6"/>
                <w:szCs w:val="16"/>
                <w:color w:val="auto"/>
              </w:rPr>
            </w:pPr>
          </w:p>
        </w:tc>
      </w:tr>
      <w:tr>
        <w:trPr>
          <w:trHeight w:val="191"/>
        </w:trPr>
        <w:tc>
          <w:tcPr>
            <w:tcW w:w="3640" w:type="dxa"/>
            <w:vAlign w:val="bottom"/>
          </w:tcPr>
          <w:p>
            <w:pPr>
              <w:spacing w:after="0"/>
              <w:rPr>
                <w:sz w:val="16"/>
                <w:szCs w:val="16"/>
                <w:color w:val="auto"/>
              </w:rPr>
            </w:pPr>
          </w:p>
        </w:tc>
        <w:tc>
          <w:tcPr>
            <w:tcW w:w="3560" w:type="dxa"/>
            <w:vAlign w:val="bottom"/>
          </w:tcPr>
          <w:p>
            <w:pPr>
              <w:jc w:val="right"/>
              <w:ind w:right="201"/>
              <w:spacing w:after="0" w:line="191" w:lineRule="exact"/>
              <w:rPr>
                <w:sz w:val="20"/>
                <w:szCs w:val="20"/>
                <w:color w:val="auto"/>
              </w:rPr>
            </w:pPr>
            <w:r>
              <w:rPr>
                <w:rFonts w:ascii="Arial" w:cs="Arial" w:eastAsia="Arial" w:hAnsi="Arial"/>
                <w:sz w:val="14"/>
                <w:szCs w:val="14"/>
                <w:b w:val="1"/>
                <w:bCs w:val="1"/>
                <w:color w:val="auto"/>
              </w:rPr>
              <w:t>Paid in Cash</w:t>
            </w:r>
            <w:r>
              <w:rPr>
                <w:rFonts w:ascii="Arial" w:cs="Arial" w:eastAsia="Arial" w:hAnsi="Arial"/>
                <w:sz w:val="18"/>
                <w:szCs w:val="18"/>
                <w:b w:val="1"/>
                <w:bCs w:val="1"/>
                <w:color w:val="auto"/>
                <w:vertAlign w:val="superscript"/>
              </w:rPr>
              <w:t>(1)(2)</w:t>
            </w:r>
          </w:p>
        </w:tc>
        <w:tc>
          <w:tcPr>
            <w:tcW w:w="1340" w:type="dxa"/>
            <w:vAlign w:val="bottom"/>
          </w:tcPr>
          <w:p>
            <w:pPr>
              <w:jc w:val="right"/>
              <w:ind w:right="241"/>
              <w:spacing w:after="0" w:line="191"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(3)(4)</w:t>
            </w:r>
          </w:p>
        </w:tc>
        <w:tc>
          <w:tcPr>
            <w:tcW w:w="1740" w:type="dxa"/>
            <w:vAlign w:val="bottom"/>
          </w:tcPr>
          <w:p>
            <w:pPr>
              <w:jc w:val="right"/>
              <w:ind w:right="241"/>
              <w:spacing w:after="0" w:line="191"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560" w:type="dxa"/>
            <w:vAlign w:val="bottom"/>
          </w:tcPr>
          <w:p>
            <w:pPr>
              <w:jc w:val="right"/>
              <w:ind w:right="201"/>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41"/>
              <w:spacing w:after="0"/>
              <w:rPr>
                <w:sz w:val="20"/>
                <w:szCs w:val="20"/>
                <w:color w:val="auto"/>
              </w:rPr>
            </w:pPr>
            <w:r>
              <w:rPr>
                <w:rFonts w:ascii="Arial" w:cs="Arial" w:eastAsia="Arial" w:hAnsi="Arial"/>
                <w:sz w:val="14"/>
                <w:szCs w:val="14"/>
                <w:b w:val="1"/>
                <w:bCs w:val="1"/>
                <w:color w:val="auto"/>
              </w:rPr>
              <w:t>($)</w:t>
            </w:r>
          </w:p>
        </w:tc>
        <w:tc>
          <w:tcPr>
            <w:tcW w:w="1740" w:type="dxa"/>
            <w:vAlign w:val="bottom"/>
          </w:tcPr>
          <w:p>
            <w:pPr>
              <w:jc w:val="right"/>
              <w:ind w:right="241"/>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9"/>
        </w:trPr>
        <w:tc>
          <w:tcPr>
            <w:tcW w:w="3640" w:type="dxa"/>
            <w:vAlign w:val="bottom"/>
            <w:tcBorders>
              <w:bottom w:val="single" w:sz="8" w:color="1A3FD6"/>
            </w:tcBorders>
          </w:tcPr>
          <w:p>
            <w:pPr>
              <w:spacing w:after="0"/>
              <w:rPr>
                <w:sz w:val="2"/>
                <w:szCs w:val="2"/>
                <w:color w:val="auto"/>
              </w:rPr>
            </w:pPr>
          </w:p>
        </w:tc>
        <w:tc>
          <w:tcPr>
            <w:tcW w:w="3560" w:type="dxa"/>
            <w:vAlign w:val="bottom"/>
            <w:tcBorders>
              <w:bottom w:val="single" w:sz="8" w:color="1A3FD6"/>
            </w:tcBorders>
          </w:tcPr>
          <w:p>
            <w:pPr>
              <w:spacing w:after="0"/>
              <w:rPr>
                <w:sz w:val="2"/>
                <w:szCs w:val="2"/>
                <w:color w:val="auto"/>
              </w:rPr>
            </w:pPr>
          </w:p>
        </w:tc>
        <w:tc>
          <w:tcPr>
            <w:tcW w:w="1340" w:type="dxa"/>
            <w:vAlign w:val="bottom"/>
            <w:tcBorders>
              <w:bottom w:val="single" w:sz="8" w:color="1A3FD6"/>
            </w:tcBorders>
          </w:tcPr>
          <w:p>
            <w:pPr>
              <w:spacing w:after="0"/>
              <w:rPr>
                <w:sz w:val="2"/>
                <w:szCs w:val="2"/>
                <w:color w:val="auto"/>
              </w:rPr>
            </w:pPr>
          </w:p>
        </w:tc>
        <w:tc>
          <w:tcPr>
            <w:tcW w:w="1740" w:type="dxa"/>
            <w:vAlign w:val="bottom"/>
            <w:tcBorders>
              <w:bottom w:val="single" w:sz="8" w:color="1A3FD6"/>
            </w:tcBorders>
          </w:tcPr>
          <w:p>
            <w:pPr>
              <w:spacing w:after="0"/>
              <w:rPr>
                <w:sz w:val="2"/>
                <w:szCs w:val="2"/>
                <w:color w:val="auto"/>
              </w:rPr>
            </w:pPr>
          </w:p>
        </w:tc>
        <w:tc>
          <w:tcPr>
            <w:tcW w:w="960" w:type="dxa"/>
            <w:vAlign w:val="bottom"/>
            <w:tcBorders>
              <w:bottom w:val="single" w:sz="8" w:color="1A3FD6"/>
            </w:tcBorders>
          </w:tcPr>
          <w:p>
            <w:pPr>
              <w:spacing w:after="0"/>
              <w:rPr>
                <w:sz w:val="2"/>
                <w:szCs w:val="2"/>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Robert G. Ashe</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109,567</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259,472</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3,575</w:t>
            </w:r>
          </w:p>
        </w:tc>
        <w:tc>
          <w:tcPr>
            <w:tcW w:w="960" w:type="dxa"/>
            <w:vAlign w:val="bottom"/>
          </w:tcPr>
          <w:p>
            <w:pPr>
              <w:jc w:val="right"/>
              <w:spacing w:after="0"/>
              <w:rPr>
                <w:sz w:val="20"/>
                <w:szCs w:val="20"/>
                <w:color w:val="auto"/>
              </w:rPr>
            </w:pPr>
            <w:r>
              <w:rPr>
                <w:rFonts w:ascii="Arial" w:cs="Arial" w:eastAsia="Arial" w:hAnsi="Arial"/>
                <w:sz w:val="16"/>
                <w:szCs w:val="16"/>
                <w:color w:val="auto"/>
              </w:rPr>
              <w:t>372,614</w:t>
            </w:r>
          </w:p>
        </w:tc>
      </w:tr>
      <w:tr>
        <w:trPr>
          <w:trHeight w:val="34"/>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63"/>
        </w:trPr>
        <w:tc>
          <w:tcPr>
            <w:tcW w:w="364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Wayne Edmunds</w:t>
            </w:r>
            <w:r>
              <w:rPr>
                <w:rFonts w:ascii="Arial" w:cs="Arial" w:eastAsia="Arial" w:hAnsi="Arial"/>
                <w:sz w:val="21"/>
                <w:szCs w:val="21"/>
                <w:b w:val="1"/>
                <w:bCs w:val="1"/>
                <w:color w:val="1A3FD6"/>
                <w:vertAlign w:val="superscript"/>
              </w:rPr>
              <w:t>(6)</w:t>
            </w:r>
          </w:p>
        </w:tc>
        <w:tc>
          <w:tcPr>
            <w:tcW w:w="3560" w:type="dxa"/>
            <w:vAlign w:val="bottom"/>
            <w:tcBorders>
              <w:bottom w:val="single" w:sz="8" w:color="E6E7E8"/>
            </w:tcBorders>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6E7E8"/>
            </w:tcBorders>
          </w:tcPr>
          <w:p>
            <w:pPr>
              <w:jc w:val="right"/>
              <w:ind w:right="281"/>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6E7E8"/>
            </w:tcBorders>
          </w:tcPr>
          <w:p>
            <w:pPr>
              <w:jc w:val="right"/>
              <w:ind w:right="281"/>
              <w:spacing w:after="0"/>
              <w:rPr>
                <w:sz w:val="20"/>
                <w:szCs w:val="20"/>
                <w:color w:val="auto"/>
              </w:rPr>
            </w:pPr>
            <w:r>
              <w:rPr>
                <w:rFonts w:ascii="Arial" w:cs="Arial" w:eastAsia="Arial" w:hAnsi="Arial"/>
                <w:sz w:val="16"/>
                <w:szCs w:val="16"/>
                <w:color w:val="auto"/>
              </w:rPr>
              <w:t>810</w:t>
            </w:r>
          </w:p>
        </w:tc>
        <w:tc>
          <w:tcPr>
            <w:tcW w:w="9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810</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Robin Matlock</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110,000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10,987</w:t>
            </w:r>
          </w:p>
        </w:tc>
        <w:tc>
          <w:tcPr>
            <w:tcW w:w="960" w:type="dxa"/>
            <w:vAlign w:val="bottom"/>
          </w:tcPr>
          <w:p>
            <w:pPr>
              <w:jc w:val="right"/>
              <w:spacing w:after="0"/>
              <w:rPr>
                <w:sz w:val="20"/>
                <w:szCs w:val="20"/>
                <w:color w:val="auto"/>
              </w:rPr>
            </w:pPr>
            <w:r>
              <w:rPr>
                <w:rFonts w:ascii="Arial" w:cs="Arial" w:eastAsia="Arial" w:hAnsi="Arial"/>
                <w:sz w:val="16"/>
                <w:szCs w:val="16"/>
                <w:color w:val="auto"/>
              </w:rPr>
              <w:t>330,854</w:t>
            </w:r>
          </w:p>
        </w:tc>
      </w:tr>
      <w:tr>
        <w:trPr>
          <w:trHeight w:val="34"/>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Jacques P. Perold</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125,000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2,889</w:t>
            </w:r>
          </w:p>
        </w:tc>
        <w:tc>
          <w:tcPr>
            <w:tcW w:w="960" w:type="dxa"/>
            <w:vAlign w:val="bottom"/>
          </w:tcPr>
          <w:p>
            <w:pPr>
              <w:jc w:val="right"/>
              <w:spacing w:after="0"/>
              <w:rPr>
                <w:sz w:val="20"/>
                <w:szCs w:val="20"/>
                <w:color w:val="auto"/>
              </w:rPr>
            </w:pPr>
            <w:r>
              <w:rPr>
                <w:rFonts w:ascii="Arial" w:cs="Arial" w:eastAsia="Arial" w:hAnsi="Arial"/>
                <w:sz w:val="16"/>
                <w:szCs w:val="16"/>
                <w:color w:val="auto"/>
              </w:rPr>
              <w:t>337,756</w:t>
            </w:r>
          </w:p>
        </w:tc>
      </w:tr>
      <w:tr>
        <w:trPr>
          <w:trHeight w:val="35"/>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Sandy C. Rattray</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125,000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2,889</w:t>
            </w:r>
          </w:p>
        </w:tc>
        <w:tc>
          <w:tcPr>
            <w:tcW w:w="960" w:type="dxa"/>
            <w:vAlign w:val="bottom"/>
          </w:tcPr>
          <w:p>
            <w:pPr>
              <w:jc w:val="right"/>
              <w:spacing w:after="0"/>
              <w:rPr>
                <w:sz w:val="20"/>
                <w:szCs w:val="20"/>
                <w:color w:val="auto"/>
              </w:rPr>
            </w:pPr>
            <w:r>
              <w:rPr>
                <w:rFonts w:ascii="Arial" w:cs="Arial" w:eastAsia="Arial" w:hAnsi="Arial"/>
                <w:sz w:val="16"/>
                <w:szCs w:val="16"/>
                <w:color w:val="auto"/>
              </w:rPr>
              <w:t>337,756</w:t>
            </w:r>
          </w:p>
        </w:tc>
      </w:tr>
      <w:tr>
        <w:trPr>
          <w:trHeight w:val="35"/>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Linda H. Riefler</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125,000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13,919</w:t>
            </w:r>
          </w:p>
        </w:tc>
        <w:tc>
          <w:tcPr>
            <w:tcW w:w="960" w:type="dxa"/>
            <w:vAlign w:val="bottom"/>
          </w:tcPr>
          <w:p>
            <w:pPr>
              <w:jc w:val="right"/>
              <w:spacing w:after="0"/>
              <w:rPr>
                <w:sz w:val="20"/>
                <w:szCs w:val="20"/>
                <w:color w:val="auto"/>
              </w:rPr>
            </w:pPr>
            <w:r>
              <w:rPr>
                <w:rFonts w:ascii="Arial" w:cs="Arial" w:eastAsia="Arial" w:hAnsi="Arial"/>
                <w:sz w:val="16"/>
                <w:szCs w:val="16"/>
                <w:color w:val="auto"/>
              </w:rPr>
              <w:t>348,786</w:t>
            </w:r>
          </w:p>
        </w:tc>
      </w:tr>
      <w:tr>
        <w:trPr>
          <w:trHeight w:val="34"/>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Michelle Seitz</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100,000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2,594</w:t>
            </w:r>
          </w:p>
        </w:tc>
        <w:tc>
          <w:tcPr>
            <w:tcW w:w="960" w:type="dxa"/>
            <w:vAlign w:val="bottom"/>
          </w:tcPr>
          <w:p>
            <w:pPr>
              <w:jc w:val="right"/>
              <w:spacing w:after="0"/>
              <w:rPr>
                <w:sz w:val="20"/>
                <w:szCs w:val="20"/>
                <w:color w:val="auto"/>
              </w:rPr>
            </w:pPr>
            <w:r>
              <w:rPr>
                <w:rFonts w:ascii="Arial" w:cs="Arial" w:eastAsia="Arial" w:hAnsi="Arial"/>
                <w:sz w:val="16"/>
                <w:szCs w:val="16"/>
                <w:color w:val="auto"/>
              </w:rPr>
              <w:t>312,461</w:t>
            </w:r>
          </w:p>
        </w:tc>
      </w:tr>
      <w:tr>
        <w:trPr>
          <w:trHeight w:val="34"/>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Marcus L. Smith</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130,000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2,889</w:t>
            </w:r>
          </w:p>
        </w:tc>
        <w:tc>
          <w:tcPr>
            <w:tcW w:w="960" w:type="dxa"/>
            <w:vAlign w:val="bottom"/>
          </w:tcPr>
          <w:p>
            <w:pPr>
              <w:jc w:val="right"/>
              <w:spacing w:after="0"/>
              <w:rPr>
                <w:sz w:val="20"/>
                <w:szCs w:val="20"/>
                <w:color w:val="auto"/>
              </w:rPr>
            </w:pPr>
            <w:r>
              <w:rPr>
                <w:rFonts w:ascii="Arial" w:cs="Arial" w:eastAsia="Arial" w:hAnsi="Arial"/>
                <w:sz w:val="16"/>
                <w:szCs w:val="16"/>
                <w:color w:val="auto"/>
              </w:rPr>
              <w:t>342,756</w:t>
            </w:r>
          </w:p>
        </w:tc>
      </w:tr>
      <w:tr>
        <w:trPr>
          <w:trHeight w:val="34"/>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Rajat Taneja</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99,755</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9,772</w:t>
            </w:r>
          </w:p>
        </w:tc>
        <w:tc>
          <w:tcPr>
            <w:tcW w:w="960" w:type="dxa"/>
            <w:vAlign w:val="bottom"/>
          </w:tcPr>
          <w:p>
            <w:pPr>
              <w:jc w:val="right"/>
              <w:spacing w:after="0"/>
              <w:rPr>
                <w:sz w:val="20"/>
                <w:szCs w:val="20"/>
                <w:color w:val="auto"/>
              </w:rPr>
            </w:pPr>
            <w:r>
              <w:rPr>
                <w:rFonts w:ascii="Arial" w:cs="Arial" w:eastAsia="Arial" w:hAnsi="Arial"/>
                <w:sz w:val="16"/>
                <w:szCs w:val="16"/>
                <w:color w:val="auto"/>
              </w:rPr>
              <w:t>319,394</w:t>
            </w:r>
          </w:p>
        </w:tc>
      </w:tr>
      <w:tr>
        <w:trPr>
          <w:trHeight w:val="34"/>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Paula Volent</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109,567</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2,889</w:t>
            </w:r>
          </w:p>
        </w:tc>
        <w:tc>
          <w:tcPr>
            <w:tcW w:w="960" w:type="dxa"/>
            <w:vAlign w:val="bottom"/>
          </w:tcPr>
          <w:p>
            <w:pPr>
              <w:jc w:val="right"/>
              <w:spacing w:after="0"/>
              <w:rPr>
                <w:sz w:val="20"/>
                <w:szCs w:val="20"/>
                <w:color w:val="auto"/>
              </w:rPr>
            </w:pPr>
            <w:r>
              <w:rPr>
                <w:rFonts w:ascii="Arial" w:cs="Arial" w:eastAsia="Arial" w:hAnsi="Arial"/>
                <w:sz w:val="16"/>
                <w:szCs w:val="16"/>
                <w:color w:val="auto"/>
              </w:rPr>
              <w:t>322,323</w:t>
            </w:r>
          </w:p>
        </w:tc>
      </w:tr>
      <w:tr>
        <w:trPr>
          <w:trHeight w:val="35"/>
        </w:trPr>
        <w:tc>
          <w:tcPr>
            <w:tcW w:w="3640" w:type="dxa"/>
            <w:vAlign w:val="bottom"/>
            <w:tcBorders>
              <w:bottom w:val="single" w:sz="8" w:color="E6E7E8"/>
            </w:tcBorders>
          </w:tcPr>
          <w:p>
            <w:pPr>
              <w:spacing w:after="0"/>
              <w:rPr>
                <w:sz w:val="3"/>
                <w:szCs w:val="3"/>
                <w:color w:val="auto"/>
              </w:rPr>
            </w:pPr>
          </w:p>
        </w:tc>
        <w:tc>
          <w:tcPr>
            <w:tcW w:w="356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1A3FD6"/>
              </w:rPr>
              <w:t>June Yang</w:t>
            </w:r>
          </w:p>
        </w:tc>
        <w:tc>
          <w:tcPr>
            <w:tcW w:w="3560" w:type="dxa"/>
            <w:vAlign w:val="bottom"/>
          </w:tcPr>
          <w:p>
            <w:pPr>
              <w:jc w:val="right"/>
              <w:ind w:right="261"/>
              <w:spacing w:after="0"/>
              <w:rPr>
                <w:sz w:val="20"/>
                <w:szCs w:val="20"/>
                <w:color w:val="auto"/>
              </w:rPr>
            </w:pPr>
            <w:r>
              <w:rPr>
                <w:rFonts w:ascii="Arial" w:cs="Arial" w:eastAsia="Arial" w:hAnsi="Arial"/>
                <w:sz w:val="16"/>
                <w:szCs w:val="16"/>
                <w:color w:val="auto"/>
              </w:rPr>
              <w:t>100,000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209,867</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2,984</w:t>
            </w:r>
          </w:p>
        </w:tc>
        <w:tc>
          <w:tcPr>
            <w:tcW w:w="960" w:type="dxa"/>
            <w:vAlign w:val="bottom"/>
          </w:tcPr>
          <w:p>
            <w:pPr>
              <w:jc w:val="right"/>
              <w:spacing w:after="0"/>
              <w:rPr>
                <w:sz w:val="20"/>
                <w:szCs w:val="20"/>
                <w:color w:val="auto"/>
              </w:rPr>
            </w:pPr>
            <w:r>
              <w:rPr>
                <w:rFonts w:ascii="Arial" w:cs="Arial" w:eastAsia="Arial" w:hAnsi="Arial"/>
                <w:sz w:val="16"/>
                <w:szCs w:val="16"/>
                <w:color w:val="auto"/>
              </w:rPr>
              <w:t>312,851</w:t>
            </w:r>
          </w:p>
        </w:tc>
      </w:tr>
      <w:tr>
        <w:trPr>
          <w:trHeight w:val="35"/>
        </w:trPr>
        <w:tc>
          <w:tcPr>
            <w:tcW w:w="3640" w:type="dxa"/>
            <w:vAlign w:val="bottom"/>
            <w:tcBorders>
              <w:bottom w:val="single" w:sz="8" w:color="1A3FD6"/>
            </w:tcBorders>
          </w:tcPr>
          <w:p>
            <w:pPr>
              <w:spacing w:after="0"/>
              <w:rPr>
                <w:sz w:val="3"/>
                <w:szCs w:val="3"/>
                <w:color w:val="auto"/>
              </w:rPr>
            </w:pPr>
          </w:p>
        </w:tc>
        <w:tc>
          <w:tcPr>
            <w:tcW w:w="3560" w:type="dxa"/>
            <w:vAlign w:val="bottom"/>
            <w:tcBorders>
              <w:bottom w:val="single" w:sz="8" w:color="1A3FD6"/>
            </w:tcBorders>
          </w:tcPr>
          <w:p>
            <w:pPr>
              <w:spacing w:after="0"/>
              <w:rPr>
                <w:sz w:val="3"/>
                <w:szCs w:val="3"/>
                <w:color w:val="auto"/>
              </w:rPr>
            </w:pPr>
          </w:p>
        </w:tc>
        <w:tc>
          <w:tcPr>
            <w:tcW w:w="1340" w:type="dxa"/>
            <w:vAlign w:val="bottom"/>
            <w:tcBorders>
              <w:bottom w:val="single" w:sz="8" w:color="1A3FD6"/>
            </w:tcBorders>
          </w:tcPr>
          <w:p>
            <w:pPr>
              <w:spacing w:after="0"/>
              <w:rPr>
                <w:sz w:val="3"/>
                <w:szCs w:val="3"/>
                <w:color w:val="auto"/>
              </w:rPr>
            </w:pPr>
          </w:p>
        </w:tc>
        <w:tc>
          <w:tcPr>
            <w:tcW w:w="1740" w:type="dxa"/>
            <w:vAlign w:val="bottom"/>
            <w:tcBorders>
              <w:bottom w:val="single" w:sz="8" w:color="1A3FD6"/>
            </w:tcBorders>
          </w:tcPr>
          <w:p>
            <w:pPr>
              <w:spacing w:after="0"/>
              <w:rPr>
                <w:sz w:val="3"/>
                <w:szCs w:val="3"/>
                <w:color w:val="auto"/>
              </w:rPr>
            </w:pPr>
          </w:p>
        </w:tc>
        <w:tc>
          <w:tcPr>
            <w:tcW w:w="960" w:type="dxa"/>
            <w:vAlign w:val="bottom"/>
            <w:tcBorders>
              <w:bottom w:val="single" w:sz="8" w:color="1A3FD6"/>
            </w:tcBorders>
          </w:tcPr>
          <w:p>
            <w:pPr>
              <w:spacing w:after="0"/>
              <w:rPr>
                <w:sz w:val="3"/>
                <w:szCs w:val="3"/>
                <w:color w:val="auto"/>
              </w:rPr>
            </w:pPr>
          </w:p>
        </w:tc>
      </w:tr>
    </w:tbl>
    <w:p>
      <w:pPr>
        <w:spacing w:after="0" w:line="153" w:lineRule="exact"/>
        <w:rPr>
          <w:sz w:val="20"/>
          <w:szCs w:val="20"/>
          <w:color w:val="auto"/>
        </w:rPr>
      </w:pPr>
    </w:p>
    <w:p>
      <w:pPr>
        <w:ind w:left="260" w:right="220" w:hanging="252"/>
        <w:spacing w:after="0" w:line="292" w:lineRule="auto"/>
        <w:tabs>
          <w:tab w:leader="none" w:pos="264" w:val="left"/>
        </w:tabs>
        <w:numPr>
          <w:ilvl w:val="0"/>
          <w:numId w:val="61"/>
        </w:numPr>
        <w:rPr>
          <w:rFonts w:ascii="Arial" w:cs="Arial" w:eastAsia="Arial" w:hAnsi="Arial"/>
          <w:sz w:val="9"/>
          <w:szCs w:val="9"/>
          <w:color w:val="auto"/>
        </w:rPr>
      </w:pPr>
      <w:r>
        <w:rPr>
          <w:rFonts w:ascii="Arial" w:cs="Arial" w:eastAsia="Arial" w:hAnsi="Arial"/>
          <w:sz w:val="14"/>
          <w:szCs w:val="14"/>
          <w:color w:val="auto"/>
        </w:rPr>
        <w:t>Pursuant to MSCI’s Third Amended and Restated Articles of Incorporation, directors hold office for a term expiring at the next annual meeting of shareholders. The Board term beginning in April 2025 and ending in April 2026 (the “2025 Board Term”) and the Board term beginning in April 2024 and ending in April 2025 do not coincide with MSCI’s calendar-year fiscal year. Amounts included in the table above represent cash earned or paid, or stock awards granted, as applicable, during the year ended December 31, 2025. Because directors are paid for service from May 1 to April 30, any prorated amounts are calculated from the applicable date to May 1 of the relevant Board term.</w:t>
      </w:r>
    </w:p>
    <w:p>
      <w:pPr>
        <w:spacing w:after="0" w:line="33" w:lineRule="exact"/>
        <w:rPr>
          <w:rFonts w:ascii="Arial" w:cs="Arial" w:eastAsia="Arial" w:hAnsi="Arial"/>
          <w:sz w:val="9"/>
          <w:szCs w:val="9"/>
          <w:color w:val="auto"/>
        </w:rPr>
      </w:pPr>
    </w:p>
    <w:p>
      <w:pPr>
        <w:ind w:left="260" w:hanging="252"/>
        <w:spacing w:after="0" w:line="264" w:lineRule="auto"/>
        <w:tabs>
          <w:tab w:leader="none" w:pos="25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Cash amounts in this column include the annual retainers and committee fees paid during the year ended December 31, 2025. Three of our directors elected to receive all or a portion of their annual cash retainers in stock as set forth below. The number of shares issued was determined by dividing the aggregate value of the elected portion of the cash retainer by the closing share price of MSCI common stock on the trading day prior to the grant date ($545.11 for Messrs. Ashe and Taneja and Ms. Volent) and rounding down to the next whole number. Mr. Taneja elected to defer receipt of such shares until the earlier of (i) June 1, 2025 and (ii) the 60</w:t>
      </w:r>
      <w:r>
        <w:rPr>
          <w:rFonts w:ascii="Arial" w:cs="Arial" w:eastAsia="Arial" w:hAnsi="Arial"/>
          <w:sz w:val="9"/>
          <w:szCs w:val="9"/>
          <w:color w:val="auto"/>
        </w:rPr>
        <w:t>th</w:t>
      </w:r>
      <w:r>
        <w:rPr>
          <w:rFonts w:ascii="Arial" w:cs="Arial" w:eastAsia="Arial" w:hAnsi="Arial"/>
          <w:sz w:val="14"/>
          <w:szCs w:val="14"/>
          <w:color w:val="auto"/>
        </w:rPr>
        <w:t xml:space="preserve"> day after his “separation from service” as a director under the Deferral Plan. Mr. Taneja’s deferral period lapsed on June 1, 2025, and the deferred shares were delivered to him on such date.</w:t>
      </w:r>
    </w:p>
    <w:p>
      <w:pPr>
        <w:spacing w:after="0" w:line="190"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4280" w:type="dxa"/>
            <w:vAlign w:val="bottom"/>
          </w:tcPr>
          <w:p>
            <w:pPr>
              <w:ind w:left="3600"/>
              <w:spacing w:after="0"/>
              <w:rPr>
                <w:sz w:val="20"/>
                <w:szCs w:val="20"/>
                <w:color w:val="auto"/>
              </w:rPr>
            </w:pPr>
            <w:r>
              <w:rPr>
                <w:rFonts w:ascii="Arial" w:cs="Arial" w:eastAsia="Arial" w:hAnsi="Arial"/>
                <w:sz w:val="13"/>
                <w:szCs w:val="13"/>
                <w:b w:val="1"/>
                <w:bCs w:val="1"/>
                <w:color w:val="auto"/>
              </w:rPr>
              <w:t>Cash</w:t>
            </w:r>
          </w:p>
        </w:tc>
        <w:tc>
          <w:tcPr>
            <w:tcW w:w="1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r>
      <w:tr>
        <w:trPr>
          <w:trHeight w:val="22"/>
        </w:trPr>
        <w:tc>
          <w:tcPr>
            <w:tcW w:w="4320" w:type="dxa"/>
            <w:vAlign w:val="bottom"/>
            <w:tcBorders>
              <w:bottom w:val="single" w:sz="8" w:color="1A3FD6"/>
            </w:tcBorders>
          </w:tcPr>
          <w:p>
            <w:pPr>
              <w:spacing w:after="0" w:line="20" w:lineRule="exact"/>
              <w:rPr>
                <w:sz w:val="1"/>
                <w:szCs w:val="1"/>
                <w:color w:val="auto"/>
              </w:rPr>
            </w:pPr>
          </w:p>
        </w:tc>
        <w:tc>
          <w:tcPr>
            <w:tcW w:w="4280" w:type="dxa"/>
            <w:vAlign w:val="bottom"/>
            <w:tcBorders>
              <w:bottom w:val="single" w:sz="8" w:color="1A3FD6"/>
            </w:tcBorders>
          </w:tcPr>
          <w:p>
            <w:pPr>
              <w:spacing w:after="0" w:line="20" w:lineRule="exact"/>
              <w:rPr>
                <w:sz w:val="1"/>
                <w:szCs w:val="1"/>
                <w:color w:val="auto"/>
              </w:rPr>
            </w:pPr>
          </w:p>
        </w:tc>
        <w:tc>
          <w:tcPr>
            <w:tcW w:w="1180" w:type="dxa"/>
            <w:vAlign w:val="bottom"/>
            <w:tcBorders>
              <w:bottom w:val="single" w:sz="8" w:color="1A3FD6"/>
            </w:tcBorders>
          </w:tcPr>
          <w:p>
            <w:pPr>
              <w:spacing w:after="0" w:line="20" w:lineRule="exact"/>
              <w:rPr>
                <w:sz w:val="1"/>
                <w:szCs w:val="1"/>
                <w:color w:val="auto"/>
              </w:rPr>
            </w:pPr>
          </w:p>
        </w:tc>
        <w:tc>
          <w:tcPr>
            <w:tcW w:w="840" w:type="dxa"/>
            <w:vAlign w:val="bottom"/>
            <w:tcBorders>
              <w:bottom w:val="single" w:sz="8" w:color="1A3FD6"/>
            </w:tcBorders>
          </w:tcPr>
          <w:p>
            <w:pPr>
              <w:spacing w:after="0" w:line="20" w:lineRule="exact"/>
              <w:rPr>
                <w:sz w:val="1"/>
                <w:szCs w:val="1"/>
                <w:color w:val="auto"/>
              </w:rPr>
            </w:pPr>
          </w:p>
        </w:tc>
      </w:tr>
      <w:tr>
        <w:trPr>
          <w:trHeight w:val="208"/>
        </w:trPr>
        <w:tc>
          <w:tcPr>
            <w:tcW w:w="4320" w:type="dxa"/>
            <w:vAlign w:val="bottom"/>
          </w:tcPr>
          <w:p>
            <w:pPr>
              <w:ind w:left="20"/>
              <w:spacing w:after="0"/>
              <w:rPr>
                <w:sz w:val="20"/>
                <w:szCs w:val="20"/>
                <w:color w:val="auto"/>
              </w:rPr>
            </w:pPr>
            <w:r>
              <w:rPr>
                <w:rFonts w:ascii="Arial" w:cs="Arial" w:eastAsia="Arial" w:hAnsi="Arial"/>
                <w:sz w:val="14"/>
                <w:szCs w:val="14"/>
                <w:b w:val="1"/>
                <w:bCs w:val="1"/>
                <w:color w:val="1A3FD6"/>
              </w:rPr>
              <w:t>Mr. Ashe</w:t>
            </w:r>
          </w:p>
        </w:tc>
        <w:tc>
          <w:tcPr>
            <w:tcW w:w="4280" w:type="dxa"/>
            <w:vAlign w:val="bottom"/>
          </w:tcPr>
          <w:p>
            <w:pPr>
              <w:ind w:left="37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$109,567.11</w:t>
            </w:r>
          </w:p>
        </w:tc>
        <w:tc>
          <w:tcPr>
            <w:tcW w:w="840" w:type="dxa"/>
            <w:vAlign w:val="bottom"/>
          </w:tcPr>
          <w:p>
            <w:pPr>
              <w:jc w:val="right"/>
              <w:spacing w:after="0"/>
              <w:rPr>
                <w:sz w:val="20"/>
                <w:szCs w:val="20"/>
                <w:color w:val="auto"/>
              </w:rPr>
            </w:pPr>
            <w:r>
              <w:rPr>
                <w:rFonts w:ascii="Arial" w:cs="Arial" w:eastAsia="Arial" w:hAnsi="Arial"/>
                <w:sz w:val="14"/>
                <w:szCs w:val="14"/>
                <w:color w:val="auto"/>
              </w:rPr>
              <w:t>(201 shares)</w:t>
            </w:r>
          </w:p>
        </w:tc>
      </w:tr>
      <w:tr>
        <w:trPr>
          <w:trHeight w:val="29"/>
        </w:trPr>
        <w:tc>
          <w:tcPr>
            <w:tcW w:w="4320" w:type="dxa"/>
            <w:vAlign w:val="bottom"/>
            <w:tcBorders>
              <w:bottom w:val="single" w:sz="8" w:color="E6E7E8"/>
            </w:tcBorders>
          </w:tcPr>
          <w:p>
            <w:pPr>
              <w:spacing w:after="0"/>
              <w:rPr>
                <w:sz w:val="2"/>
                <w:szCs w:val="2"/>
                <w:color w:val="auto"/>
              </w:rPr>
            </w:pPr>
          </w:p>
        </w:tc>
        <w:tc>
          <w:tcPr>
            <w:tcW w:w="428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r>
      <w:tr>
        <w:trPr>
          <w:trHeight w:val="208"/>
        </w:trPr>
        <w:tc>
          <w:tcPr>
            <w:tcW w:w="4320" w:type="dxa"/>
            <w:vAlign w:val="bottom"/>
          </w:tcPr>
          <w:p>
            <w:pPr>
              <w:ind w:left="20"/>
              <w:spacing w:after="0"/>
              <w:rPr>
                <w:sz w:val="20"/>
                <w:szCs w:val="20"/>
                <w:color w:val="auto"/>
              </w:rPr>
            </w:pPr>
            <w:r>
              <w:rPr>
                <w:rFonts w:ascii="Arial" w:cs="Arial" w:eastAsia="Arial" w:hAnsi="Arial"/>
                <w:sz w:val="14"/>
                <w:szCs w:val="14"/>
                <w:b w:val="1"/>
                <w:bCs w:val="1"/>
                <w:color w:val="1A3FD6"/>
              </w:rPr>
              <w:t>Mr. Taneja</w:t>
            </w:r>
          </w:p>
        </w:tc>
        <w:tc>
          <w:tcPr>
            <w:tcW w:w="4280" w:type="dxa"/>
            <w:vAlign w:val="bottom"/>
          </w:tcPr>
          <w:p>
            <w:pPr>
              <w:ind w:left="37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$99,755.13</w:t>
            </w:r>
          </w:p>
        </w:tc>
        <w:tc>
          <w:tcPr>
            <w:tcW w:w="840" w:type="dxa"/>
            <w:vAlign w:val="bottom"/>
          </w:tcPr>
          <w:p>
            <w:pPr>
              <w:jc w:val="right"/>
              <w:spacing w:after="0"/>
              <w:rPr>
                <w:sz w:val="20"/>
                <w:szCs w:val="20"/>
                <w:color w:val="auto"/>
              </w:rPr>
            </w:pPr>
            <w:r>
              <w:rPr>
                <w:rFonts w:ascii="Arial" w:cs="Arial" w:eastAsia="Arial" w:hAnsi="Arial"/>
                <w:sz w:val="14"/>
                <w:szCs w:val="14"/>
                <w:color w:val="auto"/>
              </w:rPr>
              <w:t>(183 shares)</w:t>
            </w:r>
          </w:p>
        </w:tc>
      </w:tr>
      <w:tr>
        <w:trPr>
          <w:trHeight w:val="29"/>
        </w:trPr>
        <w:tc>
          <w:tcPr>
            <w:tcW w:w="4320" w:type="dxa"/>
            <w:vAlign w:val="bottom"/>
            <w:tcBorders>
              <w:bottom w:val="single" w:sz="8" w:color="E6E7E8"/>
            </w:tcBorders>
          </w:tcPr>
          <w:p>
            <w:pPr>
              <w:spacing w:after="0"/>
              <w:rPr>
                <w:sz w:val="2"/>
                <w:szCs w:val="2"/>
                <w:color w:val="auto"/>
              </w:rPr>
            </w:pPr>
          </w:p>
        </w:tc>
        <w:tc>
          <w:tcPr>
            <w:tcW w:w="428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r>
      <w:tr>
        <w:trPr>
          <w:trHeight w:val="208"/>
        </w:trPr>
        <w:tc>
          <w:tcPr>
            <w:tcW w:w="4320" w:type="dxa"/>
            <w:vAlign w:val="bottom"/>
          </w:tcPr>
          <w:p>
            <w:pPr>
              <w:ind w:left="20"/>
              <w:spacing w:after="0"/>
              <w:rPr>
                <w:sz w:val="20"/>
                <w:szCs w:val="20"/>
                <w:color w:val="auto"/>
              </w:rPr>
            </w:pPr>
            <w:r>
              <w:rPr>
                <w:rFonts w:ascii="Arial" w:cs="Arial" w:eastAsia="Arial" w:hAnsi="Arial"/>
                <w:sz w:val="14"/>
                <w:szCs w:val="14"/>
                <w:b w:val="1"/>
                <w:bCs w:val="1"/>
                <w:color w:val="1A3FD6"/>
              </w:rPr>
              <w:t>Ms. Volent</w:t>
            </w:r>
          </w:p>
        </w:tc>
        <w:tc>
          <w:tcPr>
            <w:tcW w:w="4280" w:type="dxa"/>
            <w:vAlign w:val="bottom"/>
          </w:tcPr>
          <w:p>
            <w:pPr>
              <w:ind w:left="37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$109,567.11</w:t>
            </w:r>
          </w:p>
        </w:tc>
        <w:tc>
          <w:tcPr>
            <w:tcW w:w="840" w:type="dxa"/>
            <w:vAlign w:val="bottom"/>
          </w:tcPr>
          <w:p>
            <w:pPr>
              <w:jc w:val="right"/>
              <w:spacing w:after="0"/>
              <w:rPr>
                <w:sz w:val="20"/>
                <w:szCs w:val="20"/>
                <w:color w:val="auto"/>
              </w:rPr>
            </w:pPr>
            <w:r>
              <w:rPr>
                <w:rFonts w:ascii="Arial" w:cs="Arial" w:eastAsia="Arial" w:hAnsi="Arial"/>
                <w:sz w:val="14"/>
                <w:szCs w:val="14"/>
                <w:color w:val="auto"/>
              </w:rPr>
              <w:t>(201 shares)</w:t>
            </w:r>
          </w:p>
        </w:tc>
      </w:tr>
      <w:tr>
        <w:trPr>
          <w:trHeight w:val="29"/>
        </w:trPr>
        <w:tc>
          <w:tcPr>
            <w:tcW w:w="4320" w:type="dxa"/>
            <w:vAlign w:val="bottom"/>
            <w:tcBorders>
              <w:bottom w:val="single" w:sz="8" w:color="1A3FD6"/>
            </w:tcBorders>
          </w:tcPr>
          <w:p>
            <w:pPr>
              <w:spacing w:after="0"/>
              <w:rPr>
                <w:sz w:val="2"/>
                <w:szCs w:val="2"/>
                <w:color w:val="auto"/>
              </w:rPr>
            </w:pPr>
          </w:p>
        </w:tc>
        <w:tc>
          <w:tcPr>
            <w:tcW w:w="4280" w:type="dxa"/>
            <w:vAlign w:val="bottom"/>
            <w:tcBorders>
              <w:bottom w:val="single" w:sz="8" w:color="1A3FD6"/>
            </w:tcBorders>
          </w:tcPr>
          <w:p>
            <w:pPr>
              <w:spacing w:after="0"/>
              <w:rPr>
                <w:sz w:val="2"/>
                <w:szCs w:val="2"/>
                <w:color w:val="auto"/>
              </w:rPr>
            </w:pPr>
          </w:p>
        </w:tc>
        <w:tc>
          <w:tcPr>
            <w:tcW w:w="1180" w:type="dxa"/>
            <w:vAlign w:val="bottom"/>
            <w:tcBorders>
              <w:bottom w:val="single" w:sz="8" w:color="1A3FD6"/>
            </w:tcBorders>
          </w:tcPr>
          <w:p>
            <w:pPr>
              <w:spacing w:after="0"/>
              <w:rPr>
                <w:sz w:val="2"/>
                <w:szCs w:val="2"/>
                <w:color w:val="auto"/>
              </w:rPr>
            </w:pPr>
          </w:p>
        </w:tc>
        <w:tc>
          <w:tcPr>
            <w:tcW w:w="840" w:type="dxa"/>
            <w:vAlign w:val="bottom"/>
            <w:tcBorders>
              <w:bottom w:val="single" w:sz="8" w:color="1A3FD6"/>
            </w:tcBorders>
          </w:tcPr>
          <w:p>
            <w:pPr>
              <w:spacing w:after="0"/>
              <w:rPr>
                <w:sz w:val="2"/>
                <w:szCs w:val="2"/>
                <w:color w:val="auto"/>
              </w:rPr>
            </w:pPr>
          </w:p>
        </w:tc>
      </w:tr>
    </w:tbl>
    <w:p>
      <w:pPr>
        <w:spacing w:after="0" w:line="220" w:lineRule="exact"/>
        <w:rPr>
          <w:sz w:val="20"/>
          <w:szCs w:val="20"/>
          <w:color w:val="auto"/>
        </w:rPr>
      </w:pPr>
    </w:p>
    <w:p>
      <w:pPr>
        <w:ind w:left="260" w:right="40" w:hanging="252"/>
        <w:spacing w:after="0" w:line="253" w:lineRule="auto"/>
        <w:tabs>
          <w:tab w:leader="none" w:pos="25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Represents the aggregate grant date fair value of RSUs granted in 2025 in accordance with FASB ASC Subtopic 718-10. The fair value is calculated by multiplying the closing share price of MSCI common stock on the date prior to the grant date by the number of units awarded. For assumptions regarding these calculations, please see notes 1 and 11 to the consolidated financial statements included in our 2025 Annual Report on Form 10-K filed with the SEC on February 6, 2026. The values in this column may not correspond to the actual value that will be realized by the non-employee directors at the time the RSUs vest. The number of RSUs awarded is determined by dividing the aggregate value of the RSU award by the closing share price of MSCI common stock on the trading day prior to the grant date ($545.11 for Messrs. Ashe, Perold, Rattray, Taneja and Smith and Mmes. Matlock, Riefler, Seitz, Volent and Yang) and rounding down to the next whole number. For the 2025 Board term, each of Messrs. Perold, Rattray, Taneja and Smith and Mmes. Matlock, Riefler, Seitz, Volent and Yang received 385 RSUs and Mr. Ashe received 476 RSUs. These RSUs will vest on May 1, 2026. Ms. Matlock elected to defer receipt of such shares issuable upon vesting until the earlier of (i) June 1, 2033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under the Deferral Plan. Mmes. Riefler and Yang elected to defer receipt of such shares issuable upon vesting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their “separation from service” as a director under the Deferral Plan. Mr. Taneja elected to defer receipt of such shares issuable upon vesting until the earlier of (i) June 1, 2025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his “separation from service” as a director under the Deferral Plan. Mr. Taneja’s deferral period lapsed on June 1, 2025, and the deferred shares were delivered to him on such date.</w:t>
      </w:r>
    </w:p>
    <w:p>
      <w:pPr>
        <w:spacing w:after="0" w:line="249" w:lineRule="exact"/>
        <w:rPr>
          <w:rFonts w:ascii="Arial" w:cs="Arial" w:eastAsia="Arial" w:hAnsi="Arial"/>
          <w:sz w:val="19"/>
          <w:szCs w:val="19"/>
          <w:color w:val="auto"/>
          <w:vertAlign w:val="superscript"/>
        </w:rPr>
      </w:pPr>
    </w:p>
    <w:p>
      <w:pPr>
        <w:ind w:left="260" w:right="160" w:hanging="252"/>
        <w:spacing w:after="0" w:line="239" w:lineRule="auto"/>
        <w:tabs>
          <w:tab w:leader="none" w:pos="25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As of December 31, 2025, each of our non-employee directors had the following outstanding stock awards in the form of RSUs: Messrs. Perold, Rattray, Taneja and Smith and Mmes. Matlock, Riefler, Seitz, Volent and Yang each had 385 RSUs outstanding and Mr. Ashe had 476 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297180</wp:posOffset>
            </wp:positionV>
            <wp:extent cx="556895"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color w:val="auto"/>
        </w:rPr>
        <w:t>Director Compensation and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180" w:hanging="252"/>
        <w:spacing w:after="0" w:line="264" w:lineRule="auto"/>
        <w:tabs>
          <w:tab w:leader="none" w:pos="25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Cash amounts in this column include dividend equivalents paid during the year ended December 31, 2025 in connection with the Company’s payment of its quarterly cash dividend. Each of Mmes. Matlock, Riefler and Yang received shares of our common stock and a cash payment for fractional shares received as a dividend equivalent payment for RSUs and in lieu of receiving a cash dividend payment for shares, in each case subject to her deferral election. Mr. Taneja received shares of our common stock and a cash payment for fractional shares received as a dividend equivalent payment for RSUs and shares elected in lieu of annual cash retainer and in lieu of receiving a cash dividend payment for shares subject to his deferral election. The table below sets forth the amounts received by each.</w:t>
      </w:r>
    </w:p>
    <w:p>
      <w:pPr>
        <w:spacing w:after="0" w:line="12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3"/>
                <w:szCs w:val="13"/>
                <w:b w:val="1"/>
                <w:bCs w:val="1"/>
                <w:color w:val="auto"/>
                <w:w w:val="95"/>
              </w:rPr>
              <w:t>Cash Received for</w:t>
            </w:r>
          </w:p>
        </w:tc>
      </w:tr>
      <w:tr>
        <w:trPr>
          <w:trHeight w:val="172"/>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4000" w:type="dxa"/>
            <w:vAlign w:val="bottom"/>
          </w:tcPr>
          <w:p>
            <w:pPr>
              <w:spacing w:after="0"/>
              <w:rPr>
                <w:sz w:val="14"/>
                <w:szCs w:val="14"/>
                <w:color w:val="auto"/>
              </w:rPr>
            </w:pPr>
          </w:p>
        </w:tc>
        <w:tc>
          <w:tcPr>
            <w:tcW w:w="1080" w:type="dxa"/>
            <w:vAlign w:val="bottom"/>
          </w:tcPr>
          <w:p>
            <w:pPr>
              <w:jc w:val="right"/>
              <w:ind w:right="250"/>
              <w:spacing w:after="0"/>
              <w:rPr>
                <w:sz w:val="20"/>
                <w:szCs w:val="20"/>
                <w:color w:val="auto"/>
              </w:rPr>
            </w:pPr>
            <w:r>
              <w:rPr>
                <w:rFonts w:ascii="Arial" w:cs="Arial" w:eastAsia="Arial" w:hAnsi="Arial"/>
                <w:sz w:val="13"/>
                <w:szCs w:val="13"/>
                <w:b w:val="1"/>
                <w:bCs w:val="1"/>
                <w:color w:val="auto"/>
              </w:rPr>
              <w:t>Shares</w:t>
            </w:r>
          </w:p>
        </w:tc>
        <w:tc>
          <w:tcPr>
            <w:tcW w:w="1420" w:type="dxa"/>
            <w:vAlign w:val="bottom"/>
            <w:gridSpan w:val="2"/>
          </w:tcPr>
          <w:p>
            <w:pPr>
              <w:ind w:left="360"/>
              <w:spacing w:after="0"/>
              <w:rPr>
                <w:sz w:val="20"/>
                <w:szCs w:val="20"/>
                <w:color w:val="auto"/>
              </w:rPr>
            </w:pPr>
            <w:r>
              <w:rPr>
                <w:rFonts w:ascii="Arial" w:cs="Arial" w:eastAsia="Arial" w:hAnsi="Arial"/>
                <w:sz w:val="13"/>
                <w:szCs w:val="13"/>
                <w:b w:val="1"/>
                <w:bCs w:val="1"/>
                <w:color w:val="auto"/>
                <w:w w:val="95"/>
              </w:rPr>
              <w:t>Fractional Shares</w:t>
            </w:r>
          </w:p>
        </w:tc>
      </w:tr>
      <w:tr>
        <w:trPr>
          <w:trHeight w:val="22"/>
        </w:trPr>
        <w:tc>
          <w:tcPr>
            <w:tcW w:w="4120" w:type="dxa"/>
            <w:vAlign w:val="bottom"/>
            <w:tcBorders>
              <w:bottom w:val="single" w:sz="8" w:color="1A3FD6"/>
            </w:tcBorders>
          </w:tcPr>
          <w:p>
            <w:pPr>
              <w:spacing w:after="0" w:line="20" w:lineRule="exact"/>
              <w:rPr>
                <w:sz w:val="1"/>
                <w:szCs w:val="1"/>
                <w:color w:val="auto"/>
              </w:rPr>
            </w:pPr>
          </w:p>
        </w:tc>
        <w:tc>
          <w:tcPr>
            <w:tcW w:w="4000" w:type="dxa"/>
            <w:vAlign w:val="bottom"/>
            <w:tcBorders>
              <w:bottom w:val="single" w:sz="8" w:color="1A3FD6"/>
            </w:tcBorders>
          </w:tcPr>
          <w:p>
            <w:pPr>
              <w:spacing w:after="0" w:line="20" w:lineRule="exact"/>
              <w:rPr>
                <w:sz w:val="1"/>
                <w:szCs w:val="1"/>
                <w:color w:val="auto"/>
              </w:rPr>
            </w:pPr>
          </w:p>
        </w:tc>
        <w:tc>
          <w:tcPr>
            <w:tcW w:w="1080" w:type="dxa"/>
            <w:vAlign w:val="bottom"/>
            <w:tcBorders>
              <w:bottom w:val="single" w:sz="8" w:color="1A3FD6"/>
            </w:tcBorders>
          </w:tcPr>
          <w:p>
            <w:pPr>
              <w:spacing w:after="0" w:line="20" w:lineRule="exact"/>
              <w:rPr>
                <w:sz w:val="1"/>
                <w:szCs w:val="1"/>
                <w:color w:val="auto"/>
              </w:rPr>
            </w:pPr>
          </w:p>
        </w:tc>
        <w:tc>
          <w:tcPr>
            <w:tcW w:w="620" w:type="dxa"/>
            <w:vAlign w:val="bottom"/>
            <w:tcBorders>
              <w:bottom w:val="single" w:sz="8" w:color="1A3FD6"/>
            </w:tcBorders>
          </w:tcPr>
          <w:p>
            <w:pPr>
              <w:spacing w:after="0" w:line="20" w:lineRule="exact"/>
              <w:rPr>
                <w:sz w:val="1"/>
                <w:szCs w:val="1"/>
                <w:color w:val="auto"/>
              </w:rPr>
            </w:pPr>
          </w:p>
        </w:tc>
        <w:tc>
          <w:tcPr>
            <w:tcW w:w="800" w:type="dxa"/>
            <w:vAlign w:val="bottom"/>
            <w:tcBorders>
              <w:bottom w:val="single" w:sz="8" w:color="1A3FD6"/>
            </w:tcBorders>
          </w:tcPr>
          <w:p>
            <w:pPr>
              <w:spacing w:after="0" w:line="20" w:lineRule="exact"/>
              <w:rPr>
                <w:sz w:val="1"/>
                <w:szCs w:val="1"/>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4"/>
                <w:szCs w:val="14"/>
                <w:b w:val="1"/>
                <w:bCs w:val="1"/>
                <w:color w:val="1A3FD6"/>
              </w:rPr>
              <w:t>Ms. Matlock</w:t>
            </w:r>
          </w:p>
        </w:tc>
        <w:tc>
          <w:tcPr>
            <w:tcW w:w="4000" w:type="dxa"/>
            <w:vAlign w:val="bottom"/>
          </w:tcPr>
          <w:p>
            <w:pPr>
              <w:jc w:val="right"/>
              <w:spacing w:after="0"/>
              <w:rPr>
                <w:sz w:val="20"/>
                <w:szCs w:val="20"/>
                <w:color w:val="auto"/>
              </w:rPr>
            </w:pPr>
            <w:r>
              <w:rPr>
                <w:rFonts w:ascii="Arial" w:cs="Arial" w:eastAsia="Arial" w:hAnsi="Arial"/>
                <w:sz w:val="14"/>
                <w:szCs w:val="14"/>
                <w:color w:val="auto"/>
              </w:rPr>
              <w:t>$ 8,532.97</w:t>
            </w: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(15 shares)</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2,454.23</w:t>
            </w:r>
          </w:p>
        </w:tc>
      </w:tr>
      <w:tr>
        <w:trPr>
          <w:trHeight w:val="29"/>
        </w:trPr>
        <w:tc>
          <w:tcPr>
            <w:tcW w:w="4120" w:type="dxa"/>
            <w:vAlign w:val="bottom"/>
            <w:tcBorders>
              <w:bottom w:val="single" w:sz="8" w:color="E6E7E8"/>
            </w:tcBorders>
          </w:tcPr>
          <w:p>
            <w:pPr>
              <w:spacing w:after="0"/>
              <w:rPr>
                <w:sz w:val="2"/>
                <w:szCs w:val="2"/>
                <w:color w:val="auto"/>
              </w:rPr>
            </w:pPr>
          </w:p>
        </w:tc>
        <w:tc>
          <w:tcPr>
            <w:tcW w:w="4000" w:type="dxa"/>
            <w:vAlign w:val="bottom"/>
            <w:tcBorders>
              <w:bottom w:val="single" w:sz="8" w:color="E6E7E8"/>
            </w:tcBorders>
          </w:tcPr>
          <w:p>
            <w:pPr>
              <w:spacing w:after="0"/>
              <w:rPr>
                <w:sz w:val="2"/>
                <w:szCs w:val="2"/>
                <w:color w:val="auto"/>
              </w:rPr>
            </w:pPr>
          </w:p>
        </w:tc>
        <w:tc>
          <w:tcPr>
            <w:tcW w:w="1080" w:type="dxa"/>
            <w:vAlign w:val="bottom"/>
            <w:tcBorders>
              <w:bottom w:val="single" w:sz="8" w:color="E6E7E8"/>
            </w:tcBorders>
          </w:tcPr>
          <w:p>
            <w:pPr>
              <w:spacing w:after="0"/>
              <w:rPr>
                <w:sz w:val="2"/>
                <w:szCs w:val="2"/>
                <w:color w:val="auto"/>
              </w:rPr>
            </w:pPr>
          </w:p>
        </w:tc>
        <w:tc>
          <w:tcPr>
            <w:tcW w:w="62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r>
      <w:tr>
        <w:trPr>
          <w:trHeight w:val="207"/>
        </w:trPr>
        <w:tc>
          <w:tcPr>
            <w:tcW w:w="4120" w:type="dxa"/>
            <w:vAlign w:val="bottom"/>
          </w:tcPr>
          <w:p>
            <w:pPr>
              <w:ind w:left="20"/>
              <w:spacing w:after="0"/>
              <w:rPr>
                <w:sz w:val="20"/>
                <w:szCs w:val="20"/>
                <w:color w:val="auto"/>
              </w:rPr>
            </w:pPr>
            <w:r>
              <w:rPr>
                <w:rFonts w:ascii="Arial" w:cs="Arial" w:eastAsia="Arial" w:hAnsi="Arial"/>
                <w:sz w:val="14"/>
                <w:szCs w:val="14"/>
                <w:b w:val="1"/>
                <w:bCs w:val="1"/>
                <w:color w:val="1A3FD6"/>
              </w:rPr>
              <w:t>Ms. Riefler</w:t>
            </w:r>
          </w:p>
        </w:tc>
        <w:tc>
          <w:tcPr>
            <w:tcW w:w="4000" w:type="dxa"/>
            <w:vAlign w:val="bottom"/>
          </w:tcPr>
          <w:p>
            <w:pPr>
              <w:jc w:val="right"/>
              <w:spacing w:after="0"/>
              <w:rPr>
                <w:sz w:val="20"/>
                <w:szCs w:val="20"/>
                <w:color w:val="auto"/>
              </w:rPr>
            </w:pPr>
            <w:r>
              <w:rPr>
                <w:rFonts w:ascii="Arial" w:cs="Arial" w:eastAsia="Arial" w:hAnsi="Arial"/>
                <w:sz w:val="14"/>
                <w:szCs w:val="14"/>
                <w:color w:val="auto"/>
              </w:rPr>
              <w:t>$12,508.82</w:t>
            </w: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(22 shares)</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1,410.58</w:t>
            </w:r>
          </w:p>
        </w:tc>
      </w:tr>
      <w:tr>
        <w:trPr>
          <w:trHeight w:val="29"/>
        </w:trPr>
        <w:tc>
          <w:tcPr>
            <w:tcW w:w="4120" w:type="dxa"/>
            <w:vAlign w:val="bottom"/>
            <w:tcBorders>
              <w:bottom w:val="single" w:sz="8" w:color="E6E7E8"/>
            </w:tcBorders>
          </w:tcPr>
          <w:p>
            <w:pPr>
              <w:spacing w:after="0"/>
              <w:rPr>
                <w:sz w:val="2"/>
                <w:szCs w:val="2"/>
                <w:color w:val="auto"/>
              </w:rPr>
            </w:pPr>
          </w:p>
        </w:tc>
        <w:tc>
          <w:tcPr>
            <w:tcW w:w="4000" w:type="dxa"/>
            <w:vAlign w:val="bottom"/>
            <w:tcBorders>
              <w:bottom w:val="single" w:sz="8" w:color="E6E7E8"/>
            </w:tcBorders>
          </w:tcPr>
          <w:p>
            <w:pPr>
              <w:spacing w:after="0"/>
              <w:rPr>
                <w:sz w:val="2"/>
                <w:szCs w:val="2"/>
                <w:color w:val="auto"/>
              </w:rPr>
            </w:pPr>
          </w:p>
        </w:tc>
        <w:tc>
          <w:tcPr>
            <w:tcW w:w="1080" w:type="dxa"/>
            <w:vAlign w:val="bottom"/>
            <w:tcBorders>
              <w:bottom w:val="single" w:sz="8" w:color="E6E7E8"/>
            </w:tcBorders>
          </w:tcPr>
          <w:p>
            <w:pPr>
              <w:spacing w:after="0"/>
              <w:rPr>
                <w:sz w:val="2"/>
                <w:szCs w:val="2"/>
                <w:color w:val="auto"/>
              </w:rPr>
            </w:pPr>
          </w:p>
        </w:tc>
        <w:tc>
          <w:tcPr>
            <w:tcW w:w="62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4"/>
                <w:szCs w:val="14"/>
                <w:b w:val="1"/>
                <w:bCs w:val="1"/>
                <w:color w:val="1A3FD6"/>
              </w:rPr>
              <w:t>Mr. Taneja</w:t>
            </w:r>
          </w:p>
        </w:tc>
        <w:tc>
          <w:tcPr>
            <w:tcW w:w="4000" w:type="dxa"/>
            <w:vAlign w:val="bottom"/>
          </w:tcPr>
          <w:p>
            <w:pPr>
              <w:jc w:val="right"/>
              <w:spacing w:after="0"/>
              <w:rPr>
                <w:sz w:val="20"/>
                <w:szCs w:val="20"/>
                <w:color w:val="auto"/>
              </w:rPr>
            </w:pPr>
            <w:r>
              <w:rPr>
                <w:rFonts w:ascii="Arial" w:cs="Arial" w:eastAsia="Arial" w:hAnsi="Arial"/>
                <w:sz w:val="14"/>
                <w:szCs w:val="14"/>
                <w:color w:val="auto"/>
              </w:rPr>
              <w:t>$9,162.89</w:t>
            </w: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(16 shares)</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609.31</w:t>
            </w:r>
          </w:p>
        </w:tc>
      </w:tr>
      <w:tr>
        <w:trPr>
          <w:trHeight w:val="29"/>
        </w:trPr>
        <w:tc>
          <w:tcPr>
            <w:tcW w:w="4120" w:type="dxa"/>
            <w:vAlign w:val="bottom"/>
            <w:tcBorders>
              <w:bottom w:val="single" w:sz="8" w:color="E6E7E8"/>
            </w:tcBorders>
          </w:tcPr>
          <w:p>
            <w:pPr>
              <w:spacing w:after="0"/>
              <w:rPr>
                <w:sz w:val="2"/>
                <w:szCs w:val="2"/>
                <w:color w:val="auto"/>
              </w:rPr>
            </w:pPr>
          </w:p>
        </w:tc>
        <w:tc>
          <w:tcPr>
            <w:tcW w:w="5080" w:type="dxa"/>
            <w:vAlign w:val="bottom"/>
            <w:tcBorders>
              <w:bottom w:val="single" w:sz="8" w:color="E6E7E8"/>
            </w:tcBorders>
            <w:gridSpan w:val="2"/>
          </w:tcPr>
          <w:p>
            <w:pPr>
              <w:spacing w:after="0"/>
              <w:rPr>
                <w:sz w:val="2"/>
                <w:szCs w:val="2"/>
                <w:color w:val="auto"/>
              </w:rPr>
            </w:pPr>
          </w:p>
        </w:tc>
        <w:tc>
          <w:tcPr>
            <w:tcW w:w="62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4"/>
                <w:szCs w:val="14"/>
                <w:b w:val="1"/>
                <w:bCs w:val="1"/>
                <w:color w:val="1A3FD6"/>
              </w:rPr>
              <w:t>Ms. Yang</w:t>
            </w:r>
          </w:p>
        </w:tc>
        <w:tc>
          <w:tcPr>
            <w:tcW w:w="5080" w:type="dxa"/>
            <w:vAlign w:val="bottom"/>
            <w:gridSpan w:val="2"/>
          </w:tcPr>
          <w:p>
            <w:pPr>
              <w:jc w:val="right"/>
              <w:ind w:right="250"/>
              <w:spacing w:after="0"/>
              <w:rPr>
                <w:sz w:val="20"/>
                <w:szCs w:val="20"/>
                <w:color w:val="auto"/>
              </w:rPr>
            </w:pPr>
            <w:r>
              <w:rPr>
                <w:rFonts w:ascii="Arial" w:cs="Arial" w:eastAsia="Arial" w:hAnsi="Arial"/>
                <w:sz w:val="14"/>
                <w:szCs w:val="14"/>
                <w:color w:val="auto"/>
              </w:rPr>
              <w:t>$1,697.29 (3 shares)</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1,287.11</w:t>
            </w:r>
          </w:p>
        </w:tc>
      </w:tr>
      <w:tr>
        <w:trPr>
          <w:trHeight w:val="29"/>
        </w:trPr>
        <w:tc>
          <w:tcPr>
            <w:tcW w:w="4120" w:type="dxa"/>
            <w:vAlign w:val="bottom"/>
            <w:tcBorders>
              <w:bottom w:val="single" w:sz="8" w:color="1A3FD6"/>
            </w:tcBorders>
          </w:tcPr>
          <w:p>
            <w:pPr>
              <w:spacing w:after="0"/>
              <w:rPr>
                <w:sz w:val="2"/>
                <w:szCs w:val="2"/>
                <w:color w:val="auto"/>
              </w:rPr>
            </w:pPr>
          </w:p>
        </w:tc>
        <w:tc>
          <w:tcPr>
            <w:tcW w:w="400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c>
          <w:tcPr>
            <w:tcW w:w="620" w:type="dxa"/>
            <w:vAlign w:val="bottom"/>
            <w:tcBorders>
              <w:bottom w:val="single" w:sz="8" w:color="1A3FD6"/>
            </w:tcBorders>
          </w:tcPr>
          <w:p>
            <w:pPr>
              <w:spacing w:after="0"/>
              <w:rPr>
                <w:sz w:val="2"/>
                <w:szCs w:val="2"/>
                <w:color w:val="auto"/>
              </w:rPr>
            </w:pPr>
          </w:p>
        </w:tc>
        <w:tc>
          <w:tcPr>
            <w:tcW w:w="800" w:type="dxa"/>
            <w:vAlign w:val="bottom"/>
            <w:tcBorders>
              <w:bottom w:val="single" w:sz="8" w:color="1A3FD6"/>
            </w:tcBorders>
          </w:tcPr>
          <w:p>
            <w:pPr>
              <w:spacing w:after="0"/>
              <w:rPr>
                <w:sz w:val="2"/>
                <w:szCs w:val="2"/>
                <w:color w:val="auto"/>
              </w:rPr>
            </w:pPr>
          </w:p>
        </w:tc>
      </w:tr>
    </w:tbl>
    <w:p>
      <w:pPr>
        <w:spacing w:after="0" w:line="220" w:lineRule="exact"/>
        <w:rPr>
          <w:sz w:val="20"/>
          <w:szCs w:val="20"/>
          <w:color w:val="auto"/>
        </w:rPr>
      </w:pPr>
    </w:p>
    <w:p>
      <w:pPr>
        <w:ind w:left="260" w:right="860" w:hanging="252"/>
        <w:spacing w:after="0" w:line="239" w:lineRule="auto"/>
        <w:tabs>
          <w:tab w:leader="none" w:pos="25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Mr. Edmunds did not stand for re-election at the 2025 annual meeting of shareholders and served on the Board through April 22, 2025, and thus did not receive compensation for the 2025 Board Term.</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Non-Employee Director Stock Ownership Guidelines</w:t>
      </w:r>
    </w:p>
    <w:p>
      <w:pPr>
        <w:spacing w:after="0" w:line="11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Board believes that our directors should hold a meaningful financial stake in our Company in order to further align their interests with those of our shareholders. On January 27, 2026, the Compensation Committee amended the stock ownership guidelines for non-employee directors to adopt a value-based ownership framework that further strengthens alignment with shareholders. The amended guidelines replace the prior ownership framework that was based on owning a net number of shares resulting from the vesting of RSUs, transitioning to a market-standard dollar-value approach that provides a clear and transparent ownership target.</w:t>
      </w:r>
    </w:p>
    <w:p>
      <w:pPr>
        <w:spacing w:after="0" w:line="101"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Under the amended guidelines for non-employee directors, commencing on January 27, 2026, each non-employee director is required, within five years of January 27, 2026 (or, if later, his or her first election or appointment to the Board) to own a target number of shares of our common stock having an aggregate value equal to seven times the Company’s annual cash retainer for non-employee directors for service on the Board. The seven-times multiple reflects the Board’s strong commitment to meaningful, long-term alignment with shareholders. “Annual cash retainer” excludes any committee chair or member fees, lead independent director fees, meeting fees or other additional cash compensation.</w:t>
      </w:r>
    </w:p>
    <w:p>
      <w:pPr>
        <w:spacing w:after="0" w:line="107"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Shares that count towards satisfaction of the target level of stock ownership under the stock ownership guidelines for non-employee directors consist of the following:</w:t>
      </w:r>
    </w:p>
    <w:p>
      <w:pPr>
        <w:spacing w:after="0" w:line="75" w:lineRule="exact"/>
        <w:rPr>
          <w:sz w:val="20"/>
          <w:szCs w:val="20"/>
          <w:color w:val="auto"/>
        </w:rPr>
      </w:pPr>
    </w:p>
    <w:p>
      <w:pPr>
        <w:ind w:left="260" w:right="120" w:hanging="252"/>
        <w:spacing w:after="0" w:line="321" w:lineRule="auto"/>
        <w:tabs>
          <w:tab w:leader="none" w:pos="257" w:val="left"/>
        </w:tabs>
        <w:numPr>
          <w:ilvl w:val="0"/>
          <w:numId w:val="65"/>
        </w:numPr>
        <w:rPr>
          <w:rFonts w:ascii="Arial" w:cs="Arial" w:eastAsia="Arial" w:hAnsi="Arial"/>
          <w:sz w:val="16"/>
          <w:szCs w:val="16"/>
          <w:b w:val="1"/>
          <w:bCs w:val="1"/>
          <w:color w:val="1A3FD6"/>
        </w:rPr>
      </w:pPr>
      <w:r>
        <w:rPr>
          <w:rFonts w:ascii="Arial" w:cs="Arial" w:eastAsia="Arial" w:hAnsi="Arial"/>
          <w:sz w:val="16"/>
          <w:szCs w:val="16"/>
          <w:color w:val="auto"/>
        </w:rPr>
        <w:t>Shares beneficially owned individually, either directly or indirectly (including any shares beneficially owned as a result of an election to receive a retainer (or any portion thereof) in shares);</w:t>
      </w:r>
    </w:p>
    <w:p>
      <w:pPr>
        <w:spacing w:after="0" w:line="7" w:lineRule="exact"/>
        <w:rPr>
          <w:rFonts w:ascii="Arial" w:cs="Arial" w:eastAsia="Arial" w:hAnsi="Arial"/>
          <w:sz w:val="16"/>
          <w:szCs w:val="16"/>
          <w:b w:val="1"/>
          <w:bCs w:val="1"/>
          <w:color w:val="1A3FD6"/>
        </w:rPr>
      </w:pPr>
    </w:p>
    <w:p>
      <w:pPr>
        <w:ind w:left="260" w:hanging="252"/>
        <w:spacing w:after="0"/>
        <w:tabs>
          <w:tab w:leader="none" w:pos="260" w:val="left"/>
        </w:tabs>
        <w:numPr>
          <w:ilvl w:val="0"/>
          <w:numId w:val="65"/>
        </w:numPr>
        <w:rPr>
          <w:rFonts w:ascii="Arial" w:cs="Arial" w:eastAsia="Arial" w:hAnsi="Arial"/>
          <w:sz w:val="16"/>
          <w:szCs w:val="16"/>
          <w:b w:val="1"/>
          <w:bCs w:val="1"/>
          <w:color w:val="1A3FD6"/>
        </w:rPr>
      </w:pPr>
      <w:r>
        <w:rPr>
          <w:rFonts w:ascii="Arial" w:cs="Arial" w:eastAsia="Arial" w:hAnsi="Arial"/>
          <w:sz w:val="16"/>
          <w:szCs w:val="16"/>
          <w:color w:val="auto"/>
        </w:rPr>
        <w:t>Shares beneficially owned jointly with, or separately by, immediate family members residing in the same household, either directly or indirectly;</w:t>
      </w:r>
    </w:p>
    <w:p>
      <w:pPr>
        <w:spacing w:after="0" w:line="99" w:lineRule="exact"/>
        <w:rPr>
          <w:rFonts w:ascii="Arial" w:cs="Arial" w:eastAsia="Arial" w:hAnsi="Arial"/>
          <w:sz w:val="16"/>
          <w:szCs w:val="16"/>
          <w:b w:val="1"/>
          <w:bCs w:val="1"/>
          <w:color w:val="1A3FD6"/>
        </w:rPr>
      </w:pPr>
    </w:p>
    <w:p>
      <w:pPr>
        <w:ind w:left="240" w:hanging="232"/>
        <w:spacing w:after="0"/>
        <w:tabs>
          <w:tab w:leader="none" w:pos="240" w:val="left"/>
        </w:tabs>
        <w:numPr>
          <w:ilvl w:val="0"/>
          <w:numId w:val="65"/>
        </w:numPr>
        <w:rPr>
          <w:rFonts w:ascii="Arial" w:cs="Arial" w:eastAsia="Arial" w:hAnsi="Arial"/>
          <w:sz w:val="16"/>
          <w:szCs w:val="16"/>
          <w:b w:val="1"/>
          <w:bCs w:val="1"/>
          <w:color w:val="1A3FD6"/>
        </w:rPr>
      </w:pPr>
      <w:r>
        <w:rPr>
          <w:rFonts w:ascii="Arial" w:cs="Arial" w:eastAsia="Arial" w:hAnsi="Arial"/>
          <w:sz w:val="16"/>
          <w:szCs w:val="16"/>
          <w:color w:val="auto"/>
        </w:rPr>
        <w:t>Shares underlying vested and unvested RSUs granted under the 2025 Omnibus Plan; and</w:t>
      </w:r>
    </w:p>
    <w:p>
      <w:pPr>
        <w:spacing w:after="0" w:line="99" w:lineRule="exact"/>
        <w:rPr>
          <w:rFonts w:ascii="Arial" w:cs="Arial" w:eastAsia="Arial" w:hAnsi="Arial"/>
          <w:sz w:val="16"/>
          <w:szCs w:val="16"/>
          <w:b w:val="1"/>
          <w:bCs w:val="1"/>
          <w:color w:val="1A3FD6"/>
        </w:rPr>
      </w:pPr>
    </w:p>
    <w:p>
      <w:pPr>
        <w:ind w:left="260" w:right="100" w:hanging="252"/>
        <w:spacing w:after="0" w:line="304" w:lineRule="auto"/>
        <w:tabs>
          <w:tab w:leader="none" w:pos="230" w:val="left"/>
        </w:tabs>
        <w:numPr>
          <w:ilvl w:val="0"/>
          <w:numId w:val="65"/>
        </w:numPr>
        <w:rPr>
          <w:rFonts w:ascii="Arial" w:cs="Arial" w:eastAsia="Arial" w:hAnsi="Arial"/>
          <w:sz w:val="16"/>
          <w:szCs w:val="16"/>
          <w:b w:val="1"/>
          <w:bCs w:val="1"/>
          <w:color w:val="1A3FD6"/>
        </w:rPr>
      </w:pPr>
      <w:r>
        <w:rPr>
          <w:rFonts w:ascii="Arial" w:cs="Arial" w:eastAsia="Arial" w:hAnsi="Arial"/>
          <w:sz w:val="16"/>
          <w:szCs w:val="16"/>
          <w:color w:val="auto"/>
        </w:rPr>
        <w:t>Shares for which receipt has been deferred (including any shares held through the Deferral Plan or any other deferred compensation plan maintained by the Company).</w:t>
      </w:r>
    </w:p>
    <w:p>
      <w:pPr>
        <w:spacing w:after="0" w:line="10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described above, under these guidelines, non-employee directors are required to hold all shares received on the vesting of annual awards until the above requirement is met and maintained. As of the date of this Proxy Statement, all of our non-employee directors are in compliance with the Company’s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817880</wp:posOffset>
            </wp:positionV>
            <wp:extent cx="3874770" cy="2057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4770" cy="205740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20"/>
          <w:szCs w:val="20"/>
          <w:color w:val="00C4B3"/>
        </w:rPr>
        <w:t>PROPOSAL 2</w:t>
      </w:r>
    </w:p>
    <w:p>
      <w:pPr>
        <w:spacing w:after="0" w:line="74" w:lineRule="exact"/>
        <w:rPr>
          <w:sz w:val="20"/>
          <w:szCs w:val="20"/>
          <w:color w:val="auto"/>
        </w:rPr>
      </w:pPr>
    </w:p>
    <w:p>
      <w:pPr>
        <w:jc w:val="both"/>
        <w:ind w:left="1680" w:right="1660"/>
        <w:spacing w:after="0" w:line="270" w:lineRule="auto"/>
        <w:rPr>
          <w:sz w:val="20"/>
          <w:szCs w:val="20"/>
          <w:color w:val="auto"/>
        </w:rPr>
      </w:pPr>
      <w:r>
        <w:rPr>
          <w:rFonts w:ascii="Arial" w:cs="Arial" w:eastAsia="Arial" w:hAnsi="Arial"/>
          <w:sz w:val="32"/>
          <w:szCs w:val="32"/>
          <w:color w:val="FFFFFF"/>
        </w:rPr>
        <w:t>Advisory Vote to Approve Executive Compensation (Say-on-Pay)</w:t>
      </w:r>
    </w:p>
    <w:p>
      <w:pPr>
        <w:spacing w:after="0" w:line="325" w:lineRule="exact"/>
        <w:rPr>
          <w:sz w:val="20"/>
          <w:szCs w:val="20"/>
          <w:color w:val="auto"/>
        </w:rPr>
      </w:pPr>
    </w:p>
    <w:p>
      <w:pPr>
        <w:ind w:left="1680" w:right="1560"/>
        <w:spacing w:after="0" w:line="286" w:lineRule="auto"/>
        <w:rPr>
          <w:sz w:val="20"/>
          <w:szCs w:val="20"/>
          <w:color w:val="auto"/>
        </w:rPr>
      </w:pPr>
      <w:r>
        <w:rPr>
          <w:rFonts w:ascii="Arial" w:cs="Arial" w:eastAsia="Arial" w:hAnsi="Arial"/>
          <w:sz w:val="16"/>
          <w:szCs w:val="16"/>
          <w:color w:val="FFFFFF"/>
        </w:rPr>
        <w:t xml:space="preserve">Proxies solicited by the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approval unless otherwise instructed.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-504825</wp:posOffset>
            </wp:positionV>
            <wp:extent cx="1680210" cy="2057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680210" cy="20574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recommends a vote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compensation of MSCI’s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Officers as disclosed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disclosure rules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SEC.</w:t>
      </w:r>
    </w:p>
    <w:p>
      <w:pPr>
        <w:spacing w:after="0" w:line="200" w:lineRule="exact"/>
        <w:rPr>
          <w:sz w:val="20"/>
          <w:szCs w:val="20"/>
          <w:color w:val="auto"/>
        </w:rPr>
      </w:pPr>
    </w:p>
    <w:p>
      <w:pPr>
        <w:sectPr>
          <w:pgSz w:w="11900" w:h="16838" w:orient="portrait"/>
          <w:cols w:equalWidth="0" w:num="2">
            <w:col w:w="6980" w:space="720"/>
            <w:col w:w="3520"/>
          </w:cols>
          <w:pgMar w:left="320" w:top="1440" w:right="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Dodd-Frank Wall Street Reform and Consumer Protection Act of 2010 (the “Dodd-Frank Act”) enables MSCI’s shareholders to vote to approve, on an advisory or non-binding basis, the compensation of our NEOs as disclosed in this Proxy Statement in accordance with SEC rules.</w:t>
      </w:r>
    </w:p>
    <w:p>
      <w:pPr>
        <w:spacing w:after="0" w:line="8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For an overview of the compensation of our NEOs and our compensation strategy, see “Compensation Matters—Compensation Discussion and Analysis— Executive Summary” below.</w:t>
      </w:r>
    </w:p>
    <w:p>
      <w:pPr>
        <w:spacing w:after="0" w:line="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asking for shareholder approval of the compensation of our NEOs as disclosed in this Proxy Statement in accordance with SEC rules, which include the disclosures under “Compensation Matters—Compensation Discussion and Analysis,” the compensation tables included herein and the narrative following the compensation tables. This vote is not intended to address any specific item of compensation, but rather the overall compensation of our NEOs and the policies and practices described in this Proxy Statement.</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vote is advisory and therefore not binding on MSCI, the Compensation Committee or the Board. The Board and the Compensation Committee value the opinions of MSCI’s shareholders. To the extent there is any significant vote against NEO compensation as disclosed in this Proxy Statement, we will consider those shareholders’ concerns, and the Compensation Committee will evaluate whether any actions are necessary to address those concerns. MSCI currently conducts annual advisory votes on executive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and Recommendation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votes cast at our 2026 Annual Meeting, at which a quorum is present, is required to approve Proposal No. 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shall not be treated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363855</wp:posOffset>
            </wp:positionV>
            <wp:extent cx="556895"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46"/>
          <w:szCs w:val="46"/>
          <w:b w:val="1"/>
          <w:bCs w:val="1"/>
          <w:color w:val="1A3FD6"/>
        </w:rPr>
        <w:t>Compensation</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Matters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Compensation Discussion and Analysis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Highlights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Summary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 Business Highlights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Key 2025 Compensation Decisions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Key 2026 Compensation Decisions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Governance and Administration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Compensation Philosophy and Goals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Compensation Practices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Compensation Process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 Compensation Considerations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Review of Our Programs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Elements of Executive Compensation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Fixed Compensation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Variable Compensation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Benefits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Employment Agreements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 Excessive Perquisites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58</w:t>
            </w:r>
          </w:p>
        </w:tc>
        <w:tc>
          <w:tcPr>
            <w:tcW w:w="4960" w:type="dxa"/>
            <w:vAlign w:val="bottom"/>
          </w:tcPr>
          <w:p>
            <w:pPr>
              <w:ind w:left="180"/>
              <w:spacing w:after="0"/>
              <w:rPr>
                <w:sz w:val="20"/>
                <w:szCs w:val="20"/>
                <w:color w:val="auto"/>
              </w:rPr>
            </w:pPr>
            <w:r>
              <w:rPr>
                <w:rFonts w:ascii="Arial" w:cs="Arial" w:eastAsia="Arial" w:hAnsi="Arial"/>
                <w:sz w:val="14"/>
                <w:szCs w:val="14"/>
                <w:b w:val="1"/>
                <w:bCs w:val="1"/>
                <w:color w:val="auto"/>
              </w:rPr>
              <w:t>Other Policies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68"/>
        </w:trPr>
        <w:tc>
          <w:tcPr>
            <w:tcW w:w="320" w:type="dxa"/>
            <w:vAlign w:val="bottom"/>
            <w:vMerge w:val="continue"/>
          </w:tcPr>
          <w:p>
            <w:pPr>
              <w:spacing w:after="0"/>
              <w:rPr>
                <w:sz w:val="5"/>
                <w:szCs w:val="5"/>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Clawback Policies</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9"/>
        </w:trPr>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58</w:t>
            </w:r>
          </w:p>
        </w:tc>
        <w:tc>
          <w:tcPr>
            <w:tcW w:w="49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0" w:type="dxa"/>
            <w:vAlign w:val="bottom"/>
            <w:vMerge w:val="continue"/>
          </w:tcPr>
          <w:p>
            <w:pPr>
              <w:spacing w:after="0"/>
              <w:rPr>
                <w:sz w:val="11"/>
                <w:szCs w:val="11"/>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Anti-Hedging and Anti-Pledging Policy</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16"/>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58</w:t>
            </w:r>
          </w:p>
        </w:tc>
        <w:tc>
          <w:tcPr>
            <w:tcW w:w="49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vMerge w:val="continue"/>
          </w:tcPr>
          <w:p>
            <w:pPr>
              <w:spacing w:after="0"/>
              <w:rPr>
                <w:sz w:val="9"/>
                <w:szCs w:val="9"/>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Tax Considerations</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95"/>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60</w:t>
            </w:r>
          </w:p>
        </w:tc>
        <w:tc>
          <w:tcPr>
            <w:tcW w:w="49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0" w:type="dxa"/>
            <w:vAlign w:val="bottom"/>
            <w:vMerge w:val="continue"/>
          </w:tcPr>
          <w:p>
            <w:pPr>
              <w:spacing w:after="0"/>
              <w:rPr>
                <w:sz w:val="4"/>
                <w:szCs w:val="4"/>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Compensation Risk Assessment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195"/>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61</w:t>
            </w:r>
          </w:p>
        </w:tc>
        <w:tc>
          <w:tcPr>
            <w:tcW w:w="49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0" w:type="dxa"/>
            <w:vAlign w:val="bottom"/>
            <w:vMerge w:val="continue"/>
          </w:tcPr>
          <w:p>
            <w:pPr>
              <w:spacing w:after="0"/>
              <w:rPr>
                <w:sz w:val="4"/>
                <w:szCs w:val="4"/>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Compensation, Talent and Culture Committee Report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95"/>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63</w:t>
            </w:r>
          </w:p>
        </w:tc>
        <w:tc>
          <w:tcPr>
            <w:tcW w:w="49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20" w:type="dxa"/>
            <w:vAlign w:val="bottom"/>
            <w:vMerge w:val="continue"/>
          </w:tcPr>
          <w:p>
            <w:pPr>
              <w:spacing w:after="0"/>
              <w:rPr>
                <w:sz w:val="4"/>
                <w:szCs w:val="4"/>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Executive Compensation Tables</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95"/>
        </w:trPr>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64</w:t>
            </w:r>
          </w:p>
        </w:tc>
        <w:tc>
          <w:tcPr>
            <w:tcW w:w="49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20" w:type="dxa"/>
            <w:vAlign w:val="bottom"/>
            <w:vMerge w:val="continue"/>
          </w:tcPr>
          <w:p>
            <w:pPr>
              <w:spacing w:after="0"/>
              <w:rPr>
                <w:sz w:val="9"/>
                <w:szCs w:val="9"/>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Summary Compensation Table</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29"/>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64</w:t>
            </w:r>
          </w:p>
        </w:tc>
        <w:tc>
          <w:tcPr>
            <w:tcW w:w="49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20" w:type="dxa"/>
            <w:vAlign w:val="bottom"/>
            <w:vMerge w:val="continue"/>
          </w:tcPr>
          <w:p>
            <w:pPr>
              <w:spacing w:after="0"/>
              <w:rPr>
                <w:sz w:val="8"/>
                <w:szCs w:val="8"/>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Grants of Plan-Based Awards</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66</w:t>
            </w:r>
          </w:p>
        </w:tc>
        <w:tc>
          <w:tcPr>
            <w:tcW w:w="4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0" w:type="dxa"/>
            <w:vAlign w:val="bottom"/>
            <w:vMerge w:val="continue"/>
          </w:tcPr>
          <w:p>
            <w:pPr>
              <w:spacing w:after="0"/>
              <w:rPr>
                <w:sz w:val="8"/>
                <w:szCs w:val="8"/>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Outstanding Equity Awards at Fiscal Year-End</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8"/>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67</w:t>
            </w:r>
          </w:p>
        </w:tc>
        <w:tc>
          <w:tcPr>
            <w:tcW w:w="4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0" w:type="dxa"/>
            <w:vAlign w:val="bottom"/>
            <w:vMerge w:val="continue"/>
          </w:tcPr>
          <w:p>
            <w:pPr>
              <w:spacing w:after="0"/>
              <w:rPr>
                <w:sz w:val="8"/>
                <w:szCs w:val="8"/>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Option Exercises and Stock Vested</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68</w:t>
            </w:r>
          </w:p>
        </w:tc>
        <w:tc>
          <w:tcPr>
            <w:tcW w:w="4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0" w:type="dxa"/>
            <w:vAlign w:val="bottom"/>
            <w:vMerge w:val="continue"/>
          </w:tcPr>
          <w:p>
            <w:pPr>
              <w:spacing w:after="0"/>
              <w:rPr>
                <w:sz w:val="8"/>
                <w:szCs w:val="8"/>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Potential Payments upon Termination or Change in Control</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9"/>
              </w:rPr>
              <w:t>71</w:t>
            </w:r>
          </w:p>
        </w:tc>
        <w:tc>
          <w:tcPr>
            <w:tcW w:w="49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20" w:type="dxa"/>
            <w:vAlign w:val="bottom"/>
            <w:vMerge w:val="continue"/>
          </w:tcPr>
          <w:p>
            <w:pPr>
              <w:spacing w:after="0"/>
              <w:rPr>
                <w:sz w:val="13"/>
                <w:szCs w:val="13"/>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color w:val="auto"/>
              </w:rPr>
              <w:t>Estimated Potential Payments upon Termination or Change in Control</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89"/>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71</w:t>
            </w:r>
          </w:p>
        </w:tc>
        <w:tc>
          <w:tcPr>
            <w:tcW w:w="49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20" w:type="dxa"/>
            <w:vAlign w:val="bottom"/>
            <w:vMerge w:val="continue"/>
          </w:tcPr>
          <w:p>
            <w:pPr>
              <w:spacing w:after="0"/>
              <w:rPr>
                <w:sz w:val="12"/>
                <w:szCs w:val="12"/>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CEO Pay Ratio</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54"/>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72</w:t>
            </w:r>
          </w:p>
        </w:tc>
        <w:tc>
          <w:tcPr>
            <w:tcW w:w="49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49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Pay Versus Performance</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55"/>
        </w:trPr>
        <w:tc>
          <w:tcPr>
            <w:tcW w:w="320" w:type="dxa"/>
            <w:vAlign w:val="bottom"/>
            <w:vMerge w:val="restart"/>
          </w:tcPr>
          <w:p>
            <w:pPr>
              <w:jc w:val="right"/>
              <w:ind w:right="88"/>
              <w:spacing w:after="0"/>
              <w:rPr>
                <w:sz w:val="20"/>
                <w:szCs w:val="20"/>
                <w:color w:val="auto"/>
              </w:rPr>
            </w:pPr>
            <w:r>
              <w:rPr>
                <w:rFonts w:ascii="Arial" w:cs="Arial" w:eastAsia="Arial" w:hAnsi="Arial"/>
                <w:sz w:val="14"/>
                <w:szCs w:val="14"/>
                <w:color w:val="auto"/>
                <w:w w:val="89"/>
              </w:rPr>
              <w:t>72</w:t>
            </w:r>
          </w:p>
        </w:tc>
        <w:tc>
          <w:tcPr>
            <w:tcW w:w="49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4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20" w:type="dxa"/>
            <w:vAlign w:val="bottom"/>
          </w:tcPr>
          <w:p>
            <w:pPr>
              <w:jc w:val="right"/>
              <w:ind w:right="88"/>
              <w:spacing w:after="0"/>
              <w:rPr>
                <w:sz w:val="20"/>
                <w:szCs w:val="20"/>
                <w:color w:val="auto"/>
              </w:rPr>
            </w:pPr>
            <w:r>
              <w:rPr>
                <w:rFonts w:ascii="Arial" w:cs="Arial" w:eastAsia="Arial" w:hAnsi="Arial"/>
                <w:sz w:val="14"/>
                <w:szCs w:val="14"/>
                <w:color w:val="auto"/>
                <w:w w:val="89"/>
              </w:rPr>
              <w:t>85</w:t>
            </w:r>
          </w:p>
        </w:tc>
        <w:tc>
          <w:tcPr>
            <w:tcW w:w="4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jc w:val="right"/>
              <w:ind w:right="88"/>
              <w:spacing w:after="0"/>
              <w:rPr>
                <w:sz w:val="20"/>
                <w:szCs w:val="20"/>
                <w:color w:val="auto"/>
              </w:rPr>
            </w:pPr>
            <w:r>
              <w:rPr>
                <w:rFonts w:ascii="Arial" w:cs="Arial" w:eastAsia="Arial" w:hAnsi="Arial"/>
                <w:sz w:val="14"/>
                <w:szCs w:val="14"/>
                <w:color w:val="auto"/>
                <w:w w:val="89"/>
              </w:rPr>
              <w:t>85</w:t>
            </w:r>
          </w:p>
        </w:tc>
        <w:tc>
          <w:tcPr>
            <w:tcW w:w="4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jc w:val="right"/>
              <w:ind w:right="88"/>
              <w:spacing w:after="0"/>
              <w:rPr>
                <w:sz w:val="20"/>
                <w:szCs w:val="20"/>
                <w:color w:val="auto"/>
              </w:rPr>
            </w:pPr>
            <w:r>
              <w:rPr>
                <w:rFonts w:ascii="Arial" w:cs="Arial" w:eastAsia="Arial" w:hAnsi="Arial"/>
                <w:sz w:val="14"/>
                <w:szCs w:val="14"/>
                <w:color w:val="auto"/>
                <w:w w:val="89"/>
              </w:rPr>
              <w:t>85</w:t>
            </w:r>
          </w:p>
        </w:tc>
        <w:tc>
          <w:tcPr>
            <w:tcW w:w="4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tcPr>
          <w:p>
            <w:pPr>
              <w:jc w:val="right"/>
              <w:ind w:right="88"/>
              <w:spacing w:after="0"/>
              <w:rPr>
                <w:sz w:val="20"/>
                <w:szCs w:val="20"/>
                <w:color w:val="auto"/>
              </w:rPr>
            </w:pPr>
            <w:r>
              <w:rPr>
                <w:rFonts w:ascii="Arial" w:cs="Arial" w:eastAsia="Arial" w:hAnsi="Arial"/>
                <w:sz w:val="14"/>
                <w:szCs w:val="14"/>
                <w:color w:val="auto"/>
                <w:w w:val="89"/>
              </w:rPr>
              <w:t>86</w:t>
            </w:r>
          </w:p>
        </w:tc>
        <w:tc>
          <w:tcPr>
            <w:tcW w:w="4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760" w:type="dxa"/>
        <w:tblCellMar>
          <w:top w:w="0" w:type="dxa"/>
          <w:left w:w="0" w:type="dxa"/>
          <w:bottom w:w="0" w:type="dxa"/>
          <w:right w:w="0" w:type="dxa"/>
        </w:tblCellMar>
      </w:tblPr>
      <w:tr>
        <w:trPr>
          <w:trHeight w:val="196"/>
        </w:trPr>
        <w:tc>
          <w:tcPr>
            <w:tcW w:w="1900" w:type="dxa"/>
            <w:vAlign w:val="bottom"/>
          </w:tcPr>
          <w:p>
            <w:pPr>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219710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520" w:space="720"/>
            <w:col w:w="5980"/>
          </w:cols>
          <w:pgMar w:left="320" w:top="1207"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Compensation Discussion and Analysis</w:t>
      </w:r>
    </w:p>
    <w:p>
      <w:pPr>
        <w:spacing w:after="0" w:line="18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Compensation Discussion and Analysis (referred to as the “CD&amp;A”) section summarizes our general philosophy with regard to the compensation of our Chief Executive Officer (“CEO”), our Chief Financial Officer (“CFO”), and our three next most highly paid executive officers for 2025 (collectively referred to as “named executive officers” or “NEOs”). The CD&amp;A provides context for the executive compensation disclosures presented below in both tabular and narrative form. Under its charter, the Compensation Committee reviews the Company’s compensation strategy and reviews and approves executive officer compensation as well as the Company’s compensation and benefits program generally. The Compensation Committee approved the compensation structure and amounts for each of our NEOs for 2025, which were materially consistent with those approved in 2024 and which were designed to further the Company’s strategic objectives.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Named Executive Officers for 2025 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shd w:val="clear" w:color="auto" w:fill="F6F6F6"/>
          </w:tcPr>
          <w:p>
            <w:pPr>
              <w:spacing w:after="0"/>
              <w:rPr>
                <w:sz w:val="14"/>
                <w:szCs w:val="14"/>
                <w:color w:val="auto"/>
              </w:rPr>
            </w:pPr>
          </w:p>
        </w:tc>
        <w:tc>
          <w:tcPr>
            <w:tcW w:w="194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60" w:type="dxa"/>
            <w:vAlign w:val="bottom"/>
            <w:shd w:val="clear" w:color="auto" w:fill="F6F6F6"/>
          </w:tcPr>
          <w:p>
            <w:pPr>
              <w:spacing w:after="0"/>
              <w:rPr>
                <w:sz w:val="14"/>
                <w:szCs w:val="14"/>
                <w:color w:val="auto"/>
              </w:rPr>
            </w:pPr>
          </w:p>
        </w:tc>
      </w:tr>
      <w:tr>
        <w:trPr>
          <w:trHeight w:val="1923"/>
        </w:trPr>
        <w:tc>
          <w:tcPr>
            <w:tcW w:w="240" w:type="dxa"/>
            <w:vAlign w:val="bottom"/>
            <w:shd w:val="clear" w:color="auto" w:fill="F6F6F6"/>
          </w:tcPr>
          <w:p>
            <w:pPr>
              <w:spacing w:after="0"/>
              <w:rPr>
                <w:sz w:val="24"/>
                <w:szCs w:val="24"/>
                <w:color w:val="auto"/>
              </w:rPr>
            </w:pPr>
          </w:p>
        </w:tc>
        <w:tc>
          <w:tcPr>
            <w:tcW w:w="1940" w:type="dxa"/>
            <w:vAlign w:val="bottom"/>
          </w:tcPr>
          <w:p>
            <w:pPr>
              <w:ind w:left="100"/>
              <w:spacing w:after="0"/>
              <w:rPr>
                <w:sz w:val="20"/>
                <w:szCs w:val="20"/>
                <w:color w:val="auto"/>
              </w:rPr>
            </w:pPr>
            <w:r>
              <w:rPr>
                <w:rFonts w:ascii="Arial" w:cs="Arial" w:eastAsia="Arial" w:hAnsi="Arial"/>
                <w:sz w:val="16"/>
                <w:szCs w:val="16"/>
                <w:b w:val="1"/>
                <w:bCs w:val="1"/>
                <w:color w:val="auto"/>
              </w:rPr>
              <w:t>Henry A. Fernandez</w:t>
            </w:r>
          </w:p>
        </w:tc>
        <w:tc>
          <w:tcPr>
            <w:tcW w:w="240" w:type="dxa"/>
            <w:vAlign w:val="bottom"/>
            <w:shd w:val="clear" w:color="auto" w:fill="F6F6F6"/>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6"/>
                <w:szCs w:val="16"/>
                <w:b w:val="1"/>
                <w:bCs w:val="1"/>
                <w:color w:val="auto"/>
              </w:rPr>
              <w:t>Andrew C. Wiechmann</w:t>
            </w:r>
          </w:p>
        </w:tc>
        <w:tc>
          <w:tcPr>
            <w:tcW w:w="240" w:type="dxa"/>
            <w:vAlign w:val="bottom"/>
            <w:shd w:val="clear" w:color="auto" w:fill="F6F6F6"/>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6"/>
                <w:szCs w:val="16"/>
                <w:b w:val="1"/>
                <w:bCs w:val="1"/>
                <w:color w:val="auto"/>
              </w:rPr>
              <w:t>C.D. Baer Pettit</w:t>
            </w:r>
          </w:p>
        </w:tc>
        <w:tc>
          <w:tcPr>
            <w:tcW w:w="240" w:type="dxa"/>
            <w:vAlign w:val="bottom"/>
            <w:shd w:val="clear" w:color="auto" w:fill="F6F6F6"/>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6"/>
                <w:szCs w:val="16"/>
                <w:b w:val="1"/>
                <w:bCs w:val="1"/>
                <w:color w:val="auto"/>
              </w:rPr>
              <w:t>Alvise J. Munari</w:t>
            </w:r>
          </w:p>
        </w:tc>
        <w:tc>
          <w:tcPr>
            <w:tcW w:w="240" w:type="dxa"/>
            <w:vAlign w:val="bottom"/>
            <w:shd w:val="clear" w:color="auto" w:fill="F6F6F6"/>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6"/>
                <w:szCs w:val="16"/>
                <w:b w:val="1"/>
                <w:bCs w:val="1"/>
                <w:color w:val="auto"/>
              </w:rPr>
              <w:t>Scott A. Crum</w:t>
            </w:r>
          </w:p>
        </w:tc>
        <w:tc>
          <w:tcPr>
            <w:tcW w:w="260" w:type="dxa"/>
            <w:vAlign w:val="bottom"/>
            <w:shd w:val="clear" w:color="auto" w:fill="F6F6F6"/>
          </w:tcPr>
          <w:p>
            <w:pPr>
              <w:spacing w:after="0"/>
              <w:rPr>
                <w:sz w:val="24"/>
                <w:szCs w:val="24"/>
                <w:color w:val="auto"/>
              </w:rPr>
            </w:pPr>
          </w:p>
        </w:tc>
      </w:tr>
      <w:tr>
        <w:trPr>
          <w:trHeight w:val="250"/>
        </w:trPr>
        <w:tc>
          <w:tcPr>
            <w:tcW w:w="240" w:type="dxa"/>
            <w:vAlign w:val="bottom"/>
            <w:shd w:val="clear" w:color="auto" w:fill="F6F6F6"/>
          </w:tcPr>
          <w:p>
            <w:pPr>
              <w:spacing w:after="0"/>
              <w:rPr>
                <w:sz w:val="21"/>
                <w:szCs w:val="21"/>
                <w:color w:val="auto"/>
              </w:rPr>
            </w:pPr>
          </w:p>
        </w:tc>
        <w:tc>
          <w:tcPr>
            <w:tcW w:w="1940" w:type="dxa"/>
            <w:vAlign w:val="bottom"/>
          </w:tcPr>
          <w:p>
            <w:pPr>
              <w:ind w:left="100"/>
              <w:spacing w:after="0"/>
              <w:rPr>
                <w:sz w:val="20"/>
                <w:szCs w:val="20"/>
                <w:color w:val="auto"/>
              </w:rPr>
            </w:pPr>
            <w:r>
              <w:rPr>
                <w:rFonts w:ascii="Arial" w:cs="Arial" w:eastAsia="Arial" w:hAnsi="Arial"/>
                <w:sz w:val="16"/>
                <w:szCs w:val="16"/>
                <w:color w:val="auto"/>
              </w:rPr>
              <w:t>Chairman, Chief</w:t>
            </w:r>
          </w:p>
        </w:tc>
        <w:tc>
          <w:tcPr>
            <w:tcW w:w="240" w:type="dxa"/>
            <w:vAlign w:val="bottom"/>
            <w:shd w:val="clear" w:color="auto" w:fill="F6F6F6"/>
          </w:tcPr>
          <w:p>
            <w:pPr>
              <w:spacing w:after="0"/>
              <w:rPr>
                <w:sz w:val="21"/>
                <w:szCs w:val="21"/>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240" w:type="dxa"/>
            <w:vAlign w:val="bottom"/>
            <w:shd w:val="clear" w:color="auto" w:fill="F6F6F6"/>
          </w:tcPr>
          <w:p>
            <w:pPr>
              <w:spacing w:after="0"/>
              <w:rPr>
                <w:sz w:val="21"/>
                <w:szCs w:val="21"/>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Former President and</w:t>
            </w:r>
          </w:p>
        </w:tc>
        <w:tc>
          <w:tcPr>
            <w:tcW w:w="240" w:type="dxa"/>
            <w:vAlign w:val="bottom"/>
            <w:shd w:val="clear" w:color="auto" w:fill="F6F6F6"/>
          </w:tcPr>
          <w:p>
            <w:pPr>
              <w:spacing w:after="0"/>
              <w:rPr>
                <w:sz w:val="21"/>
                <w:szCs w:val="21"/>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Chief Product Officer</w:t>
            </w:r>
          </w:p>
        </w:tc>
        <w:tc>
          <w:tcPr>
            <w:tcW w:w="240" w:type="dxa"/>
            <w:vAlign w:val="bottom"/>
            <w:shd w:val="clear" w:color="auto" w:fill="F6F6F6"/>
          </w:tcPr>
          <w:p>
            <w:pPr>
              <w:spacing w:after="0"/>
              <w:rPr>
                <w:sz w:val="21"/>
                <w:szCs w:val="21"/>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Chief Human Resources</w:t>
            </w:r>
          </w:p>
        </w:tc>
        <w:tc>
          <w:tcPr>
            <w:tcW w:w="260" w:type="dxa"/>
            <w:vAlign w:val="bottom"/>
            <w:shd w:val="clear" w:color="auto" w:fill="F6F6F6"/>
          </w:tcPr>
          <w:p>
            <w:pPr>
              <w:spacing w:after="0"/>
              <w:rPr>
                <w:sz w:val="21"/>
                <w:szCs w:val="21"/>
                <w:color w:val="auto"/>
              </w:rPr>
            </w:pPr>
          </w:p>
        </w:tc>
      </w:tr>
      <w:tr>
        <w:trPr>
          <w:trHeight w:val="215"/>
        </w:trPr>
        <w:tc>
          <w:tcPr>
            <w:tcW w:w="240" w:type="dxa"/>
            <w:vAlign w:val="bottom"/>
            <w:shd w:val="clear" w:color="auto" w:fill="F6F6F6"/>
          </w:tcPr>
          <w:p>
            <w:pPr>
              <w:spacing w:after="0"/>
              <w:rPr>
                <w:sz w:val="18"/>
                <w:szCs w:val="18"/>
                <w:color w:val="auto"/>
              </w:rPr>
            </w:pPr>
          </w:p>
        </w:tc>
        <w:tc>
          <w:tcPr>
            <w:tcW w:w="1940" w:type="dxa"/>
            <w:vAlign w:val="bottom"/>
          </w:tcPr>
          <w:p>
            <w:pPr>
              <w:ind w:left="100"/>
              <w:spacing w:after="0"/>
              <w:rPr>
                <w:sz w:val="20"/>
                <w:szCs w:val="20"/>
                <w:color w:val="auto"/>
              </w:rPr>
            </w:pPr>
            <w:r>
              <w:rPr>
                <w:rFonts w:ascii="Arial" w:cs="Arial" w:eastAsia="Arial" w:hAnsi="Arial"/>
                <w:sz w:val="16"/>
                <w:szCs w:val="16"/>
                <w:color w:val="auto"/>
              </w:rPr>
              <w:t>Executive Officer and</w:t>
            </w:r>
          </w:p>
        </w:tc>
        <w:tc>
          <w:tcPr>
            <w:tcW w:w="240" w:type="dxa"/>
            <w:vAlign w:val="bottom"/>
            <w:shd w:val="clear" w:color="auto" w:fill="F6F6F6"/>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shd w:val="clear" w:color="auto" w:fill="F6F6F6"/>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Chief Operating</w:t>
            </w:r>
          </w:p>
        </w:tc>
        <w:tc>
          <w:tcPr>
            <w:tcW w:w="240" w:type="dxa"/>
            <w:vAlign w:val="bottom"/>
            <w:shd w:val="clear" w:color="auto" w:fill="F6F6F6"/>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and Head of Client</w:t>
            </w:r>
          </w:p>
        </w:tc>
        <w:tc>
          <w:tcPr>
            <w:tcW w:w="240" w:type="dxa"/>
            <w:vAlign w:val="bottom"/>
            <w:shd w:val="clear" w:color="auto" w:fill="F6F6F6"/>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Officer</w:t>
            </w:r>
          </w:p>
        </w:tc>
        <w:tc>
          <w:tcPr>
            <w:tcW w:w="260" w:type="dxa"/>
            <w:vAlign w:val="bottom"/>
            <w:shd w:val="clear" w:color="auto" w:fill="F6F6F6"/>
          </w:tcPr>
          <w:p>
            <w:pPr>
              <w:spacing w:after="0"/>
              <w:rPr>
                <w:sz w:val="18"/>
                <w:szCs w:val="18"/>
                <w:color w:val="auto"/>
              </w:rPr>
            </w:pPr>
          </w:p>
        </w:tc>
      </w:tr>
      <w:tr>
        <w:trPr>
          <w:trHeight w:val="287"/>
        </w:trPr>
        <w:tc>
          <w:tcPr>
            <w:tcW w:w="240" w:type="dxa"/>
            <w:vAlign w:val="bottom"/>
            <w:shd w:val="clear" w:color="auto" w:fill="F6F6F6"/>
          </w:tcPr>
          <w:p>
            <w:pPr>
              <w:spacing w:after="0"/>
              <w:rPr>
                <w:sz w:val="24"/>
                <w:szCs w:val="24"/>
                <w:color w:val="auto"/>
              </w:rPr>
            </w:pPr>
          </w:p>
        </w:tc>
        <w:tc>
          <w:tcPr>
            <w:tcW w:w="1940" w:type="dxa"/>
            <w:vAlign w:val="bottom"/>
          </w:tcPr>
          <w:p>
            <w:pPr>
              <w:ind w:left="100"/>
              <w:spacing w:after="0"/>
              <w:rPr>
                <w:sz w:val="20"/>
                <w:szCs w:val="20"/>
                <w:color w:val="auto"/>
              </w:rPr>
            </w:pPr>
            <w:r>
              <w:rPr>
                <w:rFonts w:ascii="Arial" w:cs="Arial" w:eastAsia="Arial" w:hAnsi="Arial"/>
                <w:sz w:val="16"/>
                <w:szCs w:val="16"/>
                <w:color w:val="auto"/>
              </w:rPr>
              <w:t>President</w:t>
            </w:r>
          </w:p>
        </w:tc>
        <w:tc>
          <w:tcPr>
            <w:tcW w:w="240" w:type="dxa"/>
            <w:vAlign w:val="bottom"/>
            <w:shd w:val="clear" w:color="auto" w:fill="F6F6F6"/>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shd w:val="clear" w:color="auto" w:fill="F6F6F6"/>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Officer</w:t>
            </w:r>
            <w:r>
              <w:rPr>
                <w:rFonts w:ascii="Arial" w:cs="Arial" w:eastAsia="Arial" w:hAnsi="Arial"/>
                <w:sz w:val="21"/>
                <w:szCs w:val="21"/>
                <w:color w:val="auto"/>
                <w:vertAlign w:val="superscript"/>
              </w:rPr>
              <w:t>(1)</w:t>
            </w:r>
          </w:p>
        </w:tc>
        <w:tc>
          <w:tcPr>
            <w:tcW w:w="240" w:type="dxa"/>
            <w:vAlign w:val="bottom"/>
            <w:shd w:val="clear" w:color="auto" w:fill="F6F6F6"/>
          </w:tcPr>
          <w:p>
            <w:pPr>
              <w:spacing w:after="0"/>
              <w:rPr>
                <w:sz w:val="24"/>
                <w:szCs w:val="24"/>
                <w:color w:val="auto"/>
              </w:rPr>
            </w:pPr>
          </w:p>
        </w:tc>
        <w:tc>
          <w:tcPr>
            <w:tcW w:w="1960" w:type="dxa"/>
            <w:vAlign w:val="bottom"/>
          </w:tcPr>
          <w:p>
            <w:pPr>
              <w:ind w:left="100"/>
              <w:spacing w:after="0"/>
              <w:rPr>
                <w:sz w:val="20"/>
                <w:szCs w:val="20"/>
                <w:color w:val="auto"/>
              </w:rPr>
            </w:pPr>
            <w:r>
              <w:rPr>
                <w:rFonts w:ascii="Arial" w:cs="Arial" w:eastAsia="Arial" w:hAnsi="Arial"/>
                <w:sz w:val="16"/>
                <w:szCs w:val="16"/>
                <w:color w:val="auto"/>
              </w:rPr>
              <w:t>Segments</w:t>
            </w:r>
          </w:p>
        </w:tc>
        <w:tc>
          <w:tcPr>
            <w:tcW w:w="240" w:type="dxa"/>
            <w:vAlign w:val="bottom"/>
            <w:shd w:val="clear" w:color="auto" w:fill="F6F6F6"/>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shd w:val="clear" w:color="auto" w:fill="F6F6F6"/>
          </w:tcPr>
          <w:p>
            <w:pPr>
              <w:spacing w:after="0"/>
              <w:rPr>
                <w:sz w:val="24"/>
                <w:szCs w:val="24"/>
                <w:color w:val="auto"/>
              </w:rPr>
            </w:pPr>
          </w:p>
        </w:tc>
      </w:tr>
      <w:tr>
        <w:trPr>
          <w:trHeight w:val="53"/>
        </w:trPr>
        <w:tc>
          <w:tcPr>
            <w:tcW w:w="240" w:type="dxa"/>
            <w:vAlign w:val="bottom"/>
            <w:shd w:val="clear" w:color="auto" w:fill="F6F6F6"/>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shd w:val="clear" w:color="auto" w:fill="F6F6F6"/>
          </w:tcPr>
          <w:p>
            <w:pPr>
              <w:spacing w:after="0"/>
              <w:rPr>
                <w:sz w:val="4"/>
                <w:szCs w:val="4"/>
                <w:color w:val="auto"/>
              </w:rPr>
            </w:pPr>
          </w:p>
        </w:tc>
        <w:tc>
          <w:tcPr>
            <w:tcW w:w="1960" w:type="dxa"/>
            <w:vAlign w:val="bottom"/>
          </w:tcPr>
          <w:p>
            <w:pPr>
              <w:spacing w:after="0"/>
              <w:rPr>
                <w:sz w:val="4"/>
                <w:szCs w:val="4"/>
                <w:color w:val="auto"/>
              </w:rPr>
            </w:pPr>
          </w:p>
        </w:tc>
        <w:tc>
          <w:tcPr>
            <w:tcW w:w="240" w:type="dxa"/>
            <w:vAlign w:val="bottom"/>
            <w:shd w:val="clear" w:color="auto" w:fill="F6F6F6"/>
          </w:tcPr>
          <w:p>
            <w:pPr>
              <w:spacing w:after="0"/>
              <w:rPr>
                <w:sz w:val="4"/>
                <w:szCs w:val="4"/>
                <w:color w:val="auto"/>
              </w:rPr>
            </w:pPr>
          </w:p>
        </w:tc>
        <w:tc>
          <w:tcPr>
            <w:tcW w:w="1960" w:type="dxa"/>
            <w:vAlign w:val="bottom"/>
          </w:tcPr>
          <w:p>
            <w:pPr>
              <w:spacing w:after="0"/>
              <w:rPr>
                <w:sz w:val="4"/>
                <w:szCs w:val="4"/>
                <w:color w:val="auto"/>
              </w:rPr>
            </w:pPr>
          </w:p>
        </w:tc>
        <w:tc>
          <w:tcPr>
            <w:tcW w:w="240" w:type="dxa"/>
            <w:vAlign w:val="bottom"/>
            <w:shd w:val="clear" w:color="auto" w:fill="F6F6F6"/>
          </w:tcPr>
          <w:p>
            <w:pPr>
              <w:spacing w:after="0"/>
              <w:rPr>
                <w:sz w:val="4"/>
                <w:szCs w:val="4"/>
                <w:color w:val="auto"/>
              </w:rPr>
            </w:pPr>
          </w:p>
        </w:tc>
        <w:tc>
          <w:tcPr>
            <w:tcW w:w="1960" w:type="dxa"/>
            <w:vAlign w:val="bottom"/>
          </w:tcPr>
          <w:p>
            <w:pPr>
              <w:spacing w:after="0"/>
              <w:rPr>
                <w:sz w:val="4"/>
                <w:szCs w:val="4"/>
                <w:color w:val="auto"/>
              </w:rPr>
            </w:pPr>
          </w:p>
        </w:tc>
        <w:tc>
          <w:tcPr>
            <w:tcW w:w="240" w:type="dxa"/>
            <w:vAlign w:val="bottom"/>
            <w:shd w:val="clear" w:color="auto" w:fill="F6F6F6"/>
          </w:tcPr>
          <w:p>
            <w:pPr>
              <w:spacing w:after="0"/>
              <w:rPr>
                <w:sz w:val="4"/>
                <w:szCs w:val="4"/>
                <w:color w:val="auto"/>
              </w:rPr>
            </w:pPr>
          </w:p>
        </w:tc>
        <w:tc>
          <w:tcPr>
            <w:tcW w:w="1960" w:type="dxa"/>
            <w:vAlign w:val="bottom"/>
          </w:tcPr>
          <w:p>
            <w:pPr>
              <w:spacing w:after="0"/>
              <w:rPr>
                <w:sz w:val="4"/>
                <w:szCs w:val="4"/>
                <w:color w:val="auto"/>
              </w:rPr>
            </w:pPr>
          </w:p>
        </w:tc>
        <w:tc>
          <w:tcPr>
            <w:tcW w:w="260" w:type="dxa"/>
            <w:vAlign w:val="bottom"/>
            <w:shd w:val="clear" w:color="auto" w:fill="F6F6F6"/>
          </w:tcPr>
          <w:p>
            <w:pPr>
              <w:spacing w:after="0"/>
              <w:rPr>
                <w:sz w:val="4"/>
                <w:szCs w:val="4"/>
                <w:color w:val="auto"/>
              </w:rPr>
            </w:pPr>
          </w:p>
        </w:tc>
      </w:tr>
      <w:tr>
        <w:trPr>
          <w:trHeight w:val="162"/>
        </w:trPr>
        <w:tc>
          <w:tcPr>
            <w:tcW w:w="240" w:type="dxa"/>
            <w:vAlign w:val="bottom"/>
            <w:shd w:val="clear" w:color="auto" w:fill="F6F6F6"/>
          </w:tcPr>
          <w:p>
            <w:pPr>
              <w:spacing w:after="0"/>
              <w:rPr>
                <w:sz w:val="14"/>
                <w:szCs w:val="14"/>
                <w:color w:val="auto"/>
              </w:rPr>
            </w:pPr>
          </w:p>
        </w:tc>
        <w:tc>
          <w:tcPr>
            <w:tcW w:w="194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40" w:type="dxa"/>
            <w:vAlign w:val="bottom"/>
            <w:shd w:val="clear" w:color="auto" w:fill="F6F6F6"/>
          </w:tcPr>
          <w:p>
            <w:pPr>
              <w:spacing w:after="0"/>
              <w:rPr>
                <w:sz w:val="14"/>
                <w:szCs w:val="14"/>
                <w:color w:val="auto"/>
              </w:rPr>
            </w:pPr>
          </w:p>
        </w:tc>
        <w:tc>
          <w:tcPr>
            <w:tcW w:w="1960" w:type="dxa"/>
            <w:vAlign w:val="bottom"/>
            <w:shd w:val="clear" w:color="auto" w:fill="F6F6F6"/>
          </w:tcPr>
          <w:p>
            <w:pPr>
              <w:spacing w:after="0"/>
              <w:rPr>
                <w:sz w:val="14"/>
                <w:szCs w:val="14"/>
                <w:color w:val="auto"/>
              </w:rPr>
            </w:pPr>
          </w:p>
        </w:tc>
        <w:tc>
          <w:tcPr>
            <w:tcW w:w="260" w:type="dxa"/>
            <w:vAlign w:val="bottom"/>
            <w:shd w:val="clear" w:color="auto" w:fill="F6F6F6"/>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-1808480</wp:posOffset>
            </wp:positionV>
            <wp:extent cx="6549390" cy="9772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49390" cy="977265"/>
                    </a:xfrm>
                    <a:prstGeom prst="rect">
                      <a:avLst/>
                    </a:prstGeom>
                    <a:noFill/>
                  </pic:spPr>
                </pic:pic>
              </a:graphicData>
            </a:graphic>
          </wp:anchor>
        </w:drawing>
      </w:r>
    </w:p>
    <w:p>
      <w:pPr>
        <w:spacing w:after="0" w:line="200" w:lineRule="exact"/>
        <w:rPr>
          <w:sz w:val="20"/>
          <w:szCs w:val="20"/>
          <w:color w:val="auto"/>
        </w:rPr>
      </w:pPr>
    </w:p>
    <w:p>
      <w:pPr>
        <w:ind w:left="260" w:right="320" w:hanging="252"/>
        <w:spacing w:after="0" w:line="325" w:lineRule="auto"/>
        <w:tabs>
          <w:tab w:leader="none" w:pos="264" w:val="left"/>
        </w:tabs>
        <w:numPr>
          <w:ilvl w:val="0"/>
          <w:numId w:val="66"/>
        </w:numPr>
        <w:rPr>
          <w:rFonts w:ascii="Arial" w:cs="Arial" w:eastAsia="Arial" w:hAnsi="Arial"/>
          <w:sz w:val="9"/>
          <w:szCs w:val="9"/>
          <w:color w:val="auto"/>
        </w:rPr>
      </w:pPr>
      <w:r>
        <w:rPr>
          <w:rFonts w:ascii="Arial" w:cs="Arial" w:eastAsia="Arial" w:hAnsi="Arial"/>
          <w:sz w:val="14"/>
          <w:szCs w:val="14"/>
          <w:color w:val="auto"/>
        </w:rPr>
        <w:t>Mr. Pettit ceased serving in his position as Chief Operating Officer effective November 12, 2025 and continued to serve in his role as President until March 1, 2026. The Board appointed Mr. Fernandez to assume the role of the Company’s President, effective March 1, 2026.</w:t>
      </w: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Highlights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Summary</w:t>
      </w:r>
    </w:p>
    <w:p>
      <w:pPr>
        <w:spacing w:after="0" w:line="1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executive compensation program is designed to link pay to performance, encourage prudent decision-making and risk management, and create a balanced focus on short-term and long-term performance that supports sustained, long-term shareholder value creation. In the dynamic and competitive environment in which we operate, it is imperative that we maintain a responsible executive compensation program that encourages and rewards our leaders for achieving short-term and long-term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311785</wp:posOffset>
            </wp:positionV>
            <wp:extent cx="556895"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our target-based compensation program in effect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15175" cy="2825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FFFFFF"/>
        </w:rPr>
        <w:t>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1808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15175" cy="1808480"/>
                    </a:xfrm>
                    <a:prstGeom prst="rect">
                      <a:avLst/>
                    </a:prstGeom>
                    <a:noFill/>
                  </pic:spPr>
                </pic:pic>
              </a:graphicData>
            </a:graphic>
          </wp:anchor>
        </w:drawing>
      </w: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Elements</w:t>
      </w:r>
    </w:p>
    <w:p>
      <w:pPr>
        <w:spacing w:after="0" w:line="73" w:lineRule="exact"/>
        <w:rPr>
          <w:sz w:val="20"/>
          <w:szCs w:val="20"/>
          <w:color w:val="auto"/>
        </w:rPr>
      </w:pPr>
    </w:p>
    <w:tbl>
      <w:tblPr>
        <w:tblLayout w:type="fixed"/>
        <w:tblInd w:w="260" w:type="dxa"/>
        <w:tblCellMar>
          <w:top w:w="0" w:type="dxa"/>
          <w:left w:w="0" w:type="dxa"/>
          <w:bottom w:w="0" w:type="dxa"/>
          <w:right w:w="0" w:type="dxa"/>
        </w:tblCellMar>
      </w:tblPr>
      <w:tr>
        <w:trPr>
          <w:trHeight w:val="94"/>
        </w:trPr>
        <w:tc>
          <w:tcPr>
            <w:tcW w:w="1040" w:type="dxa"/>
            <w:vAlign w:val="bottom"/>
            <w:shd w:val="clear" w:color="auto" w:fill="F6F6F6"/>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216"/>
        </w:trPr>
        <w:tc>
          <w:tcPr>
            <w:tcW w:w="1040" w:type="dxa"/>
            <w:vAlign w:val="bottom"/>
            <w:tcBorders>
              <w:bottom w:val="single" w:sz="8" w:color="F6F6F6"/>
            </w:tcBorders>
            <w:shd w:val="clear" w:color="auto" w:fill="F6F6F6"/>
          </w:tcPr>
          <w:p>
            <w:pPr>
              <w:spacing w:after="0"/>
              <w:rPr>
                <w:sz w:val="18"/>
                <w:szCs w:val="18"/>
                <w:color w:val="auto"/>
              </w:rPr>
            </w:pPr>
          </w:p>
        </w:tc>
        <w:tc>
          <w:tcPr>
            <w:tcW w:w="1360" w:type="dxa"/>
            <w:vAlign w:val="bottom"/>
            <w:tcBorders>
              <w:bottom w:val="single" w:sz="8" w:color="F6F6F6"/>
            </w:tcBorders>
            <w:shd w:val="clear" w:color="auto" w:fill="F6F6F6"/>
          </w:tcPr>
          <w:p>
            <w:pPr>
              <w:jc w:val="center"/>
              <w:spacing w:after="0"/>
              <w:rPr>
                <w:sz w:val="20"/>
                <w:szCs w:val="20"/>
                <w:color w:val="auto"/>
              </w:rPr>
            </w:pPr>
            <w:r>
              <w:rPr>
                <w:rFonts w:ascii="Arial" w:cs="Arial" w:eastAsia="Arial" w:hAnsi="Arial"/>
                <w:sz w:val="16"/>
                <w:szCs w:val="16"/>
                <w:b w:val="1"/>
                <w:bCs w:val="1"/>
                <w:color w:val="auto"/>
              </w:rPr>
              <w:t>Fixed</w:t>
            </w:r>
          </w:p>
        </w:tc>
        <w:tc>
          <w:tcPr>
            <w:tcW w:w="1060" w:type="dxa"/>
            <w:vAlign w:val="bottom"/>
            <w:tcBorders>
              <w:bottom w:val="single" w:sz="8" w:color="F6F6F6"/>
              <w:right w:val="single" w:sz="8" w:color="F6F6F6"/>
            </w:tcBorders>
            <w:shd w:val="clear" w:color="auto" w:fill="F6F6F6"/>
          </w:tcPr>
          <w:p>
            <w:pPr>
              <w:spacing w:after="0"/>
              <w:rPr>
                <w:sz w:val="18"/>
                <w:szCs w:val="18"/>
                <w:color w:val="auto"/>
              </w:rPr>
            </w:pPr>
          </w:p>
        </w:tc>
        <w:tc>
          <w:tcPr>
            <w:tcW w:w="200" w:type="dxa"/>
            <w:vAlign w:val="bottom"/>
            <w:tcBorders>
              <w:bottom w:val="single" w:sz="8" w:color="F6F6F6"/>
              <w:right w:val="single" w:sz="8" w:color="F6F6F6"/>
            </w:tcBorders>
            <w:shd w:val="clear" w:color="auto" w:fill="F6F6F6"/>
          </w:tcPr>
          <w:p>
            <w:pPr>
              <w:spacing w:after="0"/>
              <w:rPr>
                <w:sz w:val="18"/>
                <w:szCs w:val="18"/>
                <w:color w:val="auto"/>
              </w:rPr>
            </w:pPr>
          </w:p>
        </w:tc>
        <w:tc>
          <w:tcPr>
            <w:tcW w:w="2760" w:type="dxa"/>
            <w:vAlign w:val="bottom"/>
            <w:tcBorders>
              <w:bottom w:val="single" w:sz="8" w:color="F6F6F6"/>
            </w:tcBorders>
            <w:shd w:val="clear" w:color="auto" w:fill="F6F6F6"/>
          </w:tcPr>
          <w:p>
            <w:pPr>
              <w:spacing w:after="0"/>
              <w:rPr>
                <w:sz w:val="18"/>
                <w:szCs w:val="18"/>
                <w:color w:val="auto"/>
              </w:rPr>
            </w:pPr>
          </w:p>
        </w:tc>
        <w:tc>
          <w:tcPr>
            <w:tcW w:w="1500" w:type="dxa"/>
            <w:vAlign w:val="bottom"/>
            <w:tcBorders>
              <w:bottom w:val="single" w:sz="8" w:color="F6F6F6"/>
            </w:tcBorders>
            <w:gridSpan w:val="3"/>
            <w:shd w:val="clear" w:color="auto" w:fill="F6F6F6"/>
          </w:tcPr>
          <w:p>
            <w:pPr>
              <w:jc w:val="center"/>
              <w:spacing w:after="0"/>
              <w:rPr>
                <w:sz w:val="20"/>
                <w:szCs w:val="20"/>
                <w:color w:val="auto"/>
              </w:rPr>
            </w:pPr>
            <w:r>
              <w:rPr>
                <w:rFonts w:ascii="Arial" w:cs="Arial" w:eastAsia="Arial" w:hAnsi="Arial"/>
                <w:sz w:val="16"/>
                <w:szCs w:val="16"/>
                <w:b w:val="1"/>
                <w:bCs w:val="1"/>
                <w:color w:val="auto"/>
                <w:w w:val="99"/>
              </w:rPr>
              <w:t>Variable</w:t>
            </w:r>
          </w:p>
        </w:tc>
        <w:tc>
          <w:tcPr>
            <w:tcW w:w="2780" w:type="dxa"/>
            <w:vAlign w:val="bottom"/>
            <w:tcBorders>
              <w:bottom w:val="single" w:sz="8" w:color="F6F6F6"/>
            </w:tcBorders>
            <w:shd w:val="clear" w:color="auto" w:fill="F6F6F6"/>
          </w:tcPr>
          <w:p>
            <w:pPr>
              <w:spacing w:after="0"/>
              <w:rPr>
                <w:sz w:val="18"/>
                <w:szCs w:val="18"/>
                <w:color w:val="auto"/>
              </w:rPr>
            </w:pPr>
          </w:p>
        </w:tc>
        <w:tc>
          <w:tcPr>
            <w:tcW w:w="260" w:type="dxa"/>
            <w:vAlign w:val="bottom"/>
            <w:tcBorders>
              <w:left w:val="single" w:sz="8" w:color="F6F6F6"/>
              <w:bottom w:val="single" w:sz="8" w:color="F6F6F6"/>
            </w:tcBorders>
            <w:shd w:val="clear" w:color="auto" w:fill="F6F6F6"/>
          </w:tcPr>
          <w:p>
            <w:pPr>
              <w:spacing w:after="0"/>
              <w:rPr>
                <w:sz w:val="18"/>
                <w:szCs w:val="18"/>
                <w:color w:val="auto"/>
              </w:rPr>
            </w:pPr>
          </w:p>
        </w:tc>
      </w:tr>
      <w:tr>
        <w:trPr>
          <w:trHeight w:val="176"/>
        </w:trPr>
        <w:tc>
          <w:tcPr>
            <w:tcW w:w="1040" w:type="dxa"/>
            <w:vAlign w:val="bottom"/>
            <w:tcBorders>
              <w:top w:val="single" w:sz="8" w:color="F6F6F6"/>
              <w:bottom w:val="single" w:sz="8" w:color="F6F6F6"/>
            </w:tcBorders>
            <w:shd w:val="clear" w:color="auto" w:fill="F6F6F6"/>
          </w:tcPr>
          <w:p>
            <w:pPr>
              <w:spacing w:after="0"/>
              <w:rPr>
                <w:sz w:val="15"/>
                <w:szCs w:val="15"/>
                <w:color w:val="auto"/>
              </w:rPr>
            </w:pPr>
          </w:p>
        </w:tc>
        <w:tc>
          <w:tcPr>
            <w:tcW w:w="1360" w:type="dxa"/>
            <w:vAlign w:val="bottom"/>
            <w:tcBorders>
              <w:top w:val="single" w:sz="8" w:color="F6F6F6"/>
              <w:bottom w:val="single" w:sz="8" w:color="F6F6F6"/>
            </w:tcBorders>
            <w:shd w:val="clear" w:color="auto" w:fill="F6F6F6"/>
          </w:tcPr>
          <w:p>
            <w:pPr>
              <w:jc w:val="center"/>
              <w:spacing w:after="0" w:line="175" w:lineRule="exact"/>
              <w:rPr>
                <w:sz w:val="20"/>
                <w:szCs w:val="20"/>
                <w:color w:val="auto"/>
              </w:rPr>
            </w:pPr>
            <w:r>
              <w:rPr>
                <w:rFonts w:ascii="Arial" w:cs="Arial" w:eastAsia="Arial" w:hAnsi="Arial"/>
                <w:sz w:val="16"/>
                <w:szCs w:val="16"/>
                <w:b w:val="1"/>
                <w:bCs w:val="1"/>
                <w:color w:val="auto"/>
              </w:rPr>
              <w:t>Component</w:t>
            </w:r>
          </w:p>
        </w:tc>
        <w:tc>
          <w:tcPr>
            <w:tcW w:w="1060" w:type="dxa"/>
            <w:vAlign w:val="bottom"/>
            <w:tcBorders>
              <w:top w:val="single" w:sz="8" w:color="1A3FD6"/>
              <w:bottom w:val="single" w:sz="8" w:color="F6F6F6"/>
              <w:right w:val="single" w:sz="8" w:color="1A3FD6"/>
            </w:tcBorders>
            <w:shd w:val="clear" w:color="auto" w:fill="F6F6F6"/>
          </w:tcPr>
          <w:p>
            <w:pPr>
              <w:spacing w:after="0"/>
              <w:rPr>
                <w:sz w:val="15"/>
                <w:szCs w:val="15"/>
                <w:color w:val="auto"/>
              </w:rPr>
            </w:pPr>
          </w:p>
        </w:tc>
        <w:tc>
          <w:tcPr>
            <w:tcW w:w="200" w:type="dxa"/>
            <w:vAlign w:val="bottom"/>
            <w:tcBorders>
              <w:top w:val="single" w:sz="8" w:color="F6F6F6"/>
              <w:bottom w:val="single" w:sz="8" w:color="F6F6F6"/>
              <w:right w:val="single" w:sz="8" w:color="1A3FD6"/>
            </w:tcBorders>
            <w:shd w:val="clear" w:color="auto" w:fill="F6F6F6"/>
          </w:tcPr>
          <w:p>
            <w:pPr>
              <w:spacing w:after="0"/>
              <w:rPr>
                <w:sz w:val="15"/>
                <w:szCs w:val="15"/>
                <w:color w:val="auto"/>
              </w:rPr>
            </w:pPr>
          </w:p>
        </w:tc>
        <w:tc>
          <w:tcPr>
            <w:tcW w:w="2760" w:type="dxa"/>
            <w:vAlign w:val="bottom"/>
            <w:tcBorders>
              <w:top w:val="single" w:sz="8" w:color="1A3FD6"/>
              <w:bottom w:val="single" w:sz="8" w:color="F6F6F6"/>
            </w:tcBorders>
            <w:shd w:val="clear" w:color="auto" w:fill="F6F6F6"/>
          </w:tcPr>
          <w:p>
            <w:pPr>
              <w:spacing w:after="0"/>
              <w:rPr>
                <w:sz w:val="15"/>
                <w:szCs w:val="15"/>
                <w:color w:val="auto"/>
              </w:rPr>
            </w:pPr>
          </w:p>
        </w:tc>
        <w:tc>
          <w:tcPr>
            <w:tcW w:w="1500" w:type="dxa"/>
            <w:vAlign w:val="bottom"/>
            <w:tcBorders>
              <w:top w:val="single" w:sz="8" w:color="F6F6F6"/>
              <w:bottom w:val="single" w:sz="8" w:color="F6F6F6"/>
            </w:tcBorders>
            <w:gridSpan w:val="3"/>
            <w:shd w:val="clear" w:color="auto" w:fill="F6F6F6"/>
          </w:tcPr>
          <w:p>
            <w:pPr>
              <w:jc w:val="center"/>
              <w:spacing w:after="0" w:line="175" w:lineRule="exact"/>
              <w:rPr>
                <w:sz w:val="20"/>
                <w:szCs w:val="20"/>
                <w:color w:val="auto"/>
              </w:rPr>
            </w:pPr>
            <w:r>
              <w:rPr>
                <w:rFonts w:ascii="Arial" w:cs="Arial" w:eastAsia="Arial" w:hAnsi="Arial"/>
                <w:sz w:val="16"/>
                <w:szCs w:val="16"/>
                <w:b w:val="1"/>
                <w:bCs w:val="1"/>
                <w:color w:val="auto"/>
              </w:rPr>
              <w:t>Components</w:t>
            </w:r>
          </w:p>
        </w:tc>
        <w:tc>
          <w:tcPr>
            <w:tcW w:w="2780" w:type="dxa"/>
            <w:vAlign w:val="bottom"/>
            <w:tcBorders>
              <w:top w:val="single" w:sz="8" w:color="1A3FD6"/>
              <w:bottom w:val="single" w:sz="8" w:color="F6F6F6"/>
            </w:tcBorders>
            <w:shd w:val="clear" w:color="auto" w:fill="F6F6F6"/>
          </w:tcPr>
          <w:p>
            <w:pPr>
              <w:spacing w:after="0"/>
              <w:rPr>
                <w:sz w:val="15"/>
                <w:szCs w:val="15"/>
                <w:color w:val="auto"/>
              </w:rPr>
            </w:pPr>
          </w:p>
        </w:tc>
        <w:tc>
          <w:tcPr>
            <w:tcW w:w="260" w:type="dxa"/>
            <w:vAlign w:val="bottom"/>
            <w:tcBorders>
              <w:left w:val="single" w:sz="8" w:color="1A3FD6"/>
            </w:tcBorders>
          </w:tcPr>
          <w:p>
            <w:pPr>
              <w:spacing w:after="0"/>
              <w:rPr>
                <w:sz w:val="15"/>
                <w:szCs w:val="15"/>
                <w:color w:val="auto"/>
              </w:rPr>
            </w:pPr>
          </w:p>
        </w:tc>
      </w:tr>
      <w:tr>
        <w:trPr>
          <w:trHeight w:val="94"/>
        </w:trPr>
        <w:tc>
          <w:tcPr>
            <w:tcW w:w="1040" w:type="dxa"/>
            <w:vAlign w:val="bottom"/>
            <w:shd w:val="clear" w:color="auto" w:fill="F6F6F6"/>
          </w:tcPr>
          <w:p>
            <w:pPr>
              <w:spacing w:after="0"/>
              <w:rPr>
                <w:sz w:val="8"/>
                <w:szCs w:val="8"/>
                <w:color w:val="auto"/>
              </w:rPr>
            </w:pPr>
          </w:p>
        </w:tc>
        <w:tc>
          <w:tcPr>
            <w:tcW w:w="1360" w:type="dxa"/>
            <w:vAlign w:val="bottom"/>
            <w:shd w:val="clear" w:color="auto" w:fill="F6F6F6"/>
          </w:tcPr>
          <w:p>
            <w:pPr>
              <w:spacing w:after="0"/>
              <w:rPr>
                <w:sz w:val="8"/>
                <w:szCs w:val="8"/>
                <w:color w:val="auto"/>
              </w:rPr>
            </w:pPr>
          </w:p>
        </w:tc>
        <w:tc>
          <w:tcPr>
            <w:tcW w:w="1060" w:type="dxa"/>
            <w:vAlign w:val="bottom"/>
            <w:tcBorders>
              <w:right w:val="single" w:sz="8" w:color="F6F6F6"/>
            </w:tcBorders>
            <w:shd w:val="clear" w:color="auto" w:fill="F6F6F6"/>
          </w:tcPr>
          <w:p>
            <w:pPr>
              <w:spacing w:after="0"/>
              <w:rPr>
                <w:sz w:val="8"/>
                <w:szCs w:val="8"/>
                <w:color w:val="auto"/>
              </w:rPr>
            </w:pPr>
          </w:p>
        </w:tc>
        <w:tc>
          <w:tcPr>
            <w:tcW w:w="200" w:type="dxa"/>
            <w:vAlign w:val="bottom"/>
            <w:tcBorders>
              <w:right w:val="single" w:sz="8" w:color="F6F6F6"/>
            </w:tcBorders>
            <w:shd w:val="clear" w:color="auto" w:fill="F6F6F6"/>
          </w:tcPr>
          <w:p>
            <w:pPr>
              <w:spacing w:after="0"/>
              <w:rPr>
                <w:sz w:val="8"/>
                <w:szCs w:val="8"/>
                <w:color w:val="auto"/>
              </w:rPr>
            </w:pPr>
          </w:p>
        </w:tc>
        <w:tc>
          <w:tcPr>
            <w:tcW w:w="2760" w:type="dxa"/>
            <w:vAlign w:val="bottom"/>
            <w:shd w:val="clear" w:color="auto" w:fill="F6F6F6"/>
          </w:tcPr>
          <w:p>
            <w:pPr>
              <w:spacing w:after="0"/>
              <w:rPr>
                <w:sz w:val="8"/>
                <w:szCs w:val="8"/>
                <w:color w:val="auto"/>
              </w:rPr>
            </w:pPr>
          </w:p>
        </w:tc>
        <w:tc>
          <w:tcPr>
            <w:tcW w:w="680" w:type="dxa"/>
            <w:vAlign w:val="bottom"/>
            <w:shd w:val="clear" w:color="auto" w:fill="F6F6F6"/>
          </w:tcPr>
          <w:p>
            <w:pPr>
              <w:spacing w:after="0"/>
              <w:rPr>
                <w:sz w:val="8"/>
                <w:szCs w:val="8"/>
                <w:color w:val="auto"/>
              </w:rPr>
            </w:pPr>
          </w:p>
        </w:tc>
        <w:tc>
          <w:tcPr>
            <w:tcW w:w="140" w:type="dxa"/>
            <w:vAlign w:val="bottom"/>
            <w:shd w:val="clear" w:color="auto" w:fill="F6F6F6"/>
          </w:tcPr>
          <w:p>
            <w:pPr>
              <w:spacing w:after="0"/>
              <w:rPr>
                <w:sz w:val="8"/>
                <w:szCs w:val="8"/>
                <w:color w:val="auto"/>
              </w:rPr>
            </w:pPr>
          </w:p>
        </w:tc>
        <w:tc>
          <w:tcPr>
            <w:tcW w:w="680" w:type="dxa"/>
            <w:vAlign w:val="bottom"/>
            <w:shd w:val="clear" w:color="auto" w:fill="F6F6F6"/>
          </w:tcPr>
          <w:p>
            <w:pPr>
              <w:spacing w:after="0"/>
              <w:rPr>
                <w:sz w:val="8"/>
                <w:szCs w:val="8"/>
                <w:color w:val="auto"/>
              </w:rPr>
            </w:pPr>
          </w:p>
        </w:tc>
        <w:tc>
          <w:tcPr>
            <w:tcW w:w="2780" w:type="dxa"/>
            <w:vAlign w:val="bottom"/>
            <w:shd w:val="clear" w:color="auto" w:fill="F6F6F6"/>
          </w:tcPr>
          <w:p>
            <w:pPr>
              <w:spacing w:after="0"/>
              <w:rPr>
                <w:sz w:val="8"/>
                <w:szCs w:val="8"/>
                <w:color w:val="auto"/>
              </w:rPr>
            </w:pPr>
          </w:p>
        </w:tc>
        <w:tc>
          <w:tcPr>
            <w:tcW w:w="260" w:type="dxa"/>
            <w:vAlign w:val="bottom"/>
          </w:tcPr>
          <w:p>
            <w:pPr>
              <w:spacing w:after="0"/>
              <w:rPr>
                <w:sz w:val="8"/>
                <w:szCs w:val="8"/>
                <w:color w:val="auto"/>
              </w:rPr>
            </w:pPr>
          </w:p>
        </w:tc>
      </w:tr>
      <w:tr>
        <w:trPr>
          <w:trHeight w:val="289"/>
        </w:trPr>
        <w:tc>
          <w:tcPr>
            <w:tcW w:w="1040" w:type="dxa"/>
            <w:vAlign w:val="bottom"/>
            <w:shd w:val="clear" w:color="auto" w:fill="BCBEC0"/>
          </w:tcPr>
          <w:p>
            <w:pPr>
              <w:spacing w:after="0"/>
              <w:rPr>
                <w:sz w:val="24"/>
                <w:szCs w:val="24"/>
                <w:color w:val="auto"/>
              </w:rPr>
            </w:pPr>
          </w:p>
        </w:tc>
        <w:tc>
          <w:tcPr>
            <w:tcW w:w="1360" w:type="dxa"/>
            <w:vAlign w:val="bottom"/>
            <w:shd w:val="clear" w:color="auto" w:fill="BCBEC0"/>
          </w:tcPr>
          <w:p>
            <w:pPr>
              <w:jc w:val="center"/>
              <w:spacing w:after="0"/>
              <w:rPr>
                <w:sz w:val="20"/>
                <w:szCs w:val="20"/>
                <w:color w:val="auto"/>
              </w:rPr>
            </w:pPr>
            <w:r>
              <w:rPr>
                <w:rFonts w:ascii="Arial" w:cs="Arial" w:eastAsia="Arial" w:hAnsi="Arial"/>
                <w:sz w:val="16"/>
                <w:szCs w:val="16"/>
                <w:b w:val="1"/>
                <w:bCs w:val="1"/>
                <w:color w:val="auto"/>
              </w:rPr>
              <w:t>Base Salary</w:t>
            </w:r>
          </w:p>
        </w:tc>
        <w:tc>
          <w:tcPr>
            <w:tcW w:w="1060" w:type="dxa"/>
            <w:vAlign w:val="bottom"/>
            <w:tcBorders>
              <w:right w:val="single" w:sz="8" w:color="F6F6F6"/>
            </w:tcBorders>
            <w:shd w:val="clear" w:color="auto" w:fill="BCBEC0"/>
          </w:tcPr>
          <w:p>
            <w:pPr>
              <w:spacing w:after="0"/>
              <w:rPr>
                <w:sz w:val="24"/>
                <w:szCs w:val="24"/>
                <w:color w:val="auto"/>
              </w:rPr>
            </w:pPr>
          </w:p>
        </w:tc>
        <w:tc>
          <w:tcPr>
            <w:tcW w:w="200" w:type="dxa"/>
            <w:vAlign w:val="bottom"/>
            <w:tcBorders>
              <w:right w:val="single" w:sz="8" w:color="00C4B3"/>
            </w:tcBorders>
            <w:shd w:val="clear" w:color="auto" w:fill="F6F6F6"/>
          </w:tcPr>
          <w:p>
            <w:pPr>
              <w:spacing w:after="0"/>
              <w:rPr>
                <w:sz w:val="24"/>
                <w:szCs w:val="24"/>
                <w:color w:val="auto"/>
              </w:rPr>
            </w:pPr>
          </w:p>
        </w:tc>
        <w:tc>
          <w:tcPr>
            <w:tcW w:w="2760" w:type="dxa"/>
            <w:vAlign w:val="bottom"/>
            <w:shd w:val="clear" w:color="auto" w:fill="00C4B3"/>
          </w:tcPr>
          <w:p>
            <w:pPr>
              <w:ind w:left="860"/>
              <w:spacing w:after="0"/>
              <w:rPr>
                <w:sz w:val="20"/>
                <w:szCs w:val="20"/>
                <w:color w:val="auto"/>
              </w:rPr>
            </w:pPr>
            <w:r>
              <w:rPr>
                <w:rFonts w:ascii="Arial" w:cs="Arial" w:eastAsia="Arial" w:hAnsi="Arial"/>
                <w:sz w:val="16"/>
                <w:szCs w:val="16"/>
                <w:b w:val="1"/>
                <w:bCs w:val="1"/>
                <w:color w:val="auto"/>
              </w:rPr>
              <w:t>Annual Incentive Plan</w:t>
            </w:r>
          </w:p>
        </w:tc>
        <w:tc>
          <w:tcPr>
            <w:tcW w:w="680" w:type="dxa"/>
            <w:vAlign w:val="bottom"/>
            <w:shd w:val="clear" w:color="auto" w:fill="00C4B3"/>
          </w:tcPr>
          <w:p>
            <w:pPr>
              <w:spacing w:after="0"/>
              <w:rPr>
                <w:sz w:val="24"/>
                <w:szCs w:val="24"/>
                <w:color w:val="auto"/>
              </w:rPr>
            </w:pPr>
          </w:p>
        </w:tc>
        <w:tc>
          <w:tcPr>
            <w:tcW w:w="140" w:type="dxa"/>
            <w:vAlign w:val="bottom"/>
            <w:shd w:val="clear" w:color="auto" w:fill="F6F6F6"/>
          </w:tcPr>
          <w:p>
            <w:pPr>
              <w:spacing w:after="0"/>
              <w:rPr>
                <w:sz w:val="24"/>
                <w:szCs w:val="24"/>
                <w:color w:val="auto"/>
              </w:rPr>
            </w:pPr>
          </w:p>
        </w:tc>
        <w:tc>
          <w:tcPr>
            <w:tcW w:w="3460" w:type="dxa"/>
            <w:vAlign w:val="bottom"/>
            <w:gridSpan w:val="2"/>
            <w:shd w:val="clear" w:color="auto" w:fill="1A3FD6"/>
          </w:tcPr>
          <w:p>
            <w:pPr>
              <w:ind w:left="580"/>
              <w:spacing w:after="0"/>
              <w:rPr>
                <w:sz w:val="20"/>
                <w:szCs w:val="20"/>
                <w:color w:val="auto"/>
              </w:rPr>
            </w:pPr>
            <w:r>
              <w:rPr>
                <w:rFonts w:ascii="Arial" w:cs="Arial" w:eastAsia="Arial" w:hAnsi="Arial"/>
                <w:sz w:val="16"/>
                <w:szCs w:val="16"/>
                <w:b w:val="1"/>
                <w:bCs w:val="1"/>
                <w:color w:val="FFFFFF"/>
              </w:rPr>
              <w:t>Long-Term Incentive Program</w:t>
            </w:r>
          </w:p>
        </w:tc>
        <w:tc>
          <w:tcPr>
            <w:tcW w:w="260" w:type="dxa"/>
            <w:vAlign w:val="bottom"/>
          </w:tcPr>
          <w:p>
            <w:pPr>
              <w:spacing w:after="0"/>
              <w:rPr>
                <w:sz w:val="24"/>
                <w:szCs w:val="24"/>
                <w:color w:val="auto"/>
              </w:rPr>
            </w:pPr>
          </w:p>
        </w:tc>
      </w:tr>
      <w:tr>
        <w:trPr>
          <w:trHeight w:val="89"/>
        </w:trPr>
        <w:tc>
          <w:tcPr>
            <w:tcW w:w="1040" w:type="dxa"/>
            <w:vAlign w:val="bottom"/>
            <w:shd w:val="clear" w:color="auto" w:fill="BCBEC0"/>
          </w:tcPr>
          <w:p>
            <w:pPr>
              <w:spacing w:after="0"/>
              <w:rPr>
                <w:sz w:val="7"/>
                <w:szCs w:val="7"/>
                <w:color w:val="auto"/>
              </w:rPr>
            </w:pPr>
          </w:p>
        </w:tc>
        <w:tc>
          <w:tcPr>
            <w:tcW w:w="1360" w:type="dxa"/>
            <w:vAlign w:val="bottom"/>
            <w:shd w:val="clear" w:color="auto" w:fill="BCBEC0"/>
          </w:tcPr>
          <w:p>
            <w:pPr>
              <w:spacing w:after="0"/>
              <w:rPr>
                <w:sz w:val="7"/>
                <w:szCs w:val="7"/>
                <w:color w:val="auto"/>
              </w:rPr>
            </w:pPr>
          </w:p>
        </w:tc>
        <w:tc>
          <w:tcPr>
            <w:tcW w:w="1060" w:type="dxa"/>
            <w:vAlign w:val="bottom"/>
            <w:tcBorders>
              <w:right w:val="single" w:sz="8" w:color="F6F6F6"/>
            </w:tcBorders>
            <w:shd w:val="clear" w:color="auto" w:fill="BCBEC0"/>
          </w:tcPr>
          <w:p>
            <w:pPr>
              <w:spacing w:after="0"/>
              <w:rPr>
                <w:sz w:val="7"/>
                <w:szCs w:val="7"/>
                <w:color w:val="auto"/>
              </w:rPr>
            </w:pPr>
          </w:p>
        </w:tc>
        <w:tc>
          <w:tcPr>
            <w:tcW w:w="200" w:type="dxa"/>
            <w:vAlign w:val="bottom"/>
            <w:tcBorders>
              <w:right w:val="single" w:sz="8" w:color="00C4B3"/>
            </w:tcBorders>
            <w:shd w:val="clear" w:color="auto" w:fill="F6F6F6"/>
          </w:tcPr>
          <w:p>
            <w:pPr>
              <w:spacing w:after="0"/>
              <w:rPr>
                <w:sz w:val="7"/>
                <w:szCs w:val="7"/>
                <w:color w:val="auto"/>
              </w:rPr>
            </w:pPr>
          </w:p>
        </w:tc>
        <w:tc>
          <w:tcPr>
            <w:tcW w:w="2760" w:type="dxa"/>
            <w:vAlign w:val="bottom"/>
            <w:shd w:val="clear" w:color="auto" w:fill="00C4B3"/>
          </w:tcPr>
          <w:p>
            <w:pPr>
              <w:spacing w:after="0"/>
              <w:rPr>
                <w:sz w:val="7"/>
                <w:szCs w:val="7"/>
                <w:color w:val="auto"/>
              </w:rPr>
            </w:pPr>
          </w:p>
        </w:tc>
        <w:tc>
          <w:tcPr>
            <w:tcW w:w="680" w:type="dxa"/>
            <w:vAlign w:val="bottom"/>
            <w:shd w:val="clear" w:color="auto" w:fill="00C4B3"/>
          </w:tcPr>
          <w:p>
            <w:pPr>
              <w:spacing w:after="0"/>
              <w:rPr>
                <w:sz w:val="7"/>
                <w:szCs w:val="7"/>
                <w:color w:val="auto"/>
              </w:rPr>
            </w:pPr>
          </w:p>
        </w:tc>
        <w:tc>
          <w:tcPr>
            <w:tcW w:w="140" w:type="dxa"/>
            <w:vAlign w:val="bottom"/>
            <w:shd w:val="clear" w:color="auto" w:fill="F6F6F6"/>
          </w:tcPr>
          <w:p>
            <w:pPr>
              <w:spacing w:after="0"/>
              <w:rPr>
                <w:sz w:val="7"/>
                <w:szCs w:val="7"/>
                <w:color w:val="auto"/>
              </w:rPr>
            </w:pPr>
          </w:p>
        </w:tc>
        <w:tc>
          <w:tcPr>
            <w:tcW w:w="680" w:type="dxa"/>
            <w:vAlign w:val="bottom"/>
            <w:shd w:val="clear" w:color="auto" w:fill="1A3FD6"/>
          </w:tcPr>
          <w:p>
            <w:pPr>
              <w:spacing w:after="0"/>
              <w:rPr>
                <w:sz w:val="7"/>
                <w:szCs w:val="7"/>
                <w:color w:val="auto"/>
              </w:rPr>
            </w:pPr>
          </w:p>
        </w:tc>
        <w:tc>
          <w:tcPr>
            <w:tcW w:w="2780" w:type="dxa"/>
            <w:vAlign w:val="bottom"/>
            <w:shd w:val="clear" w:color="auto" w:fill="1A3FD6"/>
          </w:tcPr>
          <w:p>
            <w:pPr>
              <w:spacing w:after="0"/>
              <w:rPr>
                <w:sz w:val="7"/>
                <w:szCs w:val="7"/>
                <w:color w:val="auto"/>
              </w:rPr>
            </w:pPr>
          </w:p>
        </w:tc>
        <w:tc>
          <w:tcPr>
            <w:tcW w:w="260" w:type="dxa"/>
            <w:vAlign w:val="bottom"/>
          </w:tcPr>
          <w:p>
            <w:pPr>
              <w:spacing w:after="0"/>
              <w:rPr>
                <w:sz w:val="7"/>
                <w:szCs w:val="7"/>
                <w:color w:val="auto"/>
              </w:rPr>
            </w:pPr>
          </w:p>
        </w:tc>
      </w:tr>
      <w:tr>
        <w:trPr>
          <w:trHeight w:val="162"/>
        </w:trPr>
        <w:tc>
          <w:tcPr>
            <w:tcW w:w="1040" w:type="dxa"/>
            <w:vAlign w:val="bottom"/>
            <w:shd w:val="clear" w:color="auto" w:fill="F6F6F6"/>
          </w:tcPr>
          <w:p>
            <w:pPr>
              <w:spacing w:after="0"/>
              <w:rPr>
                <w:sz w:val="14"/>
                <w:szCs w:val="14"/>
                <w:color w:val="auto"/>
              </w:rPr>
            </w:pPr>
          </w:p>
        </w:tc>
        <w:tc>
          <w:tcPr>
            <w:tcW w:w="1360" w:type="dxa"/>
            <w:vAlign w:val="bottom"/>
            <w:shd w:val="clear" w:color="auto" w:fill="F6F6F6"/>
          </w:tcPr>
          <w:p>
            <w:pPr>
              <w:spacing w:after="0"/>
              <w:rPr>
                <w:sz w:val="14"/>
                <w:szCs w:val="14"/>
                <w:color w:val="auto"/>
              </w:rPr>
            </w:pPr>
          </w:p>
        </w:tc>
        <w:tc>
          <w:tcPr>
            <w:tcW w:w="1060" w:type="dxa"/>
            <w:vAlign w:val="bottom"/>
            <w:tcBorders>
              <w:right w:val="single" w:sz="8" w:color="F6F6F6"/>
            </w:tcBorders>
            <w:shd w:val="clear" w:color="auto" w:fill="F6F6F6"/>
          </w:tcPr>
          <w:p>
            <w:pPr>
              <w:spacing w:after="0"/>
              <w:rPr>
                <w:sz w:val="14"/>
                <w:szCs w:val="14"/>
                <w:color w:val="auto"/>
              </w:rPr>
            </w:pPr>
          </w:p>
        </w:tc>
        <w:tc>
          <w:tcPr>
            <w:tcW w:w="200" w:type="dxa"/>
            <w:vAlign w:val="bottom"/>
            <w:tcBorders>
              <w:right w:val="single" w:sz="8" w:color="F6F6F6"/>
            </w:tcBorders>
            <w:shd w:val="clear" w:color="auto" w:fill="F6F6F6"/>
          </w:tcPr>
          <w:p>
            <w:pPr>
              <w:spacing w:after="0"/>
              <w:rPr>
                <w:sz w:val="14"/>
                <w:szCs w:val="14"/>
                <w:color w:val="auto"/>
              </w:rPr>
            </w:pPr>
          </w:p>
        </w:tc>
        <w:tc>
          <w:tcPr>
            <w:tcW w:w="2760" w:type="dxa"/>
            <w:vAlign w:val="bottom"/>
            <w:shd w:val="clear" w:color="auto" w:fill="F6F6F6"/>
          </w:tcPr>
          <w:p>
            <w:pPr>
              <w:spacing w:after="0"/>
              <w:rPr>
                <w:sz w:val="14"/>
                <w:szCs w:val="14"/>
                <w:color w:val="auto"/>
              </w:rPr>
            </w:pPr>
          </w:p>
        </w:tc>
        <w:tc>
          <w:tcPr>
            <w:tcW w:w="680" w:type="dxa"/>
            <w:vAlign w:val="bottom"/>
            <w:shd w:val="clear" w:color="auto" w:fill="F6F6F6"/>
          </w:tcPr>
          <w:p>
            <w:pPr>
              <w:spacing w:after="0"/>
              <w:rPr>
                <w:sz w:val="14"/>
                <w:szCs w:val="14"/>
                <w:color w:val="auto"/>
              </w:rPr>
            </w:pPr>
          </w:p>
        </w:tc>
        <w:tc>
          <w:tcPr>
            <w:tcW w:w="140" w:type="dxa"/>
            <w:vAlign w:val="bottom"/>
            <w:shd w:val="clear" w:color="auto" w:fill="F6F6F6"/>
          </w:tcPr>
          <w:p>
            <w:pPr>
              <w:spacing w:after="0"/>
              <w:rPr>
                <w:sz w:val="14"/>
                <w:szCs w:val="14"/>
                <w:color w:val="auto"/>
              </w:rPr>
            </w:pPr>
          </w:p>
        </w:tc>
        <w:tc>
          <w:tcPr>
            <w:tcW w:w="680" w:type="dxa"/>
            <w:vAlign w:val="bottom"/>
            <w:shd w:val="clear" w:color="auto" w:fill="F6F6F6"/>
          </w:tcPr>
          <w:p>
            <w:pPr>
              <w:spacing w:after="0"/>
              <w:rPr>
                <w:sz w:val="14"/>
                <w:szCs w:val="14"/>
                <w:color w:val="auto"/>
              </w:rPr>
            </w:pPr>
          </w:p>
        </w:tc>
        <w:tc>
          <w:tcPr>
            <w:tcW w:w="2780" w:type="dxa"/>
            <w:vAlign w:val="bottom"/>
            <w:shd w:val="clear" w:color="auto" w:fill="F6F6F6"/>
          </w:tcPr>
          <w:p>
            <w:pPr>
              <w:spacing w:after="0"/>
              <w:rPr>
                <w:sz w:val="14"/>
                <w:szCs w:val="14"/>
                <w:color w:val="auto"/>
              </w:rPr>
            </w:pPr>
          </w:p>
        </w:tc>
        <w:tc>
          <w:tcPr>
            <w:tcW w:w="260" w:type="dxa"/>
            <w:vAlign w:val="bottom"/>
          </w:tcPr>
          <w:p>
            <w:pPr>
              <w:spacing w:after="0"/>
              <w:rPr>
                <w:sz w:val="14"/>
                <w:szCs w:val="14"/>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Philosophy</w:t>
      </w:r>
    </w:p>
    <w:p>
      <w:pPr>
        <w:spacing w:after="0" w:line="39" w:lineRule="exact"/>
        <w:rPr>
          <w:sz w:val="20"/>
          <w:szCs w:val="20"/>
          <w:color w:val="auto"/>
        </w:rPr>
      </w:pPr>
    </w:p>
    <w:p>
      <w:pPr>
        <w:jc w:val="both"/>
        <w:ind w:left="340" w:right="400"/>
        <w:spacing w:after="0" w:line="288" w:lineRule="auto"/>
        <w:rPr>
          <w:sz w:val="20"/>
          <w:szCs w:val="20"/>
          <w:color w:val="auto"/>
        </w:rPr>
      </w:pPr>
      <w:r>
        <w:rPr>
          <w:rFonts w:ascii="Arial" w:cs="Arial" w:eastAsia="Arial" w:hAnsi="Arial"/>
          <w:sz w:val="16"/>
          <w:szCs w:val="16"/>
          <w:color w:val="auto"/>
        </w:rPr>
        <w:t>Each of the three components has a different purpose. The sum of the base salary, target annual cash incentive and target equity incentive creates a target total compensation. Actual cash incentive and equity incentive payouts are dependent upon the achievement of the relevant AIP and LTIP goals tied directly to the performance of the Company and its share price, the product/functional unit and the individual.</w:t>
      </w:r>
    </w:p>
    <w:p>
      <w:pPr>
        <w:spacing w:after="0" w:line="200" w:lineRule="exact"/>
        <w:rPr>
          <w:sz w:val="20"/>
          <w:szCs w:val="20"/>
          <w:color w:val="auto"/>
        </w:rPr>
      </w:pPr>
    </w:p>
    <w:p>
      <w:pPr>
        <w:spacing w:after="0" w:line="279"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We believe that this target-based incentive structure fosters a culture of high performance and accountability and promotes shareholder interests by closely aligning executive compensation with objectively measured Company performance and strategic goal attainment as further described below. The following table sets forth the key components of our executive compensation program in effect in 2025.</w:t>
      </w:r>
    </w:p>
    <w:p>
      <w:pPr>
        <w:sectPr>
          <w:pgSz w:w="11900" w:h="16838" w:orient="portrait"/>
          <w:cols w:equalWidth="0" w:num="1">
            <w:col w:w="11240"/>
          </w:cols>
          <w:pgMar w:left="320" w:top="130" w:right="3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99060</wp:posOffset>
            </wp:positionV>
            <wp:extent cx="5554980" cy="3566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54980" cy="3566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1A3FD6"/>
        </w:rPr>
        <w:t>Short-Term Annual Incentive Plan</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1A3FD6"/>
        </w:rPr>
        <w:t>Cash Bonus</w:t>
      </w:r>
    </w:p>
    <w:p>
      <w:pPr>
        <w:spacing w:after="0" w:line="131" w:lineRule="exact"/>
        <w:rPr>
          <w:sz w:val="20"/>
          <w:szCs w:val="20"/>
          <w:color w:val="auto"/>
        </w:rPr>
      </w:pPr>
    </w:p>
    <w:tbl>
      <w:tblPr>
        <w:tblLayout w:type="fixed"/>
        <w:tblInd w:w="1520" w:type="dxa"/>
        <w:tblCellMar>
          <w:top w:w="0" w:type="dxa"/>
          <w:left w:w="0" w:type="dxa"/>
          <w:bottom w:w="0" w:type="dxa"/>
          <w:right w:w="0" w:type="dxa"/>
        </w:tblCellMar>
      </w:tblPr>
      <w:tr>
        <w:trPr>
          <w:trHeight w:val="54"/>
        </w:trPr>
        <w:tc>
          <w:tcPr>
            <w:tcW w:w="1300" w:type="dxa"/>
            <w:vAlign w:val="bottom"/>
            <w:shd w:val="clear" w:color="auto" w:fill="F5F5F5"/>
          </w:tcPr>
          <w:p>
            <w:pPr>
              <w:spacing w:after="0"/>
              <w:rPr>
                <w:sz w:val="4"/>
                <w:szCs w:val="4"/>
                <w:color w:val="auto"/>
              </w:rPr>
            </w:pPr>
          </w:p>
        </w:tc>
        <w:tc>
          <w:tcPr>
            <w:tcW w:w="17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1300" w:type="dxa"/>
            <w:vAlign w:val="bottom"/>
            <w:vMerge w:val="restart"/>
            <w:shd w:val="clear" w:color="auto" w:fill="F5F5F5"/>
          </w:tcPr>
          <w:p>
            <w:pPr>
              <w:ind w:left="20"/>
              <w:spacing w:after="0"/>
              <w:rPr>
                <w:sz w:val="20"/>
                <w:szCs w:val="20"/>
                <w:color w:val="auto"/>
              </w:rPr>
            </w:pPr>
            <w:r>
              <w:rPr>
                <w:rFonts w:ascii="Arial" w:cs="Arial" w:eastAsia="Arial" w:hAnsi="Arial"/>
                <w:sz w:val="22"/>
                <w:szCs w:val="22"/>
                <w:b w:val="1"/>
                <w:bCs w:val="1"/>
                <w:color w:val="1A3FD6"/>
              </w:rPr>
              <w:t>80%</w:t>
            </w:r>
          </w:p>
        </w:tc>
        <w:tc>
          <w:tcPr>
            <w:tcW w:w="1740" w:type="dxa"/>
            <w:vAlign w:val="bottom"/>
            <w:shd w:val="clear" w:color="auto" w:fill="F5F5F5"/>
          </w:tcPr>
          <w:p>
            <w:pPr>
              <w:spacing w:after="0"/>
              <w:rPr>
                <w:sz w:val="24"/>
                <w:szCs w:val="24"/>
                <w:color w:val="auto"/>
              </w:rPr>
            </w:pPr>
          </w:p>
        </w:tc>
        <w:tc>
          <w:tcPr>
            <w:tcW w:w="1540" w:type="dxa"/>
            <w:vAlign w:val="bottom"/>
            <w:shd w:val="clear" w:color="auto" w:fill="F5F5F5"/>
          </w:tcPr>
          <w:p>
            <w:pPr>
              <w:ind w:left="20"/>
              <w:spacing w:after="0"/>
              <w:rPr>
                <w:sz w:val="20"/>
                <w:szCs w:val="20"/>
                <w:color w:val="auto"/>
              </w:rPr>
            </w:pPr>
            <w:r>
              <w:rPr>
                <w:rFonts w:ascii="Arial" w:cs="Arial" w:eastAsia="Arial" w:hAnsi="Arial"/>
                <w:sz w:val="22"/>
                <w:szCs w:val="22"/>
                <w:b w:val="1"/>
                <w:bCs w:val="1"/>
                <w:color w:val="1A3FD6"/>
              </w:rPr>
              <w:t>20%</w:t>
            </w:r>
          </w:p>
        </w:tc>
        <w:tc>
          <w:tcPr>
            <w:tcW w:w="0" w:type="dxa"/>
            <w:vAlign w:val="bottom"/>
          </w:tcPr>
          <w:p>
            <w:pPr>
              <w:spacing w:after="0"/>
              <w:rPr>
                <w:sz w:val="1"/>
                <w:szCs w:val="1"/>
                <w:color w:val="auto"/>
              </w:rPr>
            </w:pPr>
          </w:p>
        </w:tc>
      </w:tr>
      <w:tr>
        <w:trPr>
          <w:trHeight w:val="148"/>
        </w:trPr>
        <w:tc>
          <w:tcPr>
            <w:tcW w:w="1300" w:type="dxa"/>
            <w:vAlign w:val="bottom"/>
            <w:vMerge w:val="continue"/>
            <w:shd w:val="clear" w:color="auto" w:fill="F5F5F5"/>
          </w:tcPr>
          <w:p>
            <w:pPr>
              <w:spacing w:after="0"/>
              <w:rPr>
                <w:sz w:val="12"/>
                <w:szCs w:val="12"/>
                <w:color w:val="auto"/>
              </w:rPr>
            </w:pPr>
          </w:p>
        </w:tc>
        <w:tc>
          <w:tcPr>
            <w:tcW w:w="1740" w:type="dxa"/>
            <w:vAlign w:val="bottom"/>
            <w:shd w:val="clear" w:color="auto" w:fill="F5F5F5"/>
          </w:tcPr>
          <w:p>
            <w:pPr>
              <w:spacing w:after="0"/>
              <w:rPr>
                <w:sz w:val="12"/>
                <w:szCs w:val="12"/>
                <w:color w:val="auto"/>
              </w:rPr>
            </w:pPr>
          </w:p>
        </w:tc>
        <w:tc>
          <w:tcPr>
            <w:tcW w:w="1540" w:type="dxa"/>
            <w:vAlign w:val="bottom"/>
            <w:vMerge w:val="restart"/>
            <w:shd w:val="clear" w:color="auto" w:fill="F5F5F5"/>
          </w:tcPr>
          <w:p>
            <w:pPr>
              <w:ind w:left="20"/>
              <w:spacing w:after="0"/>
              <w:rPr>
                <w:sz w:val="20"/>
                <w:szCs w:val="20"/>
                <w:color w:val="auto"/>
              </w:rPr>
            </w:pPr>
            <w:r>
              <w:rPr>
                <w:rFonts w:ascii="Arial" w:cs="Arial" w:eastAsia="Arial" w:hAnsi="Arial"/>
                <w:sz w:val="13"/>
                <w:szCs w:val="13"/>
                <w:b w:val="1"/>
                <w:bCs w:val="1"/>
                <w:color w:val="auto"/>
              </w:rPr>
              <w:t>Key</w:t>
            </w:r>
          </w:p>
        </w:tc>
        <w:tc>
          <w:tcPr>
            <w:tcW w:w="0" w:type="dxa"/>
            <w:vAlign w:val="bottom"/>
          </w:tcPr>
          <w:p>
            <w:pPr>
              <w:spacing w:after="0"/>
              <w:rPr>
                <w:sz w:val="1"/>
                <w:szCs w:val="1"/>
                <w:color w:val="auto"/>
              </w:rPr>
            </w:pPr>
          </w:p>
        </w:tc>
      </w:tr>
      <w:tr>
        <w:trPr>
          <w:trHeight w:val="54"/>
        </w:trPr>
        <w:tc>
          <w:tcPr>
            <w:tcW w:w="1300" w:type="dxa"/>
            <w:vAlign w:val="bottom"/>
            <w:vMerge w:val="restart"/>
            <w:shd w:val="clear" w:color="auto" w:fill="F5F5F5"/>
          </w:tcPr>
          <w:p>
            <w:pPr>
              <w:ind w:left="40"/>
              <w:spacing w:after="0"/>
              <w:rPr>
                <w:sz w:val="20"/>
                <w:szCs w:val="20"/>
                <w:color w:val="auto"/>
              </w:rPr>
            </w:pPr>
            <w:r>
              <w:rPr>
                <w:rFonts w:ascii="Arial" w:cs="Arial" w:eastAsia="Arial" w:hAnsi="Arial"/>
                <w:sz w:val="13"/>
                <w:szCs w:val="13"/>
                <w:b w:val="1"/>
                <w:bCs w:val="1"/>
                <w:color w:val="auto"/>
              </w:rPr>
              <w:t>Financial</w:t>
            </w:r>
          </w:p>
        </w:tc>
        <w:tc>
          <w:tcPr>
            <w:tcW w:w="1740" w:type="dxa"/>
            <w:vAlign w:val="bottom"/>
            <w:shd w:val="clear" w:color="auto" w:fill="F5F5F5"/>
          </w:tcPr>
          <w:p>
            <w:pPr>
              <w:spacing w:after="0"/>
              <w:rPr>
                <w:sz w:val="4"/>
                <w:szCs w:val="4"/>
                <w:color w:val="auto"/>
              </w:rPr>
            </w:pPr>
          </w:p>
        </w:tc>
        <w:tc>
          <w:tcPr>
            <w:tcW w:w="1540" w:type="dxa"/>
            <w:vAlign w:val="bottom"/>
            <w:vMerge w:val="continue"/>
            <w:shd w:val="clear" w:color="auto" w:fill="F5F5F5"/>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00" w:type="dxa"/>
            <w:vAlign w:val="bottom"/>
            <w:vMerge w:val="continue"/>
            <w:shd w:val="clear" w:color="auto" w:fill="F5F5F5"/>
          </w:tcPr>
          <w:p>
            <w:pPr>
              <w:spacing w:after="0"/>
              <w:rPr>
                <w:sz w:val="14"/>
                <w:szCs w:val="14"/>
                <w:color w:val="auto"/>
              </w:rPr>
            </w:pPr>
          </w:p>
        </w:tc>
        <w:tc>
          <w:tcPr>
            <w:tcW w:w="1740" w:type="dxa"/>
            <w:vAlign w:val="bottom"/>
            <w:shd w:val="clear" w:color="auto" w:fill="F5F5F5"/>
          </w:tcPr>
          <w:p>
            <w:pPr>
              <w:spacing w:after="0"/>
              <w:rPr>
                <w:sz w:val="14"/>
                <w:szCs w:val="14"/>
                <w:color w:val="auto"/>
              </w:rPr>
            </w:pPr>
          </w:p>
        </w:tc>
        <w:tc>
          <w:tcPr>
            <w:tcW w:w="154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200"/>
        </w:trPr>
        <w:tc>
          <w:tcPr>
            <w:tcW w:w="1300" w:type="dxa"/>
            <w:vAlign w:val="bottom"/>
            <w:shd w:val="clear" w:color="auto" w:fill="F5F5F5"/>
          </w:tcPr>
          <w:p>
            <w:pPr>
              <w:ind w:left="40"/>
              <w:spacing w:after="0"/>
              <w:rPr>
                <w:sz w:val="20"/>
                <w:szCs w:val="20"/>
                <w:color w:val="auto"/>
              </w:rPr>
            </w:pPr>
            <w:r>
              <w:rPr>
                <w:rFonts w:ascii="Arial" w:cs="Arial" w:eastAsia="Arial" w:hAnsi="Arial"/>
                <w:sz w:val="13"/>
                <w:szCs w:val="13"/>
                <w:b w:val="1"/>
                <w:bCs w:val="1"/>
                <w:color w:val="auto"/>
              </w:rPr>
              <w:t>Performance</w:t>
            </w:r>
          </w:p>
        </w:tc>
        <w:tc>
          <w:tcPr>
            <w:tcW w:w="1740" w:type="dxa"/>
            <w:vAlign w:val="bottom"/>
            <w:shd w:val="clear" w:color="auto" w:fill="F5F5F5"/>
          </w:tcPr>
          <w:p>
            <w:pPr>
              <w:spacing w:after="0"/>
              <w:rPr>
                <w:sz w:val="17"/>
                <w:szCs w:val="17"/>
                <w:color w:val="auto"/>
              </w:rPr>
            </w:pPr>
          </w:p>
        </w:tc>
        <w:tc>
          <w:tcPr>
            <w:tcW w:w="154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auto"/>
              </w:rPr>
              <w:t>Indicators</w:t>
            </w:r>
          </w:p>
        </w:tc>
        <w:tc>
          <w:tcPr>
            <w:tcW w:w="0" w:type="dxa"/>
            <w:vAlign w:val="bottom"/>
          </w:tcPr>
          <w:p>
            <w:pPr>
              <w:spacing w:after="0"/>
              <w:rPr>
                <w:sz w:val="1"/>
                <w:szCs w:val="1"/>
                <w:color w:val="auto"/>
              </w:rPr>
            </w:pPr>
          </w:p>
        </w:tc>
      </w:tr>
      <w:tr>
        <w:trPr>
          <w:trHeight w:val="693"/>
        </w:trPr>
        <w:tc>
          <w:tcPr>
            <w:tcW w:w="1300" w:type="dxa"/>
            <w:vAlign w:val="bottom"/>
            <w:shd w:val="clear" w:color="auto" w:fill="F5F5F5"/>
          </w:tcPr>
          <w:p>
            <w:pPr>
              <w:spacing w:after="0"/>
              <w:rPr>
                <w:sz w:val="24"/>
                <w:szCs w:val="24"/>
                <w:color w:val="auto"/>
              </w:rPr>
            </w:pPr>
          </w:p>
        </w:tc>
        <w:tc>
          <w:tcPr>
            <w:tcW w:w="1740" w:type="dxa"/>
            <w:vAlign w:val="bottom"/>
            <w:shd w:val="clear" w:color="auto" w:fill="F5F5F5"/>
          </w:tcPr>
          <w:p>
            <w:pPr>
              <w:spacing w:after="0"/>
              <w:rPr>
                <w:sz w:val="24"/>
                <w:szCs w:val="24"/>
                <w:color w:val="auto"/>
              </w:rPr>
            </w:pPr>
          </w:p>
        </w:tc>
        <w:tc>
          <w:tcPr>
            <w:tcW w:w="154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Aligns NEOs’ interests with stakeholders’ interests by:</w:t>
      </w:r>
    </w:p>
    <w:p>
      <w:pPr>
        <w:spacing w:after="0" w:line="127" w:lineRule="exact"/>
        <w:rPr>
          <w:sz w:val="20"/>
          <w:szCs w:val="20"/>
          <w:color w:val="auto"/>
        </w:rPr>
      </w:pPr>
    </w:p>
    <w:p>
      <w:pPr>
        <w:jc w:val="both"/>
        <w:ind w:left="1740" w:right="640" w:hanging="202"/>
        <w:spacing w:after="0" w:line="301" w:lineRule="auto"/>
        <w:tabs>
          <w:tab w:leader="none" w:pos="1697" w:val="left"/>
        </w:tabs>
        <w:numPr>
          <w:ilvl w:val="0"/>
          <w:numId w:val="67"/>
        </w:numPr>
        <w:rPr>
          <w:rFonts w:ascii="Arial" w:cs="Arial" w:eastAsia="Arial" w:hAnsi="Arial"/>
          <w:sz w:val="16"/>
          <w:szCs w:val="16"/>
          <w:color w:val="00A798"/>
        </w:rPr>
      </w:pPr>
      <w:r>
        <w:rPr>
          <w:rFonts w:ascii="Arial" w:cs="Arial" w:eastAsia="Arial" w:hAnsi="Arial"/>
          <w:sz w:val="16"/>
          <w:szCs w:val="16"/>
          <w:color w:val="auto"/>
        </w:rPr>
        <w:t>Rewarding performance for achievement of strategic goals, which are designed to position the Company competitively</w:t>
      </w:r>
    </w:p>
    <w:p>
      <w:pPr>
        <w:spacing w:after="0" w:line="9" w:lineRule="exact"/>
        <w:rPr>
          <w:rFonts w:ascii="Arial" w:cs="Arial" w:eastAsia="Arial" w:hAnsi="Arial"/>
          <w:sz w:val="16"/>
          <w:szCs w:val="16"/>
          <w:color w:val="00A798"/>
        </w:rPr>
      </w:pPr>
    </w:p>
    <w:p>
      <w:pPr>
        <w:ind w:left="1680" w:hanging="142"/>
        <w:spacing w:after="0"/>
        <w:tabs>
          <w:tab w:leader="none" w:pos="1680" w:val="left"/>
        </w:tabs>
        <w:numPr>
          <w:ilvl w:val="0"/>
          <w:numId w:val="67"/>
        </w:numPr>
        <w:rPr>
          <w:rFonts w:ascii="Arial" w:cs="Arial" w:eastAsia="Arial" w:hAnsi="Arial"/>
          <w:sz w:val="16"/>
          <w:szCs w:val="16"/>
          <w:color w:val="00A798"/>
        </w:rPr>
      </w:pPr>
      <w:r>
        <w:rPr>
          <w:rFonts w:ascii="Arial" w:cs="Arial" w:eastAsia="Arial" w:hAnsi="Arial"/>
          <w:sz w:val="16"/>
          <w:szCs w:val="16"/>
          <w:color w:val="auto"/>
        </w:rPr>
        <w:t>Promoting strong financial results and</w:t>
      </w:r>
    </w:p>
    <w:p>
      <w:pPr>
        <w:spacing w:after="0" w:line="32"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shareholder value</w:t>
      </w:r>
    </w:p>
    <w:p>
      <w:pPr>
        <w:spacing w:after="0" w:line="100" w:lineRule="exact"/>
        <w:rPr>
          <w:sz w:val="20"/>
          <w:szCs w:val="20"/>
          <w:color w:val="auto"/>
        </w:rPr>
      </w:pPr>
    </w:p>
    <w:p>
      <w:pPr>
        <w:ind w:left="1740" w:right="860" w:hanging="202"/>
        <w:spacing w:after="0" w:line="289" w:lineRule="auto"/>
        <w:tabs>
          <w:tab w:leader="none" w:pos="1697" w:val="left"/>
        </w:tabs>
        <w:numPr>
          <w:ilvl w:val="0"/>
          <w:numId w:val="68"/>
        </w:numPr>
        <w:rPr>
          <w:rFonts w:ascii="Arial" w:cs="Arial" w:eastAsia="Arial" w:hAnsi="Arial"/>
          <w:sz w:val="16"/>
          <w:szCs w:val="16"/>
          <w:color w:val="00A798"/>
        </w:rPr>
      </w:pPr>
      <w:r>
        <w:rPr>
          <w:rFonts w:ascii="Arial" w:cs="Arial" w:eastAsia="Arial" w:hAnsi="Arial"/>
          <w:sz w:val="16"/>
          <w:szCs w:val="16"/>
          <w:color w:val="auto"/>
        </w:rPr>
        <w:t>Incentivizing a corporate culture that promotes leadership effectiveness, talent management, employee engagement and supporting Company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Long-Term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Incentive Awards</w:t>
      </w:r>
    </w:p>
    <w:p>
      <w:pPr>
        <w:spacing w:after="0" w:line="104" w:lineRule="exact"/>
        <w:rPr>
          <w:sz w:val="20"/>
          <w:szCs w:val="20"/>
          <w:color w:val="auto"/>
        </w:rPr>
      </w:pPr>
    </w:p>
    <w:p>
      <w:pPr>
        <w:ind w:left="200" w:right="1860" w:hanging="192"/>
        <w:spacing w:after="0" w:line="289" w:lineRule="auto"/>
        <w:tabs>
          <w:tab w:leader="none" w:pos="157" w:val="left"/>
        </w:tabs>
        <w:numPr>
          <w:ilvl w:val="0"/>
          <w:numId w:val="69"/>
        </w:numPr>
        <w:rPr>
          <w:rFonts w:ascii="Arial" w:cs="Arial" w:eastAsia="Arial" w:hAnsi="Arial"/>
          <w:sz w:val="16"/>
          <w:szCs w:val="16"/>
          <w:color w:val="00A798"/>
        </w:rPr>
      </w:pPr>
      <w:r>
        <w:rPr>
          <w:rFonts w:ascii="Arial" w:cs="Arial" w:eastAsia="Arial" w:hAnsi="Arial"/>
          <w:sz w:val="16"/>
          <w:szCs w:val="16"/>
          <w:color w:val="auto"/>
        </w:rPr>
        <w:t>Performance Stock Units (earned based on absolute TSR CAGR over a 3-year performance period) with a 1-year post-vesting mandatory holding period</w:t>
      </w:r>
    </w:p>
    <w:p>
      <w:pPr>
        <w:spacing w:after="0" w:line="18" w:lineRule="exact"/>
        <w:rPr>
          <w:rFonts w:ascii="Arial" w:cs="Arial" w:eastAsia="Arial" w:hAnsi="Arial"/>
          <w:sz w:val="16"/>
          <w:szCs w:val="16"/>
          <w:color w:val="00A798"/>
        </w:rPr>
      </w:pPr>
    </w:p>
    <w:p>
      <w:pPr>
        <w:jc w:val="both"/>
        <w:ind w:left="200" w:right="1660" w:hanging="192"/>
        <w:spacing w:after="0" w:line="301" w:lineRule="auto"/>
        <w:tabs>
          <w:tab w:leader="none" w:pos="157" w:val="left"/>
        </w:tabs>
        <w:numPr>
          <w:ilvl w:val="0"/>
          <w:numId w:val="69"/>
        </w:numPr>
        <w:rPr>
          <w:rFonts w:ascii="Arial" w:cs="Arial" w:eastAsia="Arial" w:hAnsi="Arial"/>
          <w:sz w:val="16"/>
          <w:szCs w:val="16"/>
          <w:color w:val="00A798"/>
        </w:rPr>
      </w:pPr>
      <w:r>
        <w:rPr>
          <w:rFonts w:ascii="Arial" w:cs="Arial" w:eastAsia="Arial" w:hAnsi="Arial"/>
          <w:sz w:val="16"/>
          <w:szCs w:val="16"/>
          <w:color w:val="auto"/>
        </w:rPr>
        <w:t>Performance Stock Options (earned based on cumulative revenue and cumulative adjusted EPS over a 3-year performance period)</w:t>
      </w:r>
    </w:p>
    <w:p>
      <w:pPr>
        <w:spacing w:after="0" w:line="23" w:lineRule="exact"/>
        <w:rPr>
          <w:rFonts w:ascii="Arial" w:cs="Arial" w:eastAsia="Arial" w:hAnsi="Arial"/>
          <w:sz w:val="16"/>
          <w:szCs w:val="16"/>
          <w:color w:val="00A798"/>
        </w:rPr>
      </w:pPr>
    </w:p>
    <w:p>
      <w:pPr>
        <w:ind w:left="160" w:hanging="152"/>
        <w:spacing w:after="0"/>
        <w:tabs>
          <w:tab w:leader="none" w:pos="160" w:val="left"/>
        </w:tabs>
        <w:numPr>
          <w:ilvl w:val="0"/>
          <w:numId w:val="69"/>
        </w:numPr>
        <w:rPr>
          <w:rFonts w:ascii="Arial" w:cs="Arial" w:eastAsia="Arial" w:hAnsi="Arial"/>
          <w:sz w:val="16"/>
          <w:szCs w:val="16"/>
          <w:color w:val="00A798"/>
        </w:rPr>
      </w:pPr>
      <w:r>
        <w:rPr>
          <w:rFonts w:ascii="Arial" w:cs="Arial" w:eastAsia="Arial" w:hAnsi="Arial"/>
          <w:sz w:val="16"/>
          <w:szCs w:val="16"/>
          <w:color w:val="auto"/>
        </w:rPr>
        <w:t>Restricted Stock Units (3-year cliff-vest)</w:t>
      </w:r>
    </w:p>
    <w:p>
      <w:pPr>
        <w:spacing w:after="0" w:line="167" w:lineRule="exact"/>
        <w:rPr>
          <w:sz w:val="20"/>
          <w:szCs w:val="20"/>
          <w:color w:val="auto"/>
        </w:rPr>
      </w:pPr>
    </w:p>
    <w:p>
      <w:pPr>
        <w:ind w:right="1620"/>
        <w:spacing w:after="0" w:line="304" w:lineRule="auto"/>
        <w:rPr>
          <w:sz w:val="20"/>
          <w:szCs w:val="20"/>
          <w:color w:val="auto"/>
        </w:rPr>
      </w:pPr>
      <w:r>
        <w:rPr>
          <w:rFonts w:ascii="Arial" w:cs="Arial" w:eastAsia="Arial" w:hAnsi="Arial"/>
          <w:sz w:val="16"/>
          <w:szCs w:val="16"/>
          <w:color w:val="auto"/>
        </w:rPr>
        <w:t>Further aligns NEOs’ interests with stakeholders’ interests by:</w:t>
      </w:r>
    </w:p>
    <w:p>
      <w:pPr>
        <w:spacing w:after="0" w:line="60" w:lineRule="exact"/>
        <w:rPr>
          <w:sz w:val="20"/>
          <w:szCs w:val="20"/>
          <w:color w:val="auto"/>
        </w:rPr>
      </w:pPr>
    </w:p>
    <w:p>
      <w:pPr>
        <w:ind w:left="200" w:right="1800" w:hanging="192"/>
        <w:spacing w:after="0" w:line="289" w:lineRule="auto"/>
        <w:tabs>
          <w:tab w:leader="none" w:pos="157" w:val="left"/>
        </w:tabs>
        <w:numPr>
          <w:ilvl w:val="0"/>
          <w:numId w:val="70"/>
        </w:numPr>
        <w:rPr>
          <w:rFonts w:ascii="Arial" w:cs="Arial" w:eastAsia="Arial" w:hAnsi="Arial"/>
          <w:sz w:val="16"/>
          <w:szCs w:val="16"/>
          <w:color w:val="00A798"/>
        </w:rPr>
      </w:pPr>
      <w:r>
        <w:rPr>
          <w:rFonts w:ascii="Arial" w:cs="Arial" w:eastAsia="Arial" w:hAnsi="Arial"/>
          <w:sz w:val="16"/>
          <w:szCs w:val="16"/>
          <w:color w:val="auto"/>
        </w:rPr>
        <w:t>Linking a substantial portion of long-term compensation to the achievement of operational results (revenue and adjusted EPS) and shareholder value creation (TSR)</w:t>
      </w:r>
    </w:p>
    <w:p>
      <w:pPr>
        <w:spacing w:after="0" w:line="31" w:lineRule="exact"/>
        <w:rPr>
          <w:rFonts w:ascii="Arial" w:cs="Arial" w:eastAsia="Arial" w:hAnsi="Arial"/>
          <w:sz w:val="16"/>
          <w:szCs w:val="16"/>
          <w:color w:val="00A798"/>
        </w:rPr>
      </w:pPr>
    </w:p>
    <w:p>
      <w:pPr>
        <w:ind w:left="200" w:right="1900" w:hanging="192"/>
        <w:spacing w:after="0" w:line="283" w:lineRule="auto"/>
        <w:tabs>
          <w:tab w:leader="none" w:pos="157" w:val="left"/>
        </w:tabs>
        <w:numPr>
          <w:ilvl w:val="0"/>
          <w:numId w:val="70"/>
        </w:numPr>
        <w:rPr>
          <w:rFonts w:ascii="Arial" w:cs="Arial" w:eastAsia="Arial" w:hAnsi="Arial"/>
          <w:sz w:val="16"/>
          <w:szCs w:val="16"/>
          <w:color w:val="00A798"/>
        </w:rPr>
      </w:pPr>
      <w:r>
        <w:rPr>
          <w:rFonts w:ascii="Arial" w:cs="Arial" w:eastAsia="Arial" w:hAnsi="Arial"/>
          <w:sz w:val="16"/>
          <w:szCs w:val="16"/>
          <w:color w:val="auto"/>
        </w:rPr>
        <w:t>Promoting an “owner-operator” mindset among senior leaders with rigorous share ownership guidelines and additional share retention requirements</w:t>
      </w:r>
    </w:p>
    <w:p>
      <w:pPr>
        <w:spacing w:after="0" w:line="200" w:lineRule="exact"/>
        <w:rPr>
          <w:sz w:val="20"/>
          <w:szCs w:val="20"/>
          <w:color w:val="auto"/>
        </w:rPr>
      </w:pPr>
    </w:p>
    <w:p>
      <w:pPr>
        <w:sectPr>
          <w:pgSz w:w="11900" w:h="16838" w:orient="portrait"/>
          <w:cols w:equalWidth="0" w:num="2">
            <w:col w:w="6100" w:space="20"/>
            <w:col w:w="51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Business Highlights</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Strong Financial Performance</w:t>
      </w:r>
    </w:p>
    <w:p>
      <w:pPr>
        <w:spacing w:after="0" w:line="11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In 2025, we delivered strong results, underscoring the strength of our execution and the impact of our long-term investments. Our unwavering client focus has reinforced our position as a trusted partner to the investment community, and our employees’ exceptional performance has been instrumental in achieving these outcomes.</w:t>
      </w:r>
    </w:p>
    <w:p>
      <w:pPr>
        <w:sectPr>
          <w:pgSz w:w="11900" w:h="16838" w:orient="portrait"/>
          <w:cols w:equalWidth="0" w:num="1">
            <w:col w:w="11160"/>
          </w:cols>
          <w:pgMar w:left="320" w:top="130" w:right="4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A3FD6"/>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708910" cy="16459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708910" cy="164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Diluted EPS / Adjusted EPS</w:t>
      </w:r>
      <w:r>
        <w:rPr>
          <w:rFonts w:ascii="Arial" w:cs="Arial" w:eastAsia="Arial" w:hAnsi="Arial"/>
          <w:sz w:val="10"/>
          <w:szCs w:val="10"/>
          <w:b w:val="1"/>
          <w:bCs w:val="1"/>
          <w:color w:val="1A3FD6"/>
        </w:rPr>
        <w:t>(1)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139065</wp:posOffset>
            </wp:positionV>
            <wp:extent cx="2708910" cy="16459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708910" cy="1645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460"/>
          </w:cols>
          <w:pgMar w:left="320" w:top="1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860" w:type="dxa"/>
            <w:vAlign w:val="bottom"/>
          </w:tcPr>
          <w:p>
            <w:pPr>
              <w:spacing w:after="0"/>
              <w:rPr>
                <w:sz w:val="19"/>
                <w:szCs w:val="19"/>
                <w:color w:val="auto"/>
              </w:rPr>
            </w:pPr>
          </w:p>
        </w:tc>
        <w:tc>
          <w:tcPr>
            <w:tcW w:w="4460" w:type="dxa"/>
            <w:vAlign w:val="bottom"/>
          </w:tcPr>
          <w:p>
            <w:pPr>
              <w:ind w:left="3180"/>
              <w:spacing w:after="0"/>
              <w:rPr>
                <w:sz w:val="20"/>
                <w:szCs w:val="20"/>
                <w:color w:val="auto"/>
              </w:rPr>
            </w:pPr>
            <w:r>
              <w:rPr>
                <w:rFonts w:ascii="Wingdings" w:cs="Wingdings" w:eastAsia="Wingdings" w:hAnsi="Wingdings"/>
                <w:sz w:val="20"/>
                <w:szCs w:val="20"/>
                <w:b w:val="1"/>
                <w:bCs w:val="1"/>
                <w:color w:val="529200"/>
              </w:rPr>
              <w:t xml:space="preserve">l </w:t>
            </w:r>
            <w:r>
              <w:rPr>
                <w:rFonts w:ascii="Arial" w:cs="Arial" w:eastAsia="Arial" w:hAnsi="Arial"/>
                <w:sz w:val="14"/>
                <w:szCs w:val="14"/>
                <w:color w:val="000000"/>
              </w:rPr>
              <w:t>Diluted EPS</w:t>
            </w:r>
          </w:p>
        </w:tc>
        <w:tc>
          <w:tcPr>
            <w:tcW w:w="1380" w:type="dxa"/>
            <w:vAlign w:val="bottom"/>
          </w:tcPr>
          <w:p>
            <w:pPr>
              <w:ind w:left="260"/>
              <w:spacing w:after="0"/>
              <w:rPr>
                <w:sz w:val="20"/>
                <w:szCs w:val="20"/>
                <w:color w:val="auto"/>
              </w:rPr>
            </w:pPr>
            <w:r>
              <w:rPr>
                <w:rFonts w:ascii="Wingdings" w:cs="Wingdings" w:eastAsia="Wingdings" w:hAnsi="Wingdings"/>
                <w:sz w:val="20"/>
                <w:szCs w:val="20"/>
                <w:b w:val="1"/>
                <w:bCs w:val="1"/>
                <w:color w:val="1A7CD6"/>
                <w:w w:val="90"/>
              </w:rPr>
              <w:t xml:space="preserve">l </w:t>
            </w:r>
            <w:r>
              <w:rPr>
                <w:rFonts w:ascii="Arial" w:cs="Arial" w:eastAsia="Arial" w:hAnsi="Arial"/>
                <w:sz w:val="14"/>
                <w:szCs w:val="14"/>
                <w:color w:val="000000"/>
                <w:w w:val="90"/>
              </w:rPr>
              <w:t>Adjusted EPS</w:t>
            </w:r>
          </w:p>
        </w:tc>
      </w:tr>
      <w:tr>
        <w:trPr>
          <w:trHeight w:val="405"/>
        </w:trPr>
        <w:tc>
          <w:tcPr>
            <w:tcW w:w="3860" w:type="dxa"/>
            <w:vAlign w:val="bottom"/>
          </w:tcPr>
          <w:p>
            <w:pPr>
              <w:spacing w:after="0"/>
              <w:rPr>
                <w:sz w:val="20"/>
                <w:szCs w:val="20"/>
                <w:color w:val="auto"/>
              </w:rPr>
            </w:pPr>
            <w:r>
              <w:rPr>
                <w:rFonts w:ascii="Arial" w:cs="Arial" w:eastAsia="Arial" w:hAnsi="Arial"/>
                <w:sz w:val="16"/>
                <w:szCs w:val="16"/>
                <w:b w:val="1"/>
                <w:bCs w:val="1"/>
                <w:color w:val="1A3FD6"/>
              </w:rPr>
              <w:t>Recurring Net New Sales</w:t>
            </w:r>
            <w:r>
              <w:rPr>
                <w:rFonts w:ascii="Arial" w:cs="Arial" w:eastAsia="Arial" w:hAnsi="Arial"/>
                <w:sz w:val="21"/>
                <w:szCs w:val="21"/>
                <w:b w:val="1"/>
                <w:bCs w:val="1"/>
                <w:color w:val="1A3FD6"/>
                <w:vertAlign w:val="superscript"/>
              </w:rPr>
              <w:t>(2)</w:t>
            </w:r>
          </w:p>
        </w:tc>
        <w:tc>
          <w:tcPr>
            <w:tcW w:w="4460" w:type="dxa"/>
            <w:vAlign w:val="bottom"/>
          </w:tcPr>
          <w:p>
            <w:pPr>
              <w:ind w:left="1820"/>
              <w:spacing w:after="0"/>
              <w:rPr>
                <w:sz w:val="20"/>
                <w:szCs w:val="20"/>
                <w:color w:val="auto"/>
              </w:rPr>
            </w:pPr>
            <w:r>
              <w:rPr>
                <w:rFonts w:ascii="Arial" w:cs="Arial" w:eastAsia="Arial" w:hAnsi="Arial"/>
                <w:sz w:val="16"/>
                <w:szCs w:val="16"/>
                <w:b w:val="1"/>
                <w:bCs w:val="1"/>
                <w:color w:val="1A3FD6"/>
              </w:rPr>
              <w:t>Non-Recurring Sales</w:t>
            </w:r>
            <w:r>
              <w:rPr>
                <w:rFonts w:ascii="Arial" w:cs="Arial" w:eastAsia="Arial" w:hAnsi="Arial"/>
                <w:sz w:val="21"/>
                <w:szCs w:val="21"/>
                <w:b w:val="1"/>
                <w:bCs w:val="1"/>
                <w:color w:val="1A3FD6"/>
                <w:vertAlign w:val="superscript"/>
              </w:rPr>
              <w:t>(2)</w:t>
            </w:r>
          </w:p>
        </w:tc>
        <w:tc>
          <w:tcPr>
            <w:tcW w:w="1380" w:type="dxa"/>
            <w:vAlign w:val="bottom"/>
          </w:tcPr>
          <w:p>
            <w:pPr>
              <w:spacing w:after="0"/>
              <w:rPr>
                <w:sz w:val="24"/>
                <w:szCs w:val="24"/>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(Unaudited)</w:t>
            </w:r>
          </w:p>
        </w:tc>
        <w:tc>
          <w:tcPr>
            <w:tcW w:w="4460" w:type="dxa"/>
            <w:vAlign w:val="bottom"/>
          </w:tcPr>
          <w:p>
            <w:pPr>
              <w:ind w:left="1820"/>
              <w:spacing w:after="0"/>
              <w:rPr>
                <w:sz w:val="20"/>
                <w:szCs w:val="20"/>
                <w:color w:val="auto"/>
              </w:rPr>
            </w:pPr>
            <w:r>
              <w:rPr>
                <w:rFonts w:ascii="Arial" w:cs="Arial" w:eastAsia="Arial" w:hAnsi="Arial"/>
                <w:sz w:val="16"/>
                <w:szCs w:val="16"/>
                <w:color w:val="auto"/>
              </w:rPr>
              <w:t>(Unaudited)</w:t>
            </w:r>
          </w:p>
        </w:tc>
        <w:tc>
          <w:tcPr>
            <w:tcW w:w="1380" w:type="dxa"/>
            <w:vAlign w:val="bottom"/>
          </w:tcPr>
          <w:p>
            <w:pPr>
              <w:spacing w:after="0"/>
              <w:rPr>
                <w:sz w:val="16"/>
                <w:szCs w:val="16"/>
                <w:color w:val="auto"/>
              </w:rPr>
            </w:pPr>
          </w:p>
        </w:tc>
      </w:tr>
      <w:tr>
        <w:trPr>
          <w:trHeight w:val="215"/>
        </w:trPr>
        <w:tc>
          <w:tcPr>
            <w:tcW w:w="3860" w:type="dxa"/>
            <w:vAlign w:val="bottom"/>
          </w:tcPr>
          <w:p>
            <w:pPr>
              <w:spacing w:after="0"/>
              <w:rPr>
                <w:sz w:val="20"/>
                <w:szCs w:val="20"/>
                <w:color w:val="auto"/>
              </w:rPr>
            </w:pPr>
            <w:r>
              <w:rPr>
                <w:rFonts w:ascii="Arial" w:cs="Arial" w:eastAsia="Arial" w:hAnsi="Arial"/>
                <w:sz w:val="16"/>
                <w:szCs w:val="16"/>
                <w:color w:val="auto"/>
              </w:rPr>
              <w:t>(in millions)</w:t>
            </w:r>
          </w:p>
        </w:tc>
        <w:tc>
          <w:tcPr>
            <w:tcW w:w="4460" w:type="dxa"/>
            <w:vAlign w:val="bottom"/>
          </w:tcPr>
          <w:p>
            <w:pPr>
              <w:ind w:left="1820"/>
              <w:spacing w:after="0"/>
              <w:rPr>
                <w:sz w:val="20"/>
                <w:szCs w:val="20"/>
                <w:color w:val="auto"/>
              </w:rPr>
            </w:pPr>
            <w:r>
              <w:rPr>
                <w:rFonts w:ascii="Arial" w:cs="Arial" w:eastAsia="Arial" w:hAnsi="Arial"/>
                <w:sz w:val="16"/>
                <w:szCs w:val="16"/>
                <w:color w:val="auto"/>
              </w:rPr>
              <w:t>(in millions)</w:t>
            </w:r>
          </w:p>
        </w:tc>
        <w:tc>
          <w:tcPr>
            <w:tcW w:w="1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309360" cy="16459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0936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right="60" w:hanging="252"/>
        <w:spacing w:after="0" w:line="325" w:lineRule="auto"/>
        <w:tabs>
          <w:tab w:leader="none" w:pos="264" w:val="left"/>
        </w:tabs>
        <w:numPr>
          <w:ilvl w:val="0"/>
          <w:numId w:val="71"/>
        </w:numPr>
        <w:rPr>
          <w:rFonts w:ascii="Arial" w:cs="Arial" w:eastAsia="Arial" w:hAnsi="Arial"/>
          <w:sz w:val="9"/>
          <w:szCs w:val="9"/>
          <w:color w:val="auto"/>
        </w:rPr>
      </w:pPr>
      <w:r>
        <w:rPr>
          <w:rFonts w:ascii="Arial" w:cs="Arial" w:eastAsia="Arial" w:hAnsi="Arial"/>
          <w:sz w:val="14"/>
          <w:szCs w:val="14"/>
          <w:color w:val="auto"/>
        </w:rPr>
        <w:t>“Adjusted EPS” is a non-GAAP financial measure and “Diluted EPS” is the corresponding GAAP measure. See Annex B for definitions and reconciliations of all non-GAAP financial measures referenced herein.</w:t>
      </w:r>
    </w:p>
    <w:p>
      <w:pPr>
        <w:spacing w:after="0" w:line="90" w:lineRule="exact"/>
        <w:rPr>
          <w:rFonts w:ascii="Arial" w:cs="Arial" w:eastAsia="Arial" w:hAnsi="Arial"/>
          <w:sz w:val="9"/>
          <w:szCs w:val="9"/>
          <w:color w:val="auto"/>
        </w:rPr>
      </w:pPr>
    </w:p>
    <w:p>
      <w:pPr>
        <w:ind w:left="260" w:hanging="252"/>
        <w:spacing w:after="0" w:line="264" w:lineRule="auto"/>
        <w:tabs>
          <w:tab w:leader="none" w:pos="25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Recurring Net New Sales and Non-Recurring Sales are key operating metrics and are important because any increase or decrease in each ultimately impacts our future operating revenues over time. Recurring Net New Sales represent new recurring subscription sales minus the impact of subscription cancellations, capturing the net impact to Run Rate (as defined elsewhere herein) for the period. Non-recurring sales represent the aggregate value of client agreements entered into during the period that generate non-recurring fees and are not included in Run Rate, even if such agreements span multiple periods or years. See page 124 of this Proxy Statement for additional information on Run Rate.</w:t>
      </w:r>
    </w:p>
    <w:p>
      <w:pPr>
        <w:spacing w:after="0" w:line="126"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For additional information about key strategic developments and milestones for our NEOs during 2025, please see the details under “Individual Goals Component” on page 75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313055</wp:posOffset>
            </wp:positionV>
            <wp:extent cx="556895"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2025 Compensation Decisions</w:t>
      </w:r>
    </w:p>
    <w:p>
      <w:pPr>
        <w:spacing w:after="0" w:line="11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Compensation Committee, with advice from its independent compensation consultant Semler Brossy, reviewed and approved the Company’s executive compensation program for 2025. In reaching its determinations, the Compensation Committee considered the Company’s strategic objectives and performance, shareholder feedback, peer practice, and relevant legal and regulatory developments.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2025 Annual Incentive Plan - Metric Weightings and KPI Refinement</w:t>
      </w:r>
    </w:p>
    <w:p>
      <w:pPr>
        <w:spacing w:after="0" w:line="10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2025, the Compensation Committee refined the AIP for Managing Directors, including the NEOs, with the purpose of strengthening accountability, further aligning incentives with MSCI’s long-term business objectives and ensuring a more structured, measurable approach to individual goal assessment. Under the revised structure for 2025, achievement of financial criteria accounted for 80% of the target annual cash bonus, up from 70%, while the individual performance component accounted for the remaining 20%, down from 30% (which had been split between individual KPIs (20%) and sustainability goals (10%)). The Compensation Committee also refocused the individual performance component on culture and leadership effectiveness.</w:t>
      </w:r>
    </w:p>
    <w:p>
      <w:pPr>
        <w:spacing w:after="0" w:line="10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Key changes to the financial metrics included increasing the weightings of Total Net Sales and Revenue to reinforce the Company’s focus on driving sustainable revenue growth; modestly reducing the Adjusted EPS weighting while maintaining it as a significant component; and eliminating Free Cash Flow as a standalone metric to enhance simplicity and focus participants on the measures most closely tied to financial performance and strategic goals. The Compensation Committee also approved measuring Total Net Sales achievement on a quarterly basis to reinforce year-round focus on sales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2025 CEO Special Incentive Award</w:t>
      </w:r>
    </w:p>
    <w:p>
      <w:pPr>
        <w:spacing w:after="0" w:line="10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and the independent members of our Board evaluated the strategic importance of retaining and further incentivizing our Chairman and CEO, Henry A. Fernandez, to drive transformative shareholder value creation. With that goal in mind, on January 31, 2025, the Compensation Committee, with input from the other independent directors of the Board, granted a special grant of premium-priced stock options (the “PPOs”) to Mr. Fernandez, having a total grant date value of $15.0 million.</w:t>
      </w:r>
    </w:p>
    <w:p>
      <w:pPr>
        <w:spacing w:after="0" w:line="99"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PPOs are allocated across three equal tranches of $5.0 million each, with rigorous exercise prices of $1,000, $1,100 and $1,200 (representing premiums of approximately 69.3%, 86.2% and 103.1%, respectively, over the Company’s $590.73 closing share price on January 30, 2025, the trading day prior to the grant date).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Exercise Price vs. Closing Share Price on Trading Day Prior to Special Award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149225</wp:posOffset>
            </wp:positionV>
            <wp:extent cx="5554980" cy="17748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5498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options cliff-vest on the fifth anniversary of the grant date, subject generally to continued service, and have a ten-year term. The award is designed to reinforce long-term alignment with shareholders because it delivers value only if our share price appreciates meaningfully above the exercise-price hurdles (the award will have a $0 in-the-money value (or spread value) at a $1,000 share price). For the award to deliver any value on the vesting date, the Company’s share price would need to appreciate at a compound annual rate of at least 11% per year over the five-year vesting period. The award is also subject to the Company’s existing stock retention requirements, under which Mr. Fernandez must hold 25% of net shares realized following any stock option exercise through the end of his service on the Management Committee.</w:t>
      </w:r>
    </w:p>
    <w:p>
      <w:pPr>
        <w:spacing w:after="0" w:line="10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See page 80 of this Proxy Statement for additional information on Mr. Fernandez’s special PPO award, page 82 for factors considered by the Board when approving the special PPO award and page 76 for additional information on Mr. Fernandez’s contributions.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2025 LTIP Equity Awards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structure and terms of our 2025 annual LTIP equity awards (PSUs, PSOs, and RSUs) were unchanged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2746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327469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p>
      <w:pPr>
        <w:spacing w:after="0" w:line="315"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PSOs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927735</wp:posOffset>
            </wp:positionV>
            <wp:extent cx="556895"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Granted to all NEOs</w:t>
      </w:r>
    </w:p>
    <w:p>
      <w:pPr>
        <w:spacing w:after="0" w:line="86"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Cliff-vest at the end of a cumulative three-year performance period</w:t>
      </w:r>
    </w:p>
    <w:p>
      <w:pPr>
        <w:spacing w:after="0" w:line="72" w:lineRule="exact"/>
        <w:rPr>
          <w:rFonts w:ascii="Arial" w:cs="Arial" w:eastAsia="Arial" w:hAnsi="Arial"/>
          <w:sz w:val="16"/>
          <w:szCs w:val="16"/>
          <w:color w:val="00A798"/>
        </w:rPr>
      </w:pPr>
    </w:p>
    <w:p>
      <w:pPr>
        <w:ind w:left="200" w:right="360" w:hanging="200"/>
        <w:spacing w:after="0" w:line="304" w:lineRule="auto"/>
        <w:tabs>
          <w:tab w:leader="none" w:pos="157"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May earn between 0% and 200% of the target number of shares based on achievement of absolute TSR CAGR performance metric; no payout if achievement is below threshold performance level</w:t>
      </w:r>
    </w:p>
    <w:p>
      <w:pPr>
        <w:spacing w:after="0" w:line="6"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Realize meaningful value only to the extent that shareholders also realize value</w:t>
      </w:r>
    </w:p>
    <w:p>
      <w:pPr>
        <w:spacing w:after="0" w:line="72" w:lineRule="exact"/>
        <w:rPr>
          <w:rFonts w:ascii="Arial" w:cs="Arial" w:eastAsia="Arial" w:hAnsi="Arial"/>
          <w:sz w:val="16"/>
          <w:szCs w:val="16"/>
          <w:color w:val="00A798"/>
        </w:rPr>
      </w:pPr>
    </w:p>
    <w:p>
      <w:pPr>
        <w:ind w:left="200" w:right="500" w:hanging="200"/>
        <w:spacing w:after="0" w:line="299" w:lineRule="auto"/>
        <w:tabs>
          <w:tab w:leader="none" w:pos="157"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Include one-year post-vest mandatory holding period, where such shares, or rights with respect to such shares, may not be transferred until the expiration of such holding period</w:t>
      </w: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Dividend equivalents only paid if and to the extent the underlying award is earned and vests</w:t>
      </w:r>
    </w:p>
    <w:p>
      <w:pPr>
        <w:spacing w:after="0" w:line="329"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Granted to all NEOs to further facilitate an “owner-operator” mindset and focus on strategic goals</w:t>
      </w:r>
    </w:p>
    <w:p>
      <w:pPr>
        <w:spacing w:after="0" w:line="86" w:lineRule="exact"/>
        <w:rPr>
          <w:rFonts w:ascii="Arial" w:cs="Arial" w:eastAsia="Arial" w:hAnsi="Arial"/>
          <w:sz w:val="16"/>
          <w:szCs w:val="16"/>
          <w:color w:val="00A798"/>
        </w:rPr>
      </w:pPr>
    </w:p>
    <w:p>
      <w:pPr>
        <w:ind w:left="200" w:right="120" w:hanging="200"/>
        <w:spacing w:after="0" w:line="286" w:lineRule="auto"/>
        <w:tabs>
          <w:tab w:leader="none" w:pos="157"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Vest upon satisfaction of both a service condition and a performance condition over a cumulative three-year performance period, with the service condition satisfied on the third anniversary of the grant date</w:t>
      </w:r>
    </w:p>
    <w:p>
      <w:pPr>
        <w:spacing w:after="0" w:line="20" w:lineRule="exact"/>
        <w:rPr>
          <w:rFonts w:ascii="Arial" w:cs="Arial" w:eastAsia="Arial" w:hAnsi="Arial"/>
          <w:sz w:val="16"/>
          <w:szCs w:val="16"/>
          <w:color w:val="00A798"/>
        </w:rPr>
      </w:pPr>
    </w:p>
    <w:p>
      <w:pPr>
        <w:ind w:left="200" w:hanging="200"/>
        <w:spacing w:after="0" w:line="275" w:lineRule="auto"/>
        <w:tabs>
          <w:tab w:leader="none" w:pos="157"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May earn between 0% and 200% of the target number of shares based on the combined level of achievement of a cumulative revenue performance goal and a cumulative adjusted EPS performance goal, each weighted equally, and measured over a three-year performance period</w:t>
      </w:r>
    </w:p>
    <w:p>
      <w:pPr>
        <w:spacing w:after="0" w:line="15"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Share price of MSCI common stock must exceed exercise price for a participant to realize value</w:t>
      </w:r>
    </w:p>
    <w:p>
      <w:pPr>
        <w:spacing w:after="0" w:line="329"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Granted to NEOs other than the CEO and President</w:t>
      </w:r>
    </w:p>
    <w:p>
      <w:pPr>
        <w:spacing w:after="0" w:line="86"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Cliff-vest at the end of a three-year vesting period</w:t>
      </w:r>
    </w:p>
    <w:p>
      <w:pPr>
        <w:spacing w:after="0" w:line="72" w:lineRule="exact"/>
        <w:rPr>
          <w:rFonts w:ascii="Arial" w:cs="Arial" w:eastAsia="Arial" w:hAnsi="Arial"/>
          <w:sz w:val="16"/>
          <w:szCs w:val="16"/>
          <w:color w:val="00A798"/>
        </w:rPr>
      </w:pPr>
    </w:p>
    <w:p>
      <w:pPr>
        <w:ind w:left="160" w:hanging="160"/>
        <w:spacing w:after="0"/>
        <w:tabs>
          <w:tab w:leader="none" w:pos="160" w:val="left"/>
        </w:tabs>
        <w:numPr>
          <w:ilvl w:val="0"/>
          <w:numId w:val="72"/>
        </w:numPr>
        <w:rPr>
          <w:rFonts w:ascii="Arial" w:cs="Arial" w:eastAsia="Arial" w:hAnsi="Arial"/>
          <w:sz w:val="16"/>
          <w:szCs w:val="16"/>
          <w:color w:val="00A798"/>
        </w:rPr>
      </w:pPr>
      <w:r>
        <w:rPr>
          <w:rFonts w:ascii="Arial" w:cs="Arial" w:eastAsia="Arial" w:hAnsi="Arial"/>
          <w:sz w:val="16"/>
          <w:szCs w:val="16"/>
          <w:color w:val="auto"/>
        </w:rPr>
        <w:t>Long-term value of underlying stock tied to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-518795</wp:posOffset>
            </wp:positionV>
            <wp:extent cx="62147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14745"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-1718945</wp:posOffset>
            </wp:positionV>
            <wp:extent cx="62147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580"/>
            <w:col w:w="9460"/>
          </w:cols>
          <w:pgMar w:left="320" w:top="13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2026 Compensation Decisions</w:t>
      </w:r>
    </w:p>
    <w:p>
      <w:pPr>
        <w:spacing w:after="0" w:line="119"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Compensation Committee approved targeted changes to the 2026 executive compensation program to strengthen pay-for-performance alignment and focus executives on driving sustainable growth. The principal program changes were: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Annual Incentive Plan - 100% Formulaic Design</w:t>
      </w:r>
    </w:p>
    <w:p>
      <w:pPr>
        <w:spacing w:after="0" w:line="100"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Compensation Committee transitioned the Managing Director AIP in which our NEOs participate to a fully formulaic structure, eliminating the prior 20% individual performance component for culture and leadership effectiveness. Beginning in 2026, payouts will be determined entirely by achievement against four financial metrics: Recurring Net New Sales (50% weight), Non-Recurring Sales (10%), Revenue (20%) and Adjusted EPS (20%). The Compensation Committee split the Total Net Sales metric into two distinct components: subscription-based growth (or, Recurring Net New Sales) and non-recurring sales, while emphasizing the Company’s strategic priority of driving recurring revenue. The 50% weighting on Recurring Net New Sales, the highest-weighted metric in the program, reflects its critical role in building long-term revenue streams that support sustainable shareholder value creation. This change reinforces focus on and accountability for top-line growth and aligns incentive outcomes with business results.</w:t>
      </w:r>
    </w:p>
    <w:p>
      <w:pPr>
        <w:spacing w:after="0" w:line="123"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For 2026, Recurring Net New Sales and Non-Recurring Sales will be measured on a quarterly basis, consistent with the quarterly measurement approach applied to Total Net Sales in 2025. Quarterly measurement reinforces consistent sales execution throughout the year, incentivizes strong performance from the start of the year, driving pipeline development and sales momentum, and aligns incentive outcomes with the Company’s operating cadence.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RSU Awards - New Performance Modifier</w:t>
      </w:r>
    </w:p>
    <w:p>
      <w:pPr>
        <w:spacing w:after="0" w:line="10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Beginning in 2026, the Compensation Committee added a Recurring Net New Sales (“RNN”) performance modifier to annual time-based RSU grants to directly link equity outcomes to the Company’s subscription revenue growth. The modifier is measured over the FY2026 performance period and is based on achievement of an RNN performance goal. RNN is defined as net new recurring subscription sales (new recurring subscription sales minus subscription cancellations), capturing the net impact to Run Rate for the period. The Compensation Committee selected RNN as a key driver of sustainable revenue growth and set performance targets at levels it believes to be challenging yet achievable. The Compensation Committee believes that adding this additional performance element to our time-based RSU awards will further incentivize outperformance on future subscription growth and drive our long-term value creation by our employees.</w:t>
      </w:r>
    </w:p>
    <w:p>
      <w:pPr>
        <w:spacing w:after="0" w:line="1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modifier is upside-only: if RNN growth meets or exceeds the performance threshold, the number of RSUs subject to the award may increase up to 130% of the original grant, with results between threshold and maximum determined by linear interpolation. Performance below threshold results in no adjustment to the original grant. This design adds a performance dimension to RSUs while preserving their core retention value.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Governance and Administration</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 Philosophy and Goals</w:t>
      </w:r>
    </w:p>
    <w:p>
      <w:pPr>
        <w:spacing w:after="0" w:line="119" w:lineRule="exact"/>
        <w:rPr>
          <w:sz w:val="20"/>
          <w:szCs w:val="20"/>
          <w:color w:val="auto"/>
        </w:rPr>
      </w:pPr>
    </w:p>
    <w:p>
      <w:pPr>
        <w:jc w:val="both"/>
        <w:ind w:right="500"/>
        <w:spacing w:after="0" w:line="301" w:lineRule="auto"/>
        <w:rPr>
          <w:sz w:val="20"/>
          <w:szCs w:val="20"/>
          <w:color w:val="auto"/>
        </w:rPr>
      </w:pPr>
      <w:r>
        <w:rPr>
          <w:rFonts w:ascii="Arial" w:cs="Arial" w:eastAsia="Arial" w:hAnsi="Arial"/>
          <w:sz w:val="16"/>
          <w:szCs w:val="16"/>
          <w:color w:val="auto"/>
        </w:rPr>
        <w:t>We evaluate our executive compensation structure on an annual basis to ensure alignment with our compensation philosophy, business strategy and shareholder priorities. Our compensation program for our NEOs is designed to promote the achievement of our short-term and long-term financial and strategic goals. For additional information on our financial performance, see page 60 of this Proxy Statement.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principles described in the “Executive Summary” on page 58 of this Proxy Statement, our executive compensation program is designed to:</w:t>
      </w:r>
    </w:p>
    <w:p>
      <w:pPr>
        <w:spacing w:after="0" w:line="167"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promote achievement of financial and strategic goals and provide alignment with our multi-year strategic-planning;</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provide a framework to encourage our NEOs to make a long-term commitment to the Company;</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ground compensation determinations on the performance of the Company;</w:t>
      </w:r>
    </w:p>
    <w:p>
      <w:pPr>
        <w:spacing w:after="0" w:line="99" w:lineRule="exact"/>
        <w:rPr>
          <w:rFonts w:ascii="Arial" w:cs="Arial" w:eastAsia="Arial" w:hAnsi="Arial"/>
          <w:sz w:val="16"/>
          <w:szCs w:val="16"/>
          <w:color w:val="00A798"/>
        </w:rPr>
      </w:pPr>
    </w:p>
    <w:p>
      <w:pPr>
        <w:ind w:left="200" w:right="20" w:hanging="192"/>
        <w:spacing w:after="0" w:line="304" w:lineRule="auto"/>
        <w:tabs>
          <w:tab w:leader="none" w:pos="157"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attract, retain and engage top-level talent and provide each NEO with compensation opportunities that are competitive with market practices and within our cost structure;</w:t>
      </w:r>
    </w:p>
    <w:p>
      <w:pPr>
        <w:spacing w:after="0" w:line="19" w:lineRule="exact"/>
        <w:rPr>
          <w:rFonts w:ascii="Arial" w:cs="Arial" w:eastAsia="Arial" w:hAnsi="Arial"/>
          <w:sz w:val="16"/>
          <w:szCs w:val="16"/>
          <w:color w:val="00A798"/>
        </w:rPr>
      </w:pPr>
    </w:p>
    <w:p>
      <w:pPr>
        <w:ind w:left="160" w:hanging="152"/>
        <w:spacing w:after="0"/>
        <w:tabs>
          <w:tab w:leader="none" w:pos="160"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appropriately manage compensation risk in light of our business strategy;</w:t>
      </w:r>
    </w:p>
    <w:p>
      <w:pPr>
        <w:spacing w:after="0" w:line="99" w:lineRule="exact"/>
        <w:rPr>
          <w:rFonts w:ascii="Arial" w:cs="Arial" w:eastAsia="Arial" w:hAnsi="Arial"/>
          <w:sz w:val="16"/>
          <w:szCs w:val="16"/>
          <w:color w:val="00A798"/>
        </w:rPr>
      </w:pPr>
    </w:p>
    <w:p>
      <w:pPr>
        <w:ind w:left="200" w:right="240" w:hanging="192"/>
        <w:spacing w:after="0" w:line="321" w:lineRule="auto"/>
        <w:tabs>
          <w:tab w:leader="none" w:pos="157"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align the long-term interests of our senior executives with those of our shareholders by promoting actions that will allow for sustainable top- and bottom-line growth opportunities and capital returns to shareholders; and</w:t>
      </w:r>
    </w:p>
    <w:p>
      <w:pPr>
        <w:spacing w:after="0" w:line="7" w:lineRule="exact"/>
        <w:rPr>
          <w:rFonts w:ascii="Arial" w:cs="Arial" w:eastAsia="Arial" w:hAnsi="Arial"/>
          <w:sz w:val="16"/>
          <w:szCs w:val="16"/>
          <w:color w:val="00A798"/>
        </w:rPr>
      </w:pPr>
    </w:p>
    <w:p>
      <w:pPr>
        <w:ind w:left="160" w:hanging="152"/>
        <w:spacing w:after="0"/>
        <w:tabs>
          <w:tab w:leader="none" w:pos="160" w:val="left"/>
        </w:tabs>
        <w:numPr>
          <w:ilvl w:val="0"/>
          <w:numId w:val="73"/>
        </w:numPr>
        <w:rPr>
          <w:rFonts w:ascii="Arial" w:cs="Arial" w:eastAsia="Arial" w:hAnsi="Arial"/>
          <w:sz w:val="16"/>
          <w:szCs w:val="16"/>
          <w:color w:val="00A798"/>
        </w:rPr>
      </w:pPr>
      <w:r>
        <w:rPr>
          <w:rFonts w:ascii="Arial" w:cs="Arial" w:eastAsia="Arial" w:hAnsi="Arial"/>
          <w:sz w:val="16"/>
          <w:szCs w:val="16"/>
          <w:color w:val="auto"/>
        </w:rPr>
        <w:t>maintain an “owner-operator” culture and strong corporate governance practices.</w:t>
      </w: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furtherance of our pay-for-performance philosophy, the primary financial metrics used in our incentive compensation programs generally reflect those used internally to measure our performance and externally to report to investors, in particular, revenue and adjusted EPS, which are utilized under both our AIP and LTIP. Many of these measures are tied to cash generation, capital efficiency, sustained profitable growth over time, and shareholder value.</w:t>
      </w:r>
    </w:p>
    <w:p>
      <w:pPr>
        <w:spacing w:after="0" w:line="11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Our CEO, Chief Human Resources Officer and CFO annually review the incentive metrics in our executive compensation program with the Compensation Committee to ensure that the program remains balanced and motivates the achievement of the go-forward drivers of our business. The financial metrics used in our 2025 executive compensation program were: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4"/>
                <w:szCs w:val="14"/>
                <w:b w:val="1"/>
                <w:bCs w:val="1"/>
                <w:color w:val="auto"/>
              </w:rPr>
              <w:t>Metric</w:t>
            </w:r>
          </w:p>
        </w:tc>
        <w:tc>
          <w:tcPr>
            <w:tcW w:w="6940" w:type="dxa"/>
            <w:vAlign w:val="bottom"/>
          </w:tcPr>
          <w:p>
            <w:pPr>
              <w:ind w:left="460"/>
              <w:spacing w:after="0"/>
              <w:rPr>
                <w:sz w:val="20"/>
                <w:szCs w:val="20"/>
                <w:color w:val="auto"/>
              </w:rPr>
            </w:pPr>
            <w:r>
              <w:rPr>
                <w:rFonts w:ascii="Arial" w:cs="Arial" w:eastAsia="Arial" w:hAnsi="Arial"/>
                <w:sz w:val="14"/>
                <w:szCs w:val="14"/>
                <w:b w:val="1"/>
                <w:bCs w:val="1"/>
                <w:color w:val="auto"/>
              </w:rPr>
              <w:t>Alignment to Broader Strategy</w:t>
            </w:r>
          </w:p>
        </w:tc>
      </w:tr>
      <w:tr>
        <w:trPr>
          <w:trHeight w:val="29"/>
        </w:trPr>
        <w:tc>
          <w:tcPr>
            <w:tcW w:w="2540" w:type="dxa"/>
            <w:vAlign w:val="bottom"/>
            <w:tcBorders>
              <w:bottom w:val="single" w:sz="8" w:color="1A3FD6"/>
            </w:tcBorders>
          </w:tcPr>
          <w:p>
            <w:pPr>
              <w:spacing w:after="0"/>
              <w:rPr>
                <w:sz w:val="2"/>
                <w:szCs w:val="2"/>
                <w:color w:val="auto"/>
              </w:rPr>
            </w:pPr>
          </w:p>
        </w:tc>
        <w:tc>
          <w:tcPr>
            <w:tcW w:w="1760" w:type="dxa"/>
            <w:vAlign w:val="bottom"/>
            <w:tcBorders>
              <w:bottom w:val="single" w:sz="8" w:color="1A3FD6"/>
            </w:tcBorders>
          </w:tcPr>
          <w:p>
            <w:pPr>
              <w:spacing w:after="0"/>
              <w:rPr>
                <w:sz w:val="2"/>
                <w:szCs w:val="2"/>
                <w:color w:val="auto"/>
              </w:rPr>
            </w:pPr>
          </w:p>
        </w:tc>
        <w:tc>
          <w:tcPr>
            <w:tcW w:w="6940" w:type="dxa"/>
            <w:vAlign w:val="bottom"/>
            <w:tcBorders>
              <w:bottom w:val="single" w:sz="8" w:color="1A3FD6"/>
            </w:tcBorders>
          </w:tcPr>
          <w:p>
            <w:pPr>
              <w:spacing w:after="0"/>
              <w:rPr>
                <w:sz w:val="2"/>
                <w:szCs w:val="2"/>
                <w:color w:val="auto"/>
              </w:rPr>
            </w:pPr>
          </w:p>
        </w:tc>
      </w:tr>
      <w:tr>
        <w:trPr>
          <w:trHeight w:val="222"/>
        </w:trPr>
        <w:tc>
          <w:tcPr>
            <w:tcW w:w="2540" w:type="dxa"/>
            <w:vAlign w:val="bottom"/>
            <w:shd w:val="clear" w:color="auto" w:fill="F6F6F6"/>
          </w:tcPr>
          <w:p>
            <w:pPr>
              <w:ind w:left="160"/>
              <w:spacing w:after="0"/>
              <w:rPr>
                <w:sz w:val="20"/>
                <w:szCs w:val="20"/>
                <w:color w:val="auto"/>
              </w:rPr>
            </w:pPr>
            <w:r>
              <w:rPr>
                <w:rFonts w:ascii="Arial" w:cs="Arial" w:eastAsia="Arial" w:hAnsi="Arial"/>
                <w:sz w:val="16"/>
                <w:szCs w:val="16"/>
                <w:b w:val="1"/>
                <w:bCs w:val="1"/>
                <w:color w:val="1A3FD6"/>
              </w:rPr>
              <w:t>Annual Incentive Plan and</w:t>
            </w:r>
          </w:p>
        </w:tc>
        <w:tc>
          <w:tcPr>
            <w:tcW w:w="1760" w:type="dxa"/>
            <w:vAlign w:val="bottom"/>
          </w:tcPr>
          <w:p>
            <w:pPr>
              <w:ind w:left="140"/>
              <w:spacing w:after="0"/>
              <w:rPr>
                <w:sz w:val="20"/>
                <w:szCs w:val="20"/>
                <w:color w:val="auto"/>
              </w:rPr>
            </w:pPr>
            <w:r>
              <w:rPr>
                <w:rFonts w:ascii="Arial" w:cs="Arial" w:eastAsia="Arial" w:hAnsi="Arial"/>
                <w:sz w:val="16"/>
                <w:szCs w:val="16"/>
                <w:b w:val="1"/>
                <w:bCs w:val="1"/>
                <w:color w:val="auto"/>
              </w:rPr>
              <w:t>Revenue</w:t>
            </w:r>
          </w:p>
        </w:tc>
        <w:tc>
          <w:tcPr>
            <w:tcW w:w="6940" w:type="dxa"/>
            <w:vAlign w:val="bottom"/>
          </w:tcPr>
          <w:p>
            <w:pPr>
              <w:ind w:left="460"/>
              <w:spacing w:after="0"/>
              <w:rPr>
                <w:sz w:val="20"/>
                <w:szCs w:val="20"/>
                <w:color w:val="auto"/>
              </w:rPr>
            </w:pPr>
            <w:r>
              <w:rPr>
                <w:rFonts w:ascii="Arial" w:cs="Arial" w:eastAsia="Arial" w:hAnsi="Arial"/>
                <w:sz w:val="16"/>
                <w:szCs w:val="16"/>
                <w:color w:val="auto"/>
              </w:rPr>
              <w:t>Represents the top-line measure of our business performance; for the LTIP, measured</w:t>
            </w:r>
          </w:p>
        </w:tc>
      </w:tr>
      <w:tr>
        <w:trPr>
          <w:trHeight w:val="216"/>
        </w:trPr>
        <w:tc>
          <w:tcPr>
            <w:tcW w:w="2540" w:type="dxa"/>
            <w:vAlign w:val="bottom"/>
            <w:shd w:val="clear" w:color="auto" w:fill="F6F6F6"/>
          </w:tcPr>
          <w:p>
            <w:pPr>
              <w:ind w:left="160"/>
              <w:spacing w:after="0"/>
              <w:rPr>
                <w:sz w:val="20"/>
                <w:szCs w:val="20"/>
                <w:color w:val="auto"/>
              </w:rPr>
            </w:pPr>
            <w:r>
              <w:rPr>
                <w:rFonts w:ascii="Arial" w:cs="Arial" w:eastAsia="Arial" w:hAnsi="Arial"/>
                <w:sz w:val="16"/>
                <w:szCs w:val="16"/>
                <w:b w:val="1"/>
                <w:bCs w:val="1"/>
                <w:color w:val="1A3FD6"/>
              </w:rPr>
              <w:t>Long-Term Incentive</w:t>
            </w:r>
          </w:p>
        </w:tc>
        <w:tc>
          <w:tcPr>
            <w:tcW w:w="1760" w:type="dxa"/>
            <w:vAlign w:val="bottom"/>
          </w:tcPr>
          <w:p>
            <w:pPr>
              <w:spacing w:after="0"/>
              <w:rPr>
                <w:sz w:val="18"/>
                <w:szCs w:val="18"/>
                <w:color w:val="auto"/>
              </w:rPr>
            </w:pPr>
          </w:p>
        </w:tc>
        <w:tc>
          <w:tcPr>
            <w:tcW w:w="6940" w:type="dxa"/>
            <w:vAlign w:val="bottom"/>
          </w:tcPr>
          <w:p>
            <w:pPr>
              <w:ind w:left="460"/>
              <w:spacing w:after="0"/>
              <w:rPr>
                <w:sz w:val="20"/>
                <w:szCs w:val="20"/>
                <w:color w:val="auto"/>
              </w:rPr>
            </w:pPr>
            <w:r>
              <w:rPr>
                <w:rFonts w:ascii="Arial" w:cs="Arial" w:eastAsia="Arial" w:hAnsi="Arial"/>
                <w:sz w:val="16"/>
                <w:szCs w:val="16"/>
                <w:color w:val="auto"/>
              </w:rPr>
              <w:t>over a cumulative, three-year basis to align with our strategic planning</w:t>
            </w:r>
          </w:p>
        </w:tc>
      </w:tr>
      <w:tr>
        <w:trPr>
          <w:trHeight w:val="223"/>
        </w:trPr>
        <w:tc>
          <w:tcPr>
            <w:tcW w:w="2540" w:type="dxa"/>
            <w:vAlign w:val="bottom"/>
            <w:shd w:val="clear" w:color="auto" w:fill="F6F6F6"/>
          </w:tcPr>
          <w:p>
            <w:pPr>
              <w:ind w:left="160"/>
              <w:spacing w:after="0"/>
              <w:rPr>
                <w:sz w:val="20"/>
                <w:szCs w:val="20"/>
                <w:color w:val="auto"/>
              </w:rPr>
            </w:pPr>
            <w:r>
              <w:rPr>
                <w:rFonts w:ascii="Arial" w:cs="Arial" w:eastAsia="Arial" w:hAnsi="Arial"/>
                <w:sz w:val="16"/>
                <w:szCs w:val="16"/>
                <w:b w:val="1"/>
                <w:bCs w:val="1"/>
                <w:color w:val="1A3FD6"/>
              </w:rPr>
              <w:t>Program</w:t>
            </w:r>
          </w:p>
        </w:tc>
        <w:tc>
          <w:tcPr>
            <w:tcW w:w="1760" w:type="dxa"/>
            <w:vAlign w:val="bottom"/>
          </w:tcPr>
          <w:p>
            <w:pPr>
              <w:spacing w:after="0"/>
              <w:rPr>
                <w:sz w:val="19"/>
                <w:szCs w:val="19"/>
                <w:color w:val="auto"/>
              </w:rPr>
            </w:pPr>
          </w:p>
        </w:tc>
        <w:tc>
          <w:tcPr>
            <w:tcW w:w="6940" w:type="dxa"/>
            <w:vAlign w:val="bottom"/>
          </w:tcPr>
          <w:p>
            <w:pPr>
              <w:spacing w:after="0"/>
              <w:rPr>
                <w:sz w:val="19"/>
                <w:szCs w:val="19"/>
                <w:color w:val="auto"/>
              </w:rPr>
            </w:pPr>
          </w:p>
        </w:tc>
      </w:tr>
      <w:tr>
        <w:trPr>
          <w:trHeight w:val="21"/>
        </w:trPr>
        <w:tc>
          <w:tcPr>
            <w:tcW w:w="2540" w:type="dxa"/>
            <w:vAlign w:val="bottom"/>
            <w:tcBorders>
              <w:bottom w:val="single" w:sz="8" w:color="F6F6F6"/>
            </w:tcBorders>
            <w:shd w:val="clear" w:color="auto" w:fill="F6F6F6"/>
          </w:tcPr>
          <w:p>
            <w:pPr>
              <w:spacing w:after="0" w:line="20" w:lineRule="exact"/>
              <w:rPr>
                <w:sz w:val="1"/>
                <w:szCs w:val="1"/>
                <w:color w:val="auto"/>
              </w:rPr>
            </w:pPr>
          </w:p>
        </w:tc>
        <w:tc>
          <w:tcPr>
            <w:tcW w:w="1760" w:type="dxa"/>
            <w:vAlign w:val="bottom"/>
            <w:tcBorders>
              <w:bottom w:val="single" w:sz="8" w:color="E6E7E8"/>
            </w:tcBorders>
          </w:tcPr>
          <w:p>
            <w:pPr>
              <w:spacing w:after="0" w:line="20" w:lineRule="exact"/>
              <w:rPr>
                <w:sz w:val="1"/>
                <w:szCs w:val="1"/>
                <w:color w:val="auto"/>
              </w:rPr>
            </w:pPr>
          </w:p>
        </w:tc>
        <w:tc>
          <w:tcPr>
            <w:tcW w:w="6940" w:type="dxa"/>
            <w:vAlign w:val="bottom"/>
            <w:tcBorders>
              <w:bottom w:val="single" w:sz="8" w:color="E6E7E8"/>
            </w:tcBorders>
          </w:tcPr>
          <w:p>
            <w:pPr>
              <w:spacing w:after="0" w:line="20" w:lineRule="exact"/>
              <w:rPr>
                <w:sz w:val="1"/>
                <w:szCs w:val="1"/>
                <w:color w:val="auto"/>
              </w:rPr>
            </w:pPr>
          </w:p>
        </w:tc>
      </w:tr>
      <w:tr>
        <w:trPr>
          <w:trHeight w:val="222"/>
        </w:trPr>
        <w:tc>
          <w:tcPr>
            <w:tcW w:w="2540" w:type="dxa"/>
            <w:vAlign w:val="bottom"/>
            <w:shd w:val="clear" w:color="auto" w:fill="F6F6F6"/>
          </w:tcPr>
          <w:p>
            <w:pPr>
              <w:spacing w:after="0"/>
              <w:rPr>
                <w:sz w:val="19"/>
                <w:szCs w:val="19"/>
                <w:color w:val="auto"/>
              </w:rPr>
            </w:pPr>
          </w:p>
        </w:tc>
        <w:tc>
          <w:tcPr>
            <w:tcW w:w="1760" w:type="dxa"/>
            <w:vAlign w:val="bottom"/>
          </w:tcPr>
          <w:p>
            <w:pPr>
              <w:ind w:left="140"/>
              <w:spacing w:after="0" w:line="223" w:lineRule="exact"/>
              <w:rPr>
                <w:sz w:val="20"/>
                <w:szCs w:val="20"/>
                <w:color w:val="auto"/>
              </w:rPr>
            </w:pPr>
            <w:r>
              <w:rPr>
                <w:rFonts w:ascii="Arial" w:cs="Arial" w:eastAsia="Arial" w:hAnsi="Arial"/>
                <w:sz w:val="16"/>
                <w:szCs w:val="16"/>
                <w:b w:val="1"/>
                <w:bCs w:val="1"/>
                <w:color w:val="auto"/>
              </w:rPr>
              <w:t>Adjusted EPS</w:t>
            </w:r>
            <w:r>
              <w:rPr>
                <w:rFonts w:ascii="Arial" w:cs="Arial" w:eastAsia="Arial" w:hAnsi="Arial"/>
                <w:sz w:val="21"/>
                <w:szCs w:val="21"/>
                <w:b w:val="1"/>
                <w:bCs w:val="1"/>
                <w:color w:val="auto"/>
                <w:vertAlign w:val="superscript"/>
              </w:rPr>
              <w:t>(1)</w:t>
            </w:r>
          </w:p>
        </w:tc>
        <w:tc>
          <w:tcPr>
            <w:tcW w:w="6940" w:type="dxa"/>
            <w:vAlign w:val="bottom"/>
          </w:tcPr>
          <w:p>
            <w:pPr>
              <w:ind w:left="460"/>
              <w:spacing w:after="0"/>
              <w:rPr>
                <w:sz w:val="20"/>
                <w:szCs w:val="20"/>
                <w:color w:val="auto"/>
              </w:rPr>
            </w:pPr>
            <w:r>
              <w:rPr>
                <w:rFonts w:ascii="Arial" w:cs="Arial" w:eastAsia="Arial" w:hAnsi="Arial"/>
                <w:sz w:val="16"/>
                <w:szCs w:val="16"/>
                <w:color w:val="auto"/>
              </w:rPr>
              <w:t>Measures profitability on a per-share basis, including by adjusting for the after-tax impact</w:t>
            </w:r>
          </w:p>
        </w:tc>
      </w:tr>
      <w:tr>
        <w:trPr>
          <w:trHeight w:val="215"/>
        </w:trPr>
        <w:tc>
          <w:tcPr>
            <w:tcW w:w="2540" w:type="dxa"/>
            <w:vAlign w:val="bottom"/>
            <w:shd w:val="clear" w:color="auto" w:fill="F6F6F6"/>
          </w:tcPr>
          <w:p>
            <w:pPr>
              <w:spacing w:after="0"/>
              <w:rPr>
                <w:sz w:val="18"/>
                <w:szCs w:val="18"/>
                <w:color w:val="auto"/>
              </w:rPr>
            </w:pPr>
          </w:p>
        </w:tc>
        <w:tc>
          <w:tcPr>
            <w:tcW w:w="1760" w:type="dxa"/>
            <w:vAlign w:val="bottom"/>
          </w:tcPr>
          <w:p>
            <w:pPr>
              <w:spacing w:after="0"/>
              <w:rPr>
                <w:sz w:val="18"/>
                <w:szCs w:val="18"/>
                <w:color w:val="auto"/>
              </w:rPr>
            </w:pPr>
          </w:p>
        </w:tc>
        <w:tc>
          <w:tcPr>
            <w:tcW w:w="6940" w:type="dxa"/>
            <w:vAlign w:val="bottom"/>
          </w:tcPr>
          <w:p>
            <w:pPr>
              <w:ind w:left="460"/>
              <w:spacing w:after="0"/>
              <w:rPr>
                <w:sz w:val="20"/>
                <w:szCs w:val="20"/>
                <w:color w:val="auto"/>
              </w:rPr>
            </w:pPr>
            <w:r>
              <w:rPr>
                <w:rFonts w:ascii="Arial" w:cs="Arial" w:eastAsia="Arial" w:hAnsi="Arial"/>
                <w:sz w:val="16"/>
                <w:szCs w:val="16"/>
                <w:color w:val="auto"/>
              </w:rPr>
              <w:t>of significant one-time, unusual or non-recurring items; for the LTIP, measured over a</w:t>
            </w:r>
          </w:p>
        </w:tc>
      </w:tr>
      <w:tr>
        <w:trPr>
          <w:trHeight w:val="204"/>
        </w:trPr>
        <w:tc>
          <w:tcPr>
            <w:tcW w:w="2540" w:type="dxa"/>
            <w:vAlign w:val="bottom"/>
            <w:shd w:val="clear" w:color="auto" w:fill="F6F6F6"/>
          </w:tcPr>
          <w:p>
            <w:pPr>
              <w:spacing w:after="0"/>
              <w:rPr>
                <w:sz w:val="17"/>
                <w:szCs w:val="17"/>
                <w:color w:val="auto"/>
              </w:rPr>
            </w:pPr>
          </w:p>
        </w:tc>
        <w:tc>
          <w:tcPr>
            <w:tcW w:w="1760" w:type="dxa"/>
            <w:vAlign w:val="bottom"/>
          </w:tcPr>
          <w:p>
            <w:pPr>
              <w:spacing w:after="0"/>
              <w:rPr>
                <w:sz w:val="17"/>
                <w:szCs w:val="17"/>
                <w:color w:val="auto"/>
              </w:rPr>
            </w:pPr>
          </w:p>
        </w:tc>
        <w:tc>
          <w:tcPr>
            <w:tcW w:w="6940" w:type="dxa"/>
            <w:vAlign w:val="bottom"/>
          </w:tcPr>
          <w:p>
            <w:pPr>
              <w:ind w:left="460"/>
              <w:spacing w:after="0"/>
              <w:rPr>
                <w:sz w:val="20"/>
                <w:szCs w:val="20"/>
                <w:color w:val="auto"/>
              </w:rPr>
            </w:pPr>
            <w:r>
              <w:rPr>
                <w:rFonts w:ascii="Arial" w:cs="Arial" w:eastAsia="Arial" w:hAnsi="Arial"/>
                <w:sz w:val="16"/>
                <w:szCs w:val="16"/>
                <w:color w:val="auto"/>
              </w:rPr>
              <w:t>cumulative, three-year basis to align with our strategic planning; encourages a focus on</w:t>
            </w:r>
          </w:p>
        </w:tc>
      </w:tr>
      <w:tr>
        <w:trPr>
          <w:trHeight w:val="215"/>
        </w:trPr>
        <w:tc>
          <w:tcPr>
            <w:tcW w:w="2540" w:type="dxa"/>
            <w:vAlign w:val="bottom"/>
            <w:shd w:val="clear" w:color="auto" w:fill="F6F6F6"/>
          </w:tcPr>
          <w:p>
            <w:pPr>
              <w:spacing w:after="0"/>
              <w:rPr>
                <w:sz w:val="18"/>
                <w:szCs w:val="18"/>
                <w:color w:val="auto"/>
              </w:rPr>
            </w:pPr>
          </w:p>
        </w:tc>
        <w:tc>
          <w:tcPr>
            <w:tcW w:w="1760" w:type="dxa"/>
            <w:vAlign w:val="bottom"/>
          </w:tcPr>
          <w:p>
            <w:pPr>
              <w:spacing w:after="0"/>
              <w:rPr>
                <w:sz w:val="18"/>
                <w:szCs w:val="18"/>
                <w:color w:val="auto"/>
              </w:rPr>
            </w:pPr>
          </w:p>
        </w:tc>
        <w:tc>
          <w:tcPr>
            <w:tcW w:w="6940" w:type="dxa"/>
            <w:vAlign w:val="bottom"/>
          </w:tcPr>
          <w:p>
            <w:pPr>
              <w:ind w:left="460"/>
              <w:spacing w:after="0"/>
              <w:rPr>
                <w:sz w:val="20"/>
                <w:szCs w:val="20"/>
                <w:color w:val="auto"/>
              </w:rPr>
            </w:pPr>
            <w:r>
              <w:rPr>
                <w:rFonts w:ascii="Arial" w:cs="Arial" w:eastAsia="Arial" w:hAnsi="Arial"/>
                <w:sz w:val="16"/>
                <w:szCs w:val="16"/>
                <w:color w:val="auto"/>
              </w:rPr>
              <w:t>profitability and expense management</w:t>
            </w:r>
          </w:p>
        </w:tc>
      </w:tr>
      <w:tr>
        <w:trPr>
          <w:trHeight w:val="245"/>
        </w:trPr>
        <w:tc>
          <w:tcPr>
            <w:tcW w:w="2540" w:type="dxa"/>
            <w:vAlign w:val="bottom"/>
            <w:tcBorders>
              <w:bottom w:val="single" w:sz="8" w:color="E6E7EB"/>
            </w:tcBorders>
            <w:shd w:val="clear" w:color="auto" w:fill="F6F6F6"/>
          </w:tcPr>
          <w:p>
            <w:pPr>
              <w:spacing w:after="0"/>
              <w:rPr>
                <w:sz w:val="21"/>
                <w:szCs w:val="21"/>
                <w:color w:val="auto"/>
              </w:rPr>
            </w:pPr>
          </w:p>
        </w:tc>
        <w:tc>
          <w:tcPr>
            <w:tcW w:w="1760" w:type="dxa"/>
            <w:vAlign w:val="bottom"/>
            <w:tcBorders>
              <w:bottom w:val="single" w:sz="8" w:color="E6E7EB"/>
            </w:tcBorders>
          </w:tcPr>
          <w:p>
            <w:pPr>
              <w:spacing w:after="0"/>
              <w:rPr>
                <w:sz w:val="21"/>
                <w:szCs w:val="21"/>
                <w:color w:val="auto"/>
              </w:rPr>
            </w:pPr>
          </w:p>
        </w:tc>
        <w:tc>
          <w:tcPr>
            <w:tcW w:w="6940" w:type="dxa"/>
            <w:vAlign w:val="bottom"/>
            <w:tcBorders>
              <w:bottom w:val="single" w:sz="8" w:color="E6E7EB"/>
            </w:tcBorders>
          </w:tcPr>
          <w:p>
            <w:pPr>
              <w:spacing w:after="0"/>
              <w:rPr>
                <w:sz w:val="21"/>
                <w:szCs w:val="21"/>
                <w:color w:val="auto"/>
              </w:rPr>
            </w:pPr>
          </w:p>
        </w:tc>
      </w:tr>
      <w:tr>
        <w:trPr>
          <w:trHeight w:val="222"/>
        </w:trPr>
        <w:tc>
          <w:tcPr>
            <w:tcW w:w="2540" w:type="dxa"/>
            <w:vAlign w:val="bottom"/>
            <w:shd w:val="clear" w:color="auto" w:fill="F6F6F6"/>
          </w:tcPr>
          <w:p>
            <w:pPr>
              <w:ind w:left="160"/>
              <w:spacing w:after="0"/>
              <w:rPr>
                <w:sz w:val="20"/>
                <w:szCs w:val="20"/>
                <w:color w:val="auto"/>
              </w:rPr>
            </w:pPr>
            <w:r>
              <w:rPr>
                <w:rFonts w:ascii="Arial" w:cs="Arial" w:eastAsia="Arial" w:hAnsi="Arial"/>
                <w:sz w:val="16"/>
                <w:szCs w:val="16"/>
                <w:b w:val="1"/>
                <w:bCs w:val="1"/>
                <w:color w:val="1A3FD6"/>
              </w:rPr>
              <w:t>Annual Incentive Plan Only</w:t>
            </w:r>
          </w:p>
        </w:tc>
        <w:tc>
          <w:tcPr>
            <w:tcW w:w="1760" w:type="dxa"/>
            <w:vAlign w:val="bottom"/>
          </w:tcPr>
          <w:p>
            <w:pPr>
              <w:ind w:left="140"/>
              <w:spacing w:after="0"/>
              <w:rPr>
                <w:sz w:val="20"/>
                <w:szCs w:val="20"/>
                <w:color w:val="auto"/>
              </w:rPr>
            </w:pPr>
            <w:r>
              <w:rPr>
                <w:rFonts w:ascii="Arial" w:cs="Arial" w:eastAsia="Arial" w:hAnsi="Arial"/>
                <w:sz w:val="16"/>
                <w:szCs w:val="16"/>
                <w:b w:val="1"/>
                <w:bCs w:val="1"/>
                <w:color w:val="auto"/>
              </w:rPr>
              <w:t>Total Net Sales</w:t>
            </w:r>
          </w:p>
        </w:tc>
        <w:tc>
          <w:tcPr>
            <w:tcW w:w="6940" w:type="dxa"/>
            <w:vAlign w:val="bottom"/>
          </w:tcPr>
          <w:p>
            <w:pPr>
              <w:ind w:left="460"/>
              <w:spacing w:after="0"/>
              <w:rPr>
                <w:sz w:val="20"/>
                <w:szCs w:val="20"/>
                <w:color w:val="auto"/>
              </w:rPr>
            </w:pPr>
            <w:r>
              <w:rPr>
                <w:rFonts w:ascii="Arial" w:cs="Arial" w:eastAsia="Arial" w:hAnsi="Arial"/>
                <w:sz w:val="16"/>
                <w:szCs w:val="16"/>
                <w:color w:val="auto"/>
              </w:rPr>
              <w:t>Represents net new recurring subscription sales plus non-recurring sales weighted at</w:t>
            </w:r>
          </w:p>
        </w:tc>
      </w:tr>
      <w:tr>
        <w:trPr>
          <w:trHeight w:val="244"/>
        </w:trPr>
        <w:tc>
          <w:tcPr>
            <w:tcW w:w="2540" w:type="dxa"/>
            <w:vAlign w:val="bottom"/>
            <w:tcBorders>
              <w:bottom w:val="single" w:sz="8" w:color="F6F6F6"/>
            </w:tcBorders>
            <w:shd w:val="clear" w:color="auto" w:fill="F6F6F6"/>
          </w:tcPr>
          <w:p>
            <w:pPr>
              <w:spacing w:after="0"/>
              <w:rPr>
                <w:sz w:val="21"/>
                <w:szCs w:val="21"/>
                <w:color w:val="auto"/>
              </w:rPr>
            </w:pPr>
          </w:p>
        </w:tc>
        <w:tc>
          <w:tcPr>
            <w:tcW w:w="1760" w:type="dxa"/>
            <w:vAlign w:val="bottom"/>
          </w:tcPr>
          <w:p>
            <w:pPr>
              <w:spacing w:after="0"/>
              <w:rPr>
                <w:sz w:val="21"/>
                <w:szCs w:val="21"/>
                <w:color w:val="auto"/>
              </w:rPr>
            </w:pPr>
          </w:p>
        </w:tc>
        <w:tc>
          <w:tcPr>
            <w:tcW w:w="6940" w:type="dxa"/>
            <w:vAlign w:val="bottom"/>
          </w:tcPr>
          <w:p>
            <w:pPr>
              <w:ind w:left="460"/>
              <w:spacing w:after="0"/>
              <w:rPr>
                <w:sz w:val="20"/>
                <w:szCs w:val="20"/>
                <w:color w:val="auto"/>
              </w:rPr>
            </w:pPr>
            <w:r>
              <w:rPr>
                <w:rFonts w:ascii="Arial" w:cs="Arial" w:eastAsia="Arial" w:hAnsi="Arial"/>
                <w:sz w:val="16"/>
                <w:szCs w:val="16"/>
                <w:color w:val="auto"/>
              </w:rPr>
              <w:t>75%, which reinforces the Company’s focus on driving sustainable revenue growth</w:t>
            </w:r>
          </w:p>
        </w:tc>
      </w:tr>
      <w:tr>
        <w:trPr>
          <w:trHeight w:val="222"/>
        </w:trPr>
        <w:tc>
          <w:tcPr>
            <w:tcW w:w="2540" w:type="dxa"/>
            <w:vAlign w:val="bottom"/>
            <w:tcBorders>
              <w:top w:val="single" w:sz="8" w:color="E6E7EB"/>
            </w:tcBorders>
            <w:shd w:val="clear" w:color="auto" w:fill="F6F6F6"/>
          </w:tcPr>
          <w:p>
            <w:pPr>
              <w:ind w:left="160"/>
              <w:spacing w:after="0"/>
              <w:rPr>
                <w:sz w:val="20"/>
                <w:szCs w:val="20"/>
                <w:color w:val="auto"/>
              </w:rPr>
            </w:pPr>
            <w:r>
              <w:rPr>
                <w:rFonts w:ascii="Arial" w:cs="Arial" w:eastAsia="Arial" w:hAnsi="Arial"/>
                <w:sz w:val="16"/>
                <w:szCs w:val="16"/>
                <w:b w:val="1"/>
                <w:bCs w:val="1"/>
                <w:color w:val="1A3FD6"/>
              </w:rPr>
              <w:t>Long-Term Incentive</w:t>
            </w:r>
          </w:p>
        </w:tc>
        <w:tc>
          <w:tcPr>
            <w:tcW w:w="1760" w:type="dxa"/>
            <w:vAlign w:val="bottom"/>
            <w:tcBorders>
              <w:top w:val="single" w:sz="8" w:color="E6E7EB"/>
            </w:tcBorders>
          </w:tcPr>
          <w:p>
            <w:pPr>
              <w:ind w:left="140"/>
              <w:spacing w:after="0"/>
              <w:rPr>
                <w:sz w:val="20"/>
                <w:szCs w:val="20"/>
                <w:color w:val="auto"/>
              </w:rPr>
            </w:pPr>
            <w:r>
              <w:rPr>
                <w:rFonts w:ascii="Arial" w:cs="Arial" w:eastAsia="Arial" w:hAnsi="Arial"/>
                <w:sz w:val="16"/>
                <w:szCs w:val="16"/>
                <w:b w:val="1"/>
                <w:bCs w:val="1"/>
                <w:color w:val="auto"/>
              </w:rPr>
              <w:t>TSR CAGR</w:t>
            </w:r>
          </w:p>
        </w:tc>
        <w:tc>
          <w:tcPr>
            <w:tcW w:w="6940" w:type="dxa"/>
            <w:vAlign w:val="bottom"/>
            <w:tcBorders>
              <w:top w:val="single" w:sz="8" w:color="E6E7EB"/>
            </w:tcBorders>
          </w:tcPr>
          <w:p>
            <w:pPr>
              <w:ind w:left="460"/>
              <w:spacing w:after="0"/>
              <w:rPr>
                <w:sz w:val="20"/>
                <w:szCs w:val="20"/>
                <w:color w:val="auto"/>
              </w:rPr>
            </w:pPr>
            <w:r>
              <w:rPr>
                <w:rFonts w:ascii="Arial" w:cs="Arial" w:eastAsia="Arial" w:hAnsi="Arial"/>
                <w:sz w:val="16"/>
                <w:szCs w:val="16"/>
                <w:color w:val="auto"/>
              </w:rPr>
              <w:t>Measures total company achievement of shareholder returns and encourages sustained</w:t>
            </w:r>
          </w:p>
        </w:tc>
      </w:tr>
      <w:tr>
        <w:trPr>
          <w:trHeight w:val="224"/>
        </w:trPr>
        <w:tc>
          <w:tcPr>
            <w:tcW w:w="2540" w:type="dxa"/>
            <w:vAlign w:val="bottom"/>
            <w:tcBorders>
              <w:bottom w:val="single" w:sz="8" w:color="F6F6F6"/>
            </w:tcBorders>
            <w:shd w:val="clear" w:color="auto" w:fill="F6F6F6"/>
          </w:tcPr>
          <w:p>
            <w:pPr>
              <w:ind w:left="160"/>
              <w:spacing w:after="0"/>
              <w:rPr>
                <w:sz w:val="20"/>
                <w:szCs w:val="20"/>
                <w:color w:val="auto"/>
              </w:rPr>
            </w:pPr>
            <w:r>
              <w:rPr>
                <w:rFonts w:ascii="Arial" w:cs="Arial" w:eastAsia="Arial" w:hAnsi="Arial"/>
                <w:sz w:val="16"/>
                <w:szCs w:val="16"/>
                <w:b w:val="1"/>
                <w:bCs w:val="1"/>
                <w:color w:val="1A3FD6"/>
              </w:rPr>
              <w:t>Program Only</w:t>
            </w:r>
          </w:p>
        </w:tc>
        <w:tc>
          <w:tcPr>
            <w:tcW w:w="1760" w:type="dxa"/>
            <w:vAlign w:val="bottom"/>
          </w:tcPr>
          <w:p>
            <w:pPr>
              <w:spacing w:after="0"/>
              <w:rPr>
                <w:sz w:val="19"/>
                <w:szCs w:val="19"/>
                <w:color w:val="auto"/>
              </w:rPr>
            </w:pPr>
          </w:p>
        </w:tc>
        <w:tc>
          <w:tcPr>
            <w:tcW w:w="6940" w:type="dxa"/>
            <w:vAlign w:val="bottom"/>
          </w:tcPr>
          <w:p>
            <w:pPr>
              <w:ind w:left="460"/>
              <w:spacing w:after="0"/>
              <w:rPr>
                <w:sz w:val="20"/>
                <w:szCs w:val="20"/>
                <w:color w:val="auto"/>
              </w:rPr>
            </w:pPr>
            <w:r>
              <w:rPr>
                <w:rFonts w:ascii="Arial" w:cs="Arial" w:eastAsia="Arial" w:hAnsi="Arial"/>
                <w:sz w:val="16"/>
                <w:szCs w:val="16"/>
                <w:color w:val="auto"/>
              </w:rPr>
              <w:t>value creation</w:t>
            </w:r>
          </w:p>
        </w:tc>
      </w:tr>
      <w:tr>
        <w:trPr>
          <w:trHeight w:val="20"/>
        </w:trPr>
        <w:tc>
          <w:tcPr>
            <w:tcW w:w="2540" w:type="dxa"/>
            <w:vAlign w:val="bottom"/>
            <w:shd w:val="clear" w:color="auto" w:fill="1A3FD6"/>
          </w:tcPr>
          <w:p>
            <w:pPr>
              <w:spacing w:after="0" w:line="20" w:lineRule="exact"/>
              <w:rPr>
                <w:sz w:val="1"/>
                <w:szCs w:val="1"/>
                <w:color w:val="auto"/>
              </w:rPr>
            </w:pPr>
          </w:p>
        </w:tc>
        <w:tc>
          <w:tcPr>
            <w:tcW w:w="1760" w:type="dxa"/>
            <w:vAlign w:val="bottom"/>
            <w:shd w:val="clear" w:color="auto" w:fill="1A3FD6"/>
          </w:tcPr>
          <w:p>
            <w:pPr>
              <w:spacing w:after="0" w:line="20" w:lineRule="exact"/>
              <w:rPr>
                <w:sz w:val="1"/>
                <w:szCs w:val="1"/>
                <w:color w:val="auto"/>
              </w:rPr>
            </w:pPr>
          </w:p>
        </w:tc>
        <w:tc>
          <w:tcPr>
            <w:tcW w:w="6940" w:type="dxa"/>
            <w:vAlign w:val="bottom"/>
            <w:shd w:val="clear" w:color="auto" w:fill="1A3FD6"/>
          </w:tcPr>
          <w:p>
            <w:pPr>
              <w:spacing w:after="0" w:line="20" w:lineRule="exact"/>
              <w:rPr>
                <w:sz w:val="1"/>
                <w:szCs w:val="1"/>
                <w:color w:val="auto"/>
              </w:rPr>
            </w:pPr>
          </w:p>
        </w:tc>
      </w:tr>
    </w:tbl>
    <w:p>
      <w:pPr>
        <w:spacing w:after="0" w:line="153" w:lineRule="exact"/>
        <w:rPr>
          <w:sz w:val="20"/>
          <w:szCs w:val="20"/>
          <w:color w:val="auto"/>
        </w:rPr>
      </w:pPr>
    </w:p>
    <w:p>
      <w:pPr>
        <w:ind w:left="280" w:hanging="272"/>
        <w:spacing w:after="0"/>
        <w:tabs>
          <w:tab w:leader="none" w:pos="280" w:val="left"/>
        </w:tabs>
        <w:numPr>
          <w:ilvl w:val="0"/>
          <w:numId w:val="74"/>
        </w:numPr>
        <w:rPr>
          <w:rFonts w:ascii="Arial" w:cs="Arial" w:eastAsia="Arial" w:hAnsi="Arial"/>
          <w:sz w:val="9"/>
          <w:szCs w:val="9"/>
          <w:color w:val="auto"/>
        </w:rPr>
      </w:pPr>
      <w:r>
        <w:rPr>
          <w:rFonts w:ascii="Arial" w:cs="Arial" w:eastAsia="Arial" w:hAnsi="Arial"/>
          <w:sz w:val="14"/>
          <w:szCs w:val="14"/>
          <w:color w:val="auto"/>
        </w:rPr>
        <w:t>See Annex B for definitions and reconciliations of all non-GAAP financial measures referenced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314960</wp:posOffset>
            </wp:positionV>
            <wp:extent cx="556895"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2025 Target Pay Mix</w:t>
      </w:r>
    </w:p>
    <w:p>
      <w:pPr>
        <w:spacing w:after="0" w:line="11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Our executive compensation philosophy provides our NEOs with the opportunity to earn a significant portion of their compensation in the form of variable incentive compensation (i.e., annual cash incentive awards under our AIP and long-term equity incentive awards under our LTIP), with the remaining portion of their total compensation as their base salary. This emphasis on variable incentive compensation is illustrated in the following pay mix charts:</w:t>
      </w:r>
    </w:p>
    <w:p>
      <w:pPr>
        <w:spacing w:after="0" w:line="246"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b w:val="1"/>
          <w:bCs w:val="1"/>
          <w:color w:val="1A3FD6"/>
        </w:rPr>
        <w:t>2025 CEO</w:t>
      </w:r>
      <w:r>
        <w:rPr>
          <w:rFonts w:ascii="Arial" w:cs="Arial" w:eastAsia="Arial" w:hAnsi="Arial"/>
          <w:sz w:val="21"/>
          <w:szCs w:val="21"/>
          <w:b w:val="1"/>
          <w:bCs w:val="1"/>
          <w:color w:val="1A3FD6"/>
          <w:vertAlign w:val="superscript"/>
        </w:rPr>
        <w:t>(1)</w:t>
      </w:r>
      <w:r>
        <w:rPr>
          <w:sz w:val="20"/>
          <w:szCs w:val="20"/>
          <w:color w:val="auto"/>
        </w:rPr>
        <w:tab/>
      </w:r>
      <w:r>
        <w:rPr>
          <w:rFonts w:ascii="Arial" w:cs="Arial" w:eastAsia="Arial" w:hAnsi="Arial"/>
          <w:sz w:val="16"/>
          <w:szCs w:val="16"/>
          <w:b w:val="1"/>
          <w:bCs w:val="1"/>
          <w:color w:val="1A3FD6"/>
        </w:rPr>
        <w:t>2025 Average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69850</wp:posOffset>
            </wp:positionV>
            <wp:extent cx="1722755" cy="17227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22755" cy="17227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69850</wp:posOffset>
            </wp:positionV>
            <wp:extent cx="1722755" cy="17227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2275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40"/>
        <w:spacing w:after="0"/>
        <w:tabs>
          <w:tab w:leader="none" w:pos="4334" w:val="left"/>
        </w:tabs>
        <w:rPr>
          <w:sz w:val="20"/>
          <w:szCs w:val="20"/>
          <w:color w:val="auto"/>
        </w:rPr>
      </w:pPr>
      <w:r>
        <w:rPr>
          <w:rFonts w:ascii="Arial" w:cs="Arial" w:eastAsia="Arial" w:hAnsi="Arial"/>
          <w:sz w:val="16"/>
          <w:szCs w:val="16"/>
          <w:color w:val="auto"/>
        </w:rPr>
        <w:t>Salary</w:t>
      </w:r>
      <w:r>
        <w:rPr>
          <w:sz w:val="20"/>
          <w:szCs w:val="20"/>
          <w:color w:val="auto"/>
        </w:rPr>
        <w:tab/>
      </w:r>
      <w:r>
        <w:rPr>
          <w:sz w:val="1"/>
          <w:szCs w:val="1"/>
          <w:color w:val="auto"/>
        </w:rPr>
        <w:drawing>
          <wp:inline distT="0" distB="0" distL="0" distR="0">
            <wp:extent cx="76835" cy="7747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16"/>
          <w:szCs w:val="16"/>
          <w:color w:val="auto"/>
        </w:rPr>
        <w:t xml:space="preserve"> Annual Incentive        </w:t>
      </w:r>
      <w:r>
        <w:rPr>
          <w:sz w:val="1"/>
          <w:szCs w:val="1"/>
          <w:color w:val="auto"/>
        </w:rPr>
        <w:drawing>
          <wp:inline distT="0" distB="0" distL="0" distR="0">
            <wp:extent cx="77470" cy="7747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77470"/>
                    </a:xfrm>
                    <a:prstGeom prst="rect">
                      <a:avLst/>
                    </a:prstGeom>
                    <a:noFill/>
                    <a:ln>
                      <a:noFill/>
                    </a:ln>
                  </pic:spPr>
                </pic:pic>
              </a:graphicData>
            </a:graphic>
          </wp:inline>
        </w:drawing>
      </w:r>
      <w:r>
        <w:rPr>
          <w:rFonts w:ascii="Arial" w:cs="Arial" w:eastAsia="Arial" w:hAnsi="Arial"/>
          <w:sz w:val="32"/>
          <w:szCs w:val="32"/>
          <w:color w:val="auto"/>
          <w:vertAlign w:val="superscript"/>
        </w:rPr>
        <w:t xml:space="preserve">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-189865</wp:posOffset>
            </wp:positionV>
            <wp:extent cx="76835" cy="774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30" w:lineRule="exact"/>
        <w:rPr>
          <w:sz w:val="20"/>
          <w:szCs w:val="20"/>
          <w:color w:val="auto"/>
        </w:rPr>
      </w:pPr>
    </w:p>
    <w:p>
      <w:pPr>
        <w:ind w:left="260" w:right="400" w:hanging="252"/>
        <w:spacing w:after="0" w:line="325" w:lineRule="auto"/>
        <w:tabs>
          <w:tab w:leader="none" w:pos="264" w:val="left"/>
        </w:tabs>
        <w:numPr>
          <w:ilvl w:val="0"/>
          <w:numId w:val="75"/>
        </w:numPr>
        <w:rPr>
          <w:rFonts w:ascii="Arial" w:cs="Arial" w:eastAsia="Arial" w:hAnsi="Arial"/>
          <w:sz w:val="9"/>
          <w:szCs w:val="9"/>
          <w:color w:val="auto"/>
        </w:rPr>
      </w:pPr>
      <w:r>
        <w:rPr>
          <w:rFonts w:ascii="Arial" w:cs="Arial" w:eastAsia="Arial" w:hAnsi="Arial"/>
          <w:sz w:val="14"/>
          <w:szCs w:val="14"/>
          <w:color w:val="auto"/>
        </w:rPr>
        <w:t>The chart above does not reflect a special grant of PPOs to Mr. Fernandez on January 31, 2025. See page 80 of this Proxy Statement for additional information on Mr. Fernandez’s special PPO award.</w:t>
      </w:r>
    </w:p>
    <w:p>
      <w:pPr>
        <w:spacing w:after="0" w:line="86"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For fiscal year 2025, 94% of our CEO’s annual regular compensation was variable incentive compensation (excluding the special PPO award) and 88% of the average of our other NEOs’ total compensation was variable incentive compensation.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 Practices</w:t>
      </w:r>
    </w:p>
    <w:p>
      <w:pPr>
        <w:spacing w:after="0" w:line="11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Our executive compensation practices incorporate the following corporate governance best practices that protect the interests of our shareholders and are consistent with high standards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3771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p>
      <w:pPr>
        <w:spacing w:after="0" w:line="388" w:lineRule="exact"/>
        <w:rPr>
          <w:sz w:val="20"/>
          <w:szCs w:val="20"/>
          <w:color w:val="auto"/>
        </w:rPr>
      </w:pPr>
    </w:p>
    <w:p>
      <w:pPr>
        <w:ind w:left="900"/>
        <w:spacing w:after="0"/>
        <w:rPr>
          <w:sz w:val="20"/>
          <w:szCs w:val="20"/>
          <w:color w:val="auto"/>
        </w:rPr>
      </w:pPr>
      <w:r>
        <w:rPr>
          <w:rFonts w:ascii="Arial" w:cs="Arial" w:eastAsia="Arial" w:hAnsi="Arial"/>
          <w:sz w:val="25"/>
          <w:szCs w:val="25"/>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674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Emphasize variable compensation</w:t>
      </w:r>
    </w:p>
    <w:p>
      <w:pPr>
        <w:spacing w:after="0" w:line="13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Provide formula-based annual cash incentive</w:t>
      </w:r>
    </w:p>
    <w:p>
      <w:pPr>
        <w:spacing w:after="0" w:line="136" w:lineRule="exact"/>
        <w:rPr>
          <w:sz w:val="20"/>
          <w:szCs w:val="20"/>
          <w:color w:val="auto"/>
        </w:rPr>
      </w:pPr>
    </w:p>
    <w:p>
      <w:pPr>
        <w:ind w:left="740" w:right="380" w:hanging="16"/>
        <w:spacing w:after="0" w:line="325" w:lineRule="auto"/>
        <w:rPr>
          <w:sz w:val="20"/>
          <w:szCs w:val="20"/>
          <w:color w:val="auto"/>
        </w:rPr>
      </w:pPr>
      <w:r>
        <w:rPr>
          <w:rFonts w:ascii="Arial" w:cs="Arial" w:eastAsia="Arial" w:hAnsi="Arial"/>
          <w:sz w:val="14"/>
          <w:szCs w:val="14"/>
          <w:color w:val="auto"/>
        </w:rPr>
        <w:t>Subject equity awards to rigorous service- and performance-vesting requirements</w:t>
      </w:r>
    </w:p>
    <w:p>
      <w:pPr>
        <w:spacing w:after="0" w:line="50" w:lineRule="exact"/>
        <w:rPr>
          <w:sz w:val="20"/>
          <w:szCs w:val="20"/>
          <w:color w:val="auto"/>
        </w:rPr>
      </w:pPr>
    </w:p>
    <w:p>
      <w:pPr>
        <w:ind w:left="740" w:right="100" w:hanging="16"/>
        <w:spacing w:after="0" w:line="303" w:lineRule="auto"/>
        <w:rPr>
          <w:sz w:val="20"/>
          <w:szCs w:val="20"/>
          <w:color w:val="auto"/>
        </w:rPr>
      </w:pPr>
      <w:r>
        <w:rPr>
          <w:rFonts w:ascii="Arial" w:cs="Arial" w:eastAsia="Arial" w:hAnsi="Arial"/>
          <w:sz w:val="14"/>
          <w:szCs w:val="14"/>
          <w:color w:val="auto"/>
        </w:rPr>
        <w:t>Impose rigorous stock ownership guidelines and requirements on all of our NEOs and other Management Committee members, with guidelines among the highest multiples of base salary in our peer group</w:t>
      </w:r>
    </w:p>
    <w:p>
      <w:pPr>
        <w:spacing w:after="0" w:line="5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12x annual base salary for our CEO</w:t>
      </w:r>
    </w:p>
    <w:p>
      <w:pPr>
        <w:spacing w:after="0" w:line="13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8x annual base salary for other Management Committee members</w:t>
      </w:r>
    </w:p>
    <w:p>
      <w:pPr>
        <w:spacing w:after="0" w:line="136" w:lineRule="exact"/>
        <w:rPr>
          <w:sz w:val="20"/>
          <w:szCs w:val="20"/>
          <w:color w:val="auto"/>
        </w:rPr>
      </w:pPr>
    </w:p>
    <w:p>
      <w:pPr>
        <w:ind w:left="740" w:right="140" w:hanging="16"/>
        <w:spacing w:after="0" w:line="286" w:lineRule="auto"/>
        <w:rPr>
          <w:sz w:val="20"/>
          <w:szCs w:val="20"/>
          <w:color w:val="auto"/>
        </w:rPr>
      </w:pPr>
      <w:r>
        <w:rPr>
          <w:rFonts w:ascii="Arial" w:cs="Arial" w:eastAsia="Arial" w:hAnsi="Arial"/>
          <w:sz w:val="14"/>
          <w:szCs w:val="14"/>
          <w:color w:val="auto"/>
        </w:rPr>
        <w:t>Require members of our Management Committee, including our NEOs, to hold shares equivalent, in the aggregate, to 25% of the net shares they receive (after payment of taxes, exercise price and related costs) from equity awards until they no longer serve on the Management Committee, reflecting MSCI’s deep commitment to an “owner-operator”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7132320" cy="3943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right="360" w:hanging="16"/>
        <w:spacing w:after="0" w:line="296" w:lineRule="auto"/>
        <w:rPr>
          <w:sz w:val="20"/>
          <w:szCs w:val="20"/>
          <w:color w:val="auto"/>
        </w:rPr>
      </w:pPr>
      <w:r>
        <w:rPr>
          <w:rFonts w:ascii="Arial" w:cs="Arial" w:eastAsia="Arial" w:hAnsi="Arial"/>
          <w:sz w:val="14"/>
          <w:szCs w:val="14"/>
          <w:color w:val="auto"/>
        </w:rPr>
        <w:t>Maintain clawback policies for incentive based-compensation (cash and equity) with provisions that both comply with and extend beyond those required under Rule 10D-1, covering a broad range of detrimental conduct and financial restatements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Provide for double-trigger vesting upon a change in control</w:t>
      </w:r>
    </w:p>
    <w:p>
      <w:pPr>
        <w:spacing w:after="0" w:line="136" w:lineRule="exact"/>
        <w:rPr>
          <w:sz w:val="20"/>
          <w:szCs w:val="20"/>
          <w:color w:val="auto"/>
        </w:rPr>
      </w:pPr>
    </w:p>
    <w:p>
      <w:pPr>
        <w:ind w:left="20" w:right="340" w:hanging="16"/>
        <w:spacing w:after="0" w:line="325" w:lineRule="auto"/>
        <w:rPr>
          <w:sz w:val="20"/>
          <w:szCs w:val="20"/>
          <w:color w:val="auto"/>
        </w:rPr>
      </w:pPr>
      <w:r>
        <w:rPr>
          <w:rFonts w:ascii="Arial" w:cs="Arial" w:eastAsia="Arial" w:hAnsi="Arial"/>
          <w:sz w:val="14"/>
          <w:szCs w:val="14"/>
          <w:color w:val="auto"/>
        </w:rPr>
        <w:t>Only pay dividend equivalents on PSUs (and, beginning in 2026, RSUs) if and when the underlying award is earned and vests</w:t>
      </w:r>
    </w:p>
    <w:p>
      <w:pPr>
        <w:spacing w:after="0" w:line="36" w:lineRule="exact"/>
        <w:rPr>
          <w:sz w:val="20"/>
          <w:szCs w:val="20"/>
          <w:color w:val="auto"/>
        </w:rPr>
      </w:pPr>
    </w:p>
    <w:p>
      <w:pPr>
        <w:ind w:left="20" w:right="420" w:hanging="16"/>
        <w:spacing w:after="0" w:line="325" w:lineRule="auto"/>
        <w:rPr>
          <w:sz w:val="20"/>
          <w:szCs w:val="20"/>
          <w:color w:val="auto"/>
        </w:rPr>
      </w:pPr>
      <w:r>
        <w:rPr>
          <w:rFonts w:ascii="Arial" w:cs="Arial" w:eastAsia="Arial" w:hAnsi="Arial"/>
          <w:sz w:val="14"/>
          <w:szCs w:val="14"/>
          <w:color w:val="auto"/>
        </w:rPr>
        <w:t>Make CEO and President’s equity grants entirely in awards tied to performance metrics, to focus on long-term shareholder value creation</w:t>
      </w:r>
    </w:p>
    <w:p>
      <w:pPr>
        <w:spacing w:after="0" w:line="50" w:lineRule="exact"/>
        <w:rPr>
          <w:sz w:val="20"/>
          <w:szCs w:val="20"/>
          <w:color w:val="auto"/>
        </w:rPr>
      </w:pPr>
    </w:p>
    <w:p>
      <w:pPr>
        <w:jc w:val="both"/>
        <w:ind w:left="20" w:right="440" w:hanging="16"/>
        <w:spacing w:after="0" w:line="303" w:lineRule="auto"/>
        <w:rPr>
          <w:sz w:val="20"/>
          <w:szCs w:val="20"/>
          <w:color w:val="auto"/>
        </w:rPr>
      </w:pPr>
      <w:r>
        <w:rPr>
          <w:rFonts w:ascii="Arial" w:cs="Arial" w:eastAsia="Arial" w:hAnsi="Arial"/>
          <w:sz w:val="14"/>
          <w:szCs w:val="14"/>
          <w:color w:val="auto"/>
        </w:rPr>
        <w:t>Retain an independent compensation consultant at the direction of the Compensation Committee to, among other things, further develop an understanding of peer and best practices</w:t>
      </w:r>
    </w:p>
    <w:p>
      <w:pPr>
        <w:spacing w:after="0" w:line="65" w:lineRule="exact"/>
        <w:rPr>
          <w:sz w:val="20"/>
          <w:szCs w:val="20"/>
          <w:color w:val="auto"/>
        </w:rPr>
      </w:pPr>
    </w:p>
    <w:p>
      <w:pPr>
        <w:ind w:left="20" w:right="740" w:hanging="16"/>
        <w:spacing w:after="0" w:line="325" w:lineRule="auto"/>
        <w:rPr>
          <w:sz w:val="20"/>
          <w:szCs w:val="20"/>
          <w:color w:val="auto"/>
        </w:rPr>
      </w:pPr>
      <w:r>
        <w:rPr>
          <w:rFonts w:ascii="Arial" w:cs="Arial" w:eastAsia="Arial" w:hAnsi="Arial"/>
          <w:sz w:val="14"/>
          <w:szCs w:val="14"/>
          <w:color w:val="auto"/>
        </w:rPr>
        <w:t>Incorporate into our AIP program individual goals for all Managing Directors, including our NEOs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Regularly engage with shareholders and incorporate their feedback</w:t>
      </w:r>
    </w:p>
    <w:p>
      <w:pPr>
        <w:spacing w:after="0" w:line="258" w:lineRule="exact"/>
        <w:rPr>
          <w:sz w:val="20"/>
          <w:szCs w:val="20"/>
          <w:color w:val="auto"/>
        </w:rPr>
      </w:pPr>
    </w:p>
    <w:p>
      <w:pPr>
        <w:sectPr>
          <w:pgSz w:w="11900" w:h="16838" w:orient="portrait"/>
          <w:cols w:equalWidth="0" w:num="2">
            <w:col w:w="5400" w:space="720"/>
            <w:col w:w="4920"/>
          </w:cols>
          <w:pgMar w:left="320" w:top="13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24"/>
          <w:szCs w:val="2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1398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Do not provide gross-ups to cover excise taxes</w:t>
      </w:r>
    </w:p>
    <w:p>
      <w:pPr>
        <w:spacing w:after="0" w:line="136" w:lineRule="exact"/>
        <w:rPr>
          <w:sz w:val="20"/>
          <w:szCs w:val="20"/>
          <w:color w:val="auto"/>
        </w:rPr>
      </w:pPr>
    </w:p>
    <w:p>
      <w:pPr>
        <w:ind w:left="740" w:right="120" w:hanging="17"/>
        <w:spacing w:after="0" w:line="296" w:lineRule="auto"/>
        <w:rPr>
          <w:sz w:val="20"/>
          <w:szCs w:val="20"/>
          <w:color w:val="auto"/>
        </w:rPr>
      </w:pPr>
      <w:r>
        <w:rPr>
          <w:rFonts w:ascii="Arial" w:cs="Arial" w:eastAsia="Arial" w:hAnsi="Arial"/>
          <w:sz w:val="14"/>
          <w:szCs w:val="14"/>
          <w:color w:val="auto"/>
        </w:rPr>
        <w:t>Do not allow any directors or employees, including all NEOs, to hedge or pledge our common stock, engage in short sales, purchases or sales of options, puts or calls, as well as derivatives such as swaps, forwards or futures or trade on a short-term basis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530225</wp:posOffset>
            </wp:positionV>
            <wp:extent cx="556895"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600" w:hanging="17"/>
        <w:spacing w:after="0" w:line="325" w:lineRule="auto"/>
        <w:rPr>
          <w:sz w:val="20"/>
          <w:szCs w:val="20"/>
          <w:color w:val="auto"/>
        </w:rPr>
      </w:pPr>
      <w:r>
        <w:rPr>
          <w:rFonts w:ascii="Arial" w:cs="Arial" w:eastAsia="Arial" w:hAnsi="Arial"/>
          <w:sz w:val="14"/>
          <w:szCs w:val="14"/>
          <w:color w:val="auto"/>
        </w:rPr>
        <w:t>Do not allow repricing of options or stock appreciation rights awards without shareholder approval</w:t>
      </w:r>
    </w:p>
    <w:p>
      <w:pPr>
        <w:spacing w:after="0" w:line="50" w:lineRule="exact"/>
        <w:rPr>
          <w:sz w:val="20"/>
          <w:szCs w:val="20"/>
          <w:color w:val="auto"/>
        </w:rPr>
      </w:pPr>
    </w:p>
    <w:p>
      <w:pPr>
        <w:ind w:right="600" w:hanging="17"/>
        <w:spacing w:after="0" w:line="325" w:lineRule="auto"/>
        <w:rPr>
          <w:sz w:val="20"/>
          <w:szCs w:val="20"/>
          <w:color w:val="auto"/>
        </w:rPr>
      </w:pPr>
      <w:r>
        <w:rPr>
          <w:rFonts w:ascii="Arial" w:cs="Arial" w:eastAsia="Arial" w:hAnsi="Arial"/>
          <w:sz w:val="14"/>
          <w:szCs w:val="14"/>
          <w:color w:val="auto"/>
        </w:rPr>
        <w:t>No “liberal” share recycling when shares are tendered or withheld to satisfy tax withholding or as payment of an option exercise price</w:t>
      </w:r>
    </w:p>
    <w:p>
      <w:pPr>
        <w:spacing w:after="0" w:line="369" w:lineRule="exact"/>
        <w:rPr>
          <w:sz w:val="20"/>
          <w:szCs w:val="20"/>
          <w:color w:val="auto"/>
        </w:rPr>
      </w:pPr>
    </w:p>
    <w:p>
      <w:pPr>
        <w:sectPr>
          <w:pgSz w:w="11900" w:h="16838" w:orient="portrait"/>
          <w:cols w:equalWidth="0" w:num="2">
            <w:col w:w="5420" w:space="720"/>
            <w:col w:w="4900"/>
          </w:cols>
          <w:pgMar w:left="320" w:top="130"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 Process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executive compensation program described in this section is the result of a year-long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7020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702056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60" w:right="380" w:hanging="446"/>
        <w:spacing w:after="0" w:line="253" w:lineRule="auto"/>
        <w:tabs>
          <w:tab w:leader="none" w:pos="960" w:val="left"/>
        </w:tabs>
        <w:numPr>
          <w:ilvl w:val="0"/>
          <w:numId w:val="76"/>
        </w:numPr>
        <w:rPr>
          <w:rFonts w:ascii="Webdings" w:cs="Webdings" w:eastAsia="Webdings" w:hAnsi="Webdings"/>
          <w:sz w:val="30"/>
          <w:szCs w:val="30"/>
          <w:b w:val="1"/>
          <w:bCs w:val="1"/>
          <w:color w:val="1A3FD6"/>
          <w:vertAlign w:val="subscript"/>
        </w:rPr>
      </w:pPr>
      <w:r>
        <w:rPr>
          <w:rFonts w:ascii="Arial" w:cs="Arial" w:eastAsia="Arial" w:hAnsi="Arial"/>
          <w:sz w:val="17"/>
          <w:szCs w:val="17"/>
          <w:b w:val="1"/>
          <w:bCs w:val="1"/>
          <w:color w:val="1A3FD6"/>
        </w:rPr>
        <w:t>January/ Early February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right="560" w:hanging="200"/>
        <w:spacing w:after="0" w:line="264" w:lineRule="auto"/>
        <w:tabs>
          <w:tab w:leader="none" w:pos="156" w:val="left"/>
        </w:tabs>
        <w:numPr>
          <w:ilvl w:val="0"/>
          <w:numId w:val="77"/>
        </w:numPr>
        <w:rPr>
          <w:rFonts w:ascii="Arial" w:cs="Arial" w:eastAsia="Arial" w:hAnsi="Arial"/>
          <w:sz w:val="16"/>
          <w:szCs w:val="16"/>
          <w:color w:val="00A798"/>
        </w:rPr>
      </w:pPr>
      <w:r>
        <w:rPr>
          <w:rFonts w:ascii="Arial" w:cs="Arial" w:eastAsia="Arial" w:hAnsi="Arial"/>
          <w:sz w:val="14"/>
          <w:szCs w:val="14"/>
          <w:color w:val="auto"/>
        </w:rPr>
        <w:t>The Compensation Committee reviews and determines the AIP awards for prior-year performance for NEOs based on an assessment of the Company’s achievement of the financial metrics established for the prior year, as well as the executive’s performance against the individual goals portion of the AIP.</w:t>
      </w:r>
    </w:p>
    <w:p>
      <w:pPr>
        <w:spacing w:after="0" w:line="50" w:lineRule="exact"/>
        <w:rPr>
          <w:rFonts w:ascii="Arial" w:cs="Arial" w:eastAsia="Arial" w:hAnsi="Arial"/>
          <w:sz w:val="16"/>
          <w:szCs w:val="16"/>
          <w:color w:val="00A798"/>
        </w:rPr>
      </w:pPr>
    </w:p>
    <w:p>
      <w:pPr>
        <w:ind w:left="200" w:right="580" w:hanging="200"/>
        <w:spacing w:after="0" w:line="263" w:lineRule="auto"/>
        <w:tabs>
          <w:tab w:leader="none" w:pos="156" w:val="left"/>
        </w:tabs>
        <w:numPr>
          <w:ilvl w:val="0"/>
          <w:numId w:val="77"/>
        </w:numPr>
        <w:rPr>
          <w:rFonts w:ascii="Arial" w:cs="Arial" w:eastAsia="Arial" w:hAnsi="Arial"/>
          <w:sz w:val="16"/>
          <w:szCs w:val="16"/>
          <w:color w:val="00A798"/>
        </w:rPr>
      </w:pPr>
      <w:r>
        <w:rPr>
          <w:rFonts w:ascii="Arial" w:cs="Arial" w:eastAsia="Arial" w:hAnsi="Arial"/>
          <w:sz w:val="14"/>
          <w:szCs w:val="14"/>
          <w:color w:val="auto"/>
        </w:rPr>
        <w:t>The CEO makes recommendations to the Compensation Committee on compensation for NEOs (other than his own performance, which is reviewed by the Compensation Committee), and the Compensation Committee takes these recommendations into consideration in reaching its final compensation decisions. When making compensation decisions for our CEO and other NEOs, the Compensation Committee also considers the views of the other independent directors.</w:t>
      </w:r>
    </w:p>
    <w:p>
      <w:pPr>
        <w:spacing w:after="0" w:line="65" w:lineRule="exact"/>
        <w:rPr>
          <w:rFonts w:ascii="Arial" w:cs="Arial" w:eastAsia="Arial" w:hAnsi="Arial"/>
          <w:sz w:val="16"/>
          <w:szCs w:val="16"/>
          <w:color w:val="00A798"/>
        </w:rPr>
      </w:pPr>
    </w:p>
    <w:p>
      <w:pPr>
        <w:ind w:left="160" w:hanging="160"/>
        <w:spacing w:after="0"/>
        <w:tabs>
          <w:tab w:leader="none" w:pos="160" w:val="left"/>
        </w:tabs>
        <w:numPr>
          <w:ilvl w:val="0"/>
          <w:numId w:val="77"/>
        </w:numPr>
        <w:rPr>
          <w:rFonts w:ascii="Arial" w:cs="Arial" w:eastAsia="Arial" w:hAnsi="Arial"/>
          <w:sz w:val="16"/>
          <w:szCs w:val="16"/>
          <w:color w:val="00A798"/>
        </w:rPr>
      </w:pPr>
      <w:r>
        <w:rPr>
          <w:rFonts w:ascii="Arial" w:cs="Arial" w:eastAsia="Arial" w:hAnsi="Arial"/>
          <w:sz w:val="14"/>
          <w:szCs w:val="14"/>
          <w:color w:val="auto"/>
        </w:rPr>
        <w:t>Certify achievement of performance metrics applicable to any equity awards granted in prior years.</w:t>
      </w:r>
    </w:p>
    <w:p>
      <w:pPr>
        <w:spacing w:after="0" w:line="72" w:lineRule="exact"/>
        <w:rPr>
          <w:rFonts w:ascii="Arial" w:cs="Arial" w:eastAsia="Arial" w:hAnsi="Arial"/>
          <w:sz w:val="16"/>
          <w:szCs w:val="16"/>
          <w:color w:val="00A798"/>
        </w:rPr>
      </w:pPr>
    </w:p>
    <w:p>
      <w:pPr>
        <w:ind w:left="200" w:right="800" w:hanging="200"/>
        <w:spacing w:after="0" w:line="291" w:lineRule="auto"/>
        <w:tabs>
          <w:tab w:leader="none" w:pos="156" w:val="left"/>
        </w:tabs>
        <w:numPr>
          <w:ilvl w:val="0"/>
          <w:numId w:val="77"/>
        </w:numPr>
        <w:rPr>
          <w:rFonts w:ascii="Arial" w:cs="Arial" w:eastAsia="Arial" w:hAnsi="Arial"/>
          <w:sz w:val="16"/>
          <w:szCs w:val="16"/>
          <w:color w:val="00A798"/>
        </w:rPr>
      </w:pPr>
      <w:r>
        <w:rPr>
          <w:rFonts w:ascii="Arial" w:cs="Arial" w:eastAsia="Arial" w:hAnsi="Arial"/>
          <w:sz w:val="14"/>
          <w:szCs w:val="14"/>
          <w:color w:val="auto"/>
        </w:rPr>
        <w:t>In most years, establish the AIP structure for the current year, including the applicable AIP financial metrics and target AIP awards for each NEO.</w:t>
      </w:r>
    </w:p>
    <w:p>
      <w:pPr>
        <w:spacing w:after="0" w:line="27" w:lineRule="exact"/>
        <w:rPr>
          <w:rFonts w:ascii="Arial" w:cs="Arial" w:eastAsia="Arial" w:hAnsi="Arial"/>
          <w:sz w:val="16"/>
          <w:szCs w:val="16"/>
          <w:color w:val="00A798"/>
        </w:rPr>
      </w:pPr>
    </w:p>
    <w:p>
      <w:pPr>
        <w:ind w:left="200" w:right="560" w:hanging="200"/>
        <w:spacing w:after="0" w:line="264" w:lineRule="auto"/>
        <w:tabs>
          <w:tab w:leader="none" w:pos="156" w:val="left"/>
        </w:tabs>
        <w:numPr>
          <w:ilvl w:val="0"/>
          <w:numId w:val="77"/>
        </w:numPr>
        <w:rPr>
          <w:rFonts w:ascii="Arial" w:cs="Arial" w:eastAsia="Arial" w:hAnsi="Arial"/>
          <w:sz w:val="16"/>
          <w:szCs w:val="16"/>
          <w:color w:val="00A798"/>
        </w:rPr>
      </w:pPr>
      <w:r>
        <w:rPr>
          <w:rFonts w:ascii="Arial" w:cs="Arial" w:eastAsia="Arial" w:hAnsi="Arial"/>
          <w:sz w:val="14"/>
          <w:szCs w:val="14"/>
          <w:color w:val="auto"/>
        </w:rPr>
        <w:t>Establish the structure and performance metrics applicable to equity awards to be granted under the LTIP for the current year, and grant equity awards based on a number of factors, including the Company’s recent performance, peer analysis and the executive’s individual performance and potential future contributions.</w:t>
      </w:r>
    </w:p>
    <w:p>
      <w:pPr>
        <w:spacing w:after="0" w:line="200" w:lineRule="exact"/>
        <w:rPr>
          <w:sz w:val="20"/>
          <w:szCs w:val="20"/>
          <w:color w:val="auto"/>
        </w:rPr>
      </w:pPr>
    </w:p>
    <w:p>
      <w:pPr>
        <w:sectPr>
          <w:pgSz w:w="11900" w:h="16838" w:orient="portrait"/>
          <w:cols w:equalWidth="0" w:num="2">
            <w:col w:w="2100" w:space="720"/>
            <w:col w:w="84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60" w:hanging="446"/>
        <w:spacing w:after="0"/>
        <w:tabs>
          <w:tab w:leader="none" w:pos="960" w:val="left"/>
        </w:tabs>
        <w:numPr>
          <w:ilvl w:val="0"/>
          <w:numId w:val="78"/>
        </w:numPr>
        <w:rPr>
          <w:rFonts w:ascii="Webdings" w:cs="Webdings" w:eastAsia="Webdings" w:hAnsi="Webdings"/>
          <w:sz w:val="32"/>
          <w:szCs w:val="32"/>
          <w:b w:val="1"/>
          <w:bCs w:val="1"/>
          <w:color w:val="1A3FD6"/>
          <w:vertAlign w:val="subscript"/>
        </w:rPr>
      </w:pPr>
      <w:r>
        <w:rPr>
          <w:rFonts w:ascii="Arial" w:cs="Arial" w:eastAsia="Arial" w:hAnsi="Arial"/>
          <w:sz w:val="18"/>
          <w:szCs w:val="18"/>
          <w:b w:val="1"/>
          <w:bCs w:val="1"/>
          <w:color w:val="1A3FD6"/>
        </w:rPr>
        <w:t>March</w:t>
      </w:r>
    </w:p>
    <w:p>
      <w:pPr>
        <w:spacing w:after="0" w:line="200" w:lineRule="exact"/>
        <w:rPr>
          <w:rFonts w:ascii="Webdings" w:cs="Webdings" w:eastAsia="Webdings" w:hAnsi="Webdings"/>
          <w:sz w:val="32"/>
          <w:szCs w:val="32"/>
          <w:b w:val="1"/>
          <w:bCs w:val="1"/>
          <w:color w:val="1A3FD6"/>
          <w:vertAlign w:val="subscript"/>
        </w:rPr>
      </w:pPr>
    </w:p>
    <w:p>
      <w:pPr>
        <w:spacing w:after="0" w:line="262" w:lineRule="exact"/>
        <w:rPr>
          <w:rFonts w:ascii="Webdings" w:cs="Webdings" w:eastAsia="Webdings" w:hAnsi="Webdings"/>
          <w:sz w:val="32"/>
          <w:szCs w:val="32"/>
          <w:b w:val="1"/>
          <w:bCs w:val="1"/>
          <w:color w:val="1A3FD6"/>
          <w:vertAlign w:val="subscript"/>
        </w:rPr>
      </w:pPr>
    </w:p>
    <w:p>
      <w:pPr>
        <w:ind w:left="960" w:hanging="446"/>
        <w:spacing w:after="0"/>
        <w:tabs>
          <w:tab w:leader="none" w:pos="960" w:val="left"/>
        </w:tabs>
        <w:numPr>
          <w:ilvl w:val="0"/>
          <w:numId w:val="78"/>
        </w:numPr>
        <w:rPr>
          <w:rFonts w:ascii="Webdings" w:cs="Webdings" w:eastAsia="Webdings" w:hAnsi="Webdings"/>
          <w:sz w:val="32"/>
          <w:szCs w:val="32"/>
          <w:b w:val="1"/>
          <w:bCs w:val="1"/>
          <w:color w:val="1A3FD6"/>
          <w:vertAlign w:val="subscript"/>
        </w:rPr>
      </w:pPr>
      <w:r>
        <w:rPr>
          <w:rFonts w:ascii="Arial" w:cs="Arial" w:eastAsia="Arial" w:hAnsi="Arial"/>
          <w:sz w:val="18"/>
          <w:szCs w:val="18"/>
          <w:b w:val="1"/>
          <w:bCs w:val="1"/>
          <w:color w:val="1A3FD6"/>
        </w:rPr>
        <w:t>April</w:t>
      </w:r>
    </w:p>
    <w:p>
      <w:pPr>
        <w:spacing w:after="0" w:line="200" w:lineRule="exact"/>
        <w:rPr>
          <w:rFonts w:ascii="Webdings" w:cs="Webdings" w:eastAsia="Webdings" w:hAnsi="Webdings"/>
          <w:sz w:val="32"/>
          <w:szCs w:val="32"/>
          <w:b w:val="1"/>
          <w:bCs w:val="1"/>
          <w:color w:val="1A3FD6"/>
          <w:vertAlign w:val="subscript"/>
        </w:rPr>
      </w:pPr>
    </w:p>
    <w:p>
      <w:pPr>
        <w:spacing w:after="0" w:line="200" w:lineRule="exact"/>
        <w:rPr>
          <w:rFonts w:ascii="Webdings" w:cs="Webdings" w:eastAsia="Webdings" w:hAnsi="Webdings"/>
          <w:sz w:val="32"/>
          <w:szCs w:val="32"/>
          <w:b w:val="1"/>
          <w:bCs w:val="1"/>
          <w:color w:val="1A3FD6"/>
          <w:vertAlign w:val="subscript"/>
        </w:rPr>
      </w:pPr>
    </w:p>
    <w:p>
      <w:pPr>
        <w:spacing w:after="0" w:line="352" w:lineRule="exact"/>
        <w:rPr>
          <w:rFonts w:ascii="Webdings" w:cs="Webdings" w:eastAsia="Webdings" w:hAnsi="Webdings"/>
          <w:sz w:val="32"/>
          <w:szCs w:val="32"/>
          <w:b w:val="1"/>
          <w:bCs w:val="1"/>
          <w:color w:val="1A3FD6"/>
          <w:vertAlign w:val="subscript"/>
        </w:rPr>
      </w:pPr>
    </w:p>
    <w:p>
      <w:pPr>
        <w:ind w:left="960" w:right="460" w:hanging="446"/>
        <w:spacing w:after="0" w:line="237" w:lineRule="auto"/>
        <w:tabs>
          <w:tab w:leader="none" w:pos="960" w:val="left"/>
        </w:tabs>
        <w:numPr>
          <w:ilvl w:val="0"/>
          <w:numId w:val="78"/>
        </w:numPr>
        <w:rPr>
          <w:rFonts w:ascii="Webdings" w:cs="Webdings" w:eastAsia="Webdings" w:hAnsi="Webdings"/>
          <w:sz w:val="30"/>
          <w:szCs w:val="30"/>
          <w:b w:val="1"/>
          <w:bCs w:val="1"/>
          <w:color w:val="1A3FD6"/>
          <w:vertAlign w:val="subscript"/>
        </w:rPr>
      </w:pPr>
      <w:r>
        <w:rPr>
          <w:rFonts w:ascii="Arial" w:cs="Arial" w:eastAsia="Arial" w:hAnsi="Arial"/>
          <w:sz w:val="17"/>
          <w:szCs w:val="17"/>
          <w:b w:val="1"/>
          <w:bCs w:val="1"/>
          <w:color w:val="1A3FD6"/>
        </w:rPr>
        <w:t>July to October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Consider risks arising from the Company’s incentive compensation plans.</w:t>
      </w:r>
    </w:p>
    <w:p>
      <w:pPr>
        <w:spacing w:after="0" w:line="4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investor areas of focus.</w:t>
      </w:r>
    </w:p>
    <w:p>
      <w:pPr>
        <w:spacing w:after="0" w:line="369"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Say-on-Pay voting recommendations from proxy advisors and the shareholder vote at our annual meeting.</w:t>
      </w:r>
    </w:p>
    <w:p>
      <w:pPr>
        <w:spacing w:after="0" w:line="4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and approve the individual goals for the AIP.</w:t>
      </w:r>
    </w:p>
    <w:p>
      <w:pPr>
        <w:spacing w:after="0" w:line="200" w:lineRule="exact"/>
        <w:rPr>
          <w:rFonts w:ascii="Arial" w:cs="Arial" w:eastAsia="Arial" w:hAnsi="Arial"/>
          <w:sz w:val="16"/>
          <w:szCs w:val="16"/>
          <w:color w:val="00A798"/>
        </w:rPr>
      </w:pPr>
    </w:p>
    <w:p>
      <w:pPr>
        <w:spacing w:after="0" w:line="38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our performance culture.</w:t>
      </w:r>
    </w:p>
    <w:p>
      <w:pPr>
        <w:spacing w:after="0" w:line="4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senior management fit for role and potential successors.</w:t>
      </w:r>
    </w:p>
    <w:p>
      <w:pPr>
        <w:spacing w:after="0" w:line="4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peer group.</w:t>
      </w:r>
    </w:p>
    <w:p>
      <w:pPr>
        <w:spacing w:after="0" w:line="4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Compensation consultant reports on compensation practices and trends in the industry.</w:t>
      </w:r>
    </w:p>
    <w:p>
      <w:pPr>
        <w:spacing w:after="0" w:line="45" w:lineRule="exact"/>
        <w:rPr>
          <w:rFonts w:ascii="Arial" w:cs="Arial" w:eastAsia="Arial" w:hAnsi="Arial"/>
          <w:sz w:val="16"/>
          <w:szCs w:val="16"/>
          <w:color w:val="00A798"/>
        </w:rPr>
      </w:pPr>
    </w:p>
    <w:p>
      <w:pPr>
        <w:ind w:left="160" w:hanging="160"/>
        <w:spacing w:after="0"/>
        <w:tabs>
          <w:tab w:leader="none" w:pos="160" w:val="left"/>
        </w:tabs>
        <w:numPr>
          <w:ilvl w:val="0"/>
          <w:numId w:val="79"/>
        </w:numPr>
        <w:rPr>
          <w:rFonts w:ascii="Arial" w:cs="Arial" w:eastAsia="Arial" w:hAnsi="Arial"/>
          <w:sz w:val="16"/>
          <w:szCs w:val="16"/>
          <w:color w:val="00A798"/>
        </w:rPr>
      </w:pPr>
      <w:r>
        <w:rPr>
          <w:rFonts w:ascii="Arial" w:cs="Arial" w:eastAsia="Arial" w:hAnsi="Arial"/>
          <w:sz w:val="14"/>
          <w:szCs w:val="14"/>
          <w:color w:val="auto"/>
        </w:rPr>
        <w:t>Review design of next year’s executive compensation programs.</w:t>
      </w:r>
    </w:p>
    <w:p>
      <w:pPr>
        <w:spacing w:after="0" w:line="109" w:lineRule="exact"/>
        <w:rPr>
          <w:sz w:val="20"/>
          <w:szCs w:val="20"/>
          <w:color w:val="auto"/>
        </w:rPr>
      </w:pPr>
    </w:p>
    <w:p>
      <w:pPr>
        <w:sectPr>
          <w:pgSz w:w="11900" w:h="16838" w:orient="portrait"/>
          <w:cols w:equalWidth="0" w:num="2">
            <w:col w:w="2100" w:space="720"/>
            <w:col w:w="8420"/>
          </w:cols>
          <w:pgMar w:left="320" w:top="130" w:right="339" w:bottom="1440" w:gutter="0" w:footer="0" w:header="0"/>
          <w:type w:val="continuous"/>
        </w:sectPr>
      </w:pPr>
    </w:p>
    <w:tbl>
      <w:tblPr>
        <w:tblLayout w:type="fixed"/>
        <w:tblInd w:w="260" w:type="dxa"/>
        <w:tblCellMar>
          <w:top w:w="0" w:type="dxa"/>
          <w:left w:w="0" w:type="dxa"/>
          <w:bottom w:w="0" w:type="dxa"/>
          <w:right w:w="0" w:type="dxa"/>
        </w:tblCellMar>
      </w:tblPr>
      <w:tr>
        <w:trPr>
          <w:trHeight w:val="129"/>
        </w:trPr>
        <w:tc>
          <w:tcPr>
            <w:tcW w:w="340" w:type="dxa"/>
            <w:vAlign w:val="bottom"/>
            <w:tcBorders>
              <w:right w:val="single" w:sz="8" w:color="F6F6F6"/>
            </w:tcBorders>
          </w:tcPr>
          <w:p>
            <w:pPr>
              <w:spacing w:after="0"/>
              <w:rPr>
                <w:sz w:val="11"/>
                <w:szCs w:val="11"/>
                <w:color w:val="auto"/>
              </w:rPr>
            </w:pPr>
          </w:p>
        </w:tc>
        <w:tc>
          <w:tcPr>
            <w:tcW w:w="340" w:type="dxa"/>
            <w:vAlign w:val="bottom"/>
            <w:tcBorders>
              <w:bottom w:val="single" w:sz="8" w:color="F6F6F6"/>
            </w:tcBorders>
            <w:shd w:val="clear" w:color="auto" w:fill="F6F6F6"/>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Borders>
              <w:bottom w:val="single" w:sz="8" w:color="F6F6F6"/>
            </w:tcBorders>
          </w:tcPr>
          <w:p>
            <w:pPr>
              <w:spacing w:after="0"/>
              <w:rPr>
                <w:sz w:val="11"/>
                <w:szCs w:val="11"/>
                <w:color w:val="auto"/>
              </w:rPr>
            </w:pPr>
          </w:p>
        </w:tc>
        <w:tc>
          <w:tcPr>
            <w:tcW w:w="8060" w:type="dxa"/>
            <w:vAlign w:val="bottom"/>
            <w:tcBorders>
              <w:bottom w:val="single" w:sz="8" w:color="F6F6F6"/>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 w:type="dxa"/>
            <w:vAlign w:val="bottom"/>
            <w:tcBorders>
              <w:right w:val="single" w:sz="8" w:color="F6F6F6"/>
            </w:tcBorders>
          </w:tcPr>
          <w:p>
            <w:pPr>
              <w:spacing w:after="0"/>
              <w:rPr>
                <w:sz w:val="12"/>
                <w:szCs w:val="12"/>
                <w:color w:val="auto"/>
              </w:rPr>
            </w:pPr>
          </w:p>
        </w:tc>
        <w:tc>
          <w:tcPr>
            <w:tcW w:w="340" w:type="dxa"/>
            <w:vAlign w:val="bottom"/>
            <w:shd w:val="clear" w:color="auto" w:fill="F6F6F6"/>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1A3FD6"/>
              </w:rPr>
              <w:t>November</w:t>
            </w:r>
          </w:p>
        </w:tc>
        <w:tc>
          <w:tcPr>
            <w:tcW w:w="280" w:type="dxa"/>
            <w:vAlign w:val="bottom"/>
            <w:vMerge w:val="restart"/>
          </w:tcPr>
          <w:p>
            <w:pPr>
              <w:ind w:left="180"/>
              <w:spacing w:after="0"/>
              <w:rPr>
                <w:sz w:val="20"/>
                <w:szCs w:val="20"/>
                <w:color w:val="auto"/>
              </w:rPr>
            </w:pPr>
            <w:r>
              <w:rPr>
                <w:rFonts w:ascii="Arial" w:cs="Arial" w:eastAsia="Arial" w:hAnsi="Arial"/>
                <w:sz w:val="16"/>
                <w:szCs w:val="16"/>
                <w:color w:val="00A798"/>
              </w:rPr>
              <w:t>•</w:t>
            </w:r>
          </w:p>
        </w:tc>
        <w:tc>
          <w:tcPr>
            <w:tcW w:w="8060" w:type="dxa"/>
            <w:vAlign w:val="bottom"/>
            <w:vMerge w:val="restart"/>
          </w:tcPr>
          <w:p>
            <w:pPr>
              <w:ind w:left="60"/>
              <w:spacing w:after="0"/>
              <w:rPr>
                <w:sz w:val="20"/>
                <w:szCs w:val="20"/>
                <w:color w:val="auto"/>
              </w:rPr>
            </w:pPr>
            <w:r>
              <w:rPr>
                <w:rFonts w:ascii="Arial" w:cs="Arial" w:eastAsia="Arial" w:hAnsi="Arial"/>
                <w:sz w:val="14"/>
                <w:szCs w:val="14"/>
                <w:color w:val="auto"/>
              </w:rPr>
              <w:t>Meet with shareholders to discuss our executive compensation practices and policies and collect feedback.</w:t>
            </w:r>
          </w:p>
        </w:tc>
        <w:tc>
          <w:tcPr>
            <w:tcW w:w="0" w:type="dxa"/>
            <w:vAlign w:val="bottom"/>
          </w:tcPr>
          <w:p>
            <w:pPr>
              <w:spacing w:after="0"/>
              <w:rPr>
                <w:sz w:val="1"/>
                <w:szCs w:val="1"/>
                <w:color w:val="auto"/>
              </w:rPr>
            </w:pPr>
          </w:p>
        </w:tc>
      </w:tr>
      <w:tr>
        <w:trPr>
          <w:trHeight w:val="215"/>
        </w:trPr>
        <w:tc>
          <w:tcPr>
            <w:tcW w:w="680" w:type="dxa"/>
            <w:vAlign w:val="bottom"/>
            <w:gridSpan w:val="2"/>
            <w:shd w:val="clear" w:color="auto" w:fill="F6F6F6"/>
          </w:tcPr>
          <w:p>
            <w:pPr>
              <w:ind w:left="260"/>
              <w:spacing w:after="0"/>
              <w:rPr>
                <w:sz w:val="20"/>
                <w:szCs w:val="20"/>
                <w:color w:val="auto"/>
              </w:rPr>
            </w:pPr>
            <w:r>
              <w:rPr>
                <w:rFonts w:ascii="Webdings" w:cs="Webdings" w:eastAsia="Webdings" w:hAnsi="Webdings"/>
                <w:sz w:val="16"/>
                <w:szCs w:val="16"/>
                <w:b w:val="1"/>
                <w:bCs w:val="1"/>
                <w:color w:val="1A3FD6"/>
              </w:rPr>
              <w:t>n</w:t>
            </w:r>
          </w:p>
        </w:tc>
        <w:tc>
          <w:tcPr>
            <w:tcW w:w="17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40" w:type="dxa"/>
            <w:vAlign w:val="bottom"/>
            <w:tcBorders>
              <w:right w:val="single" w:sz="8" w:color="F6F6F6"/>
            </w:tcBorders>
            <w:shd w:val="clear" w:color="auto" w:fill="F6F6F6"/>
          </w:tcPr>
          <w:p>
            <w:pPr>
              <w:spacing w:after="0"/>
              <w:rPr>
                <w:sz w:val="4"/>
                <w:szCs w:val="4"/>
                <w:color w:val="auto"/>
              </w:rPr>
            </w:pPr>
          </w:p>
        </w:tc>
        <w:tc>
          <w:tcPr>
            <w:tcW w:w="340" w:type="dxa"/>
            <w:vAlign w:val="bottom"/>
            <w:shd w:val="clear" w:color="auto" w:fill="F6F6F6"/>
          </w:tcPr>
          <w:p>
            <w:pPr>
              <w:spacing w:after="0"/>
              <w:rPr>
                <w:sz w:val="4"/>
                <w:szCs w:val="4"/>
                <w:color w:val="auto"/>
              </w:rPr>
            </w:pPr>
          </w:p>
        </w:tc>
        <w:tc>
          <w:tcPr>
            <w:tcW w:w="1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40" w:type="dxa"/>
            <w:vAlign w:val="bottom"/>
            <w:tcBorders>
              <w:bottom w:val="single" w:sz="8" w:color="F6F6F6"/>
              <w:right w:val="single" w:sz="8" w:color="auto"/>
            </w:tcBorders>
            <w:shd w:val="clear" w:color="auto" w:fill="F6F6F6"/>
          </w:tcPr>
          <w:p>
            <w:pPr>
              <w:spacing w:after="0"/>
              <w:rPr>
                <w:sz w:val="24"/>
                <w:szCs w:val="24"/>
                <w:color w:val="auto"/>
              </w:rPr>
            </w:pPr>
          </w:p>
        </w:tc>
        <w:tc>
          <w:tcPr>
            <w:tcW w:w="340" w:type="dxa"/>
            <w:vAlign w:val="bottom"/>
            <w:tcBorders>
              <w:bottom w:val="single" w:sz="8" w:color="F6F6F6"/>
            </w:tcBorders>
            <w:shd w:val="clear" w:color="auto" w:fill="F6F6F6"/>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Borders>
              <w:bottom w:val="single" w:sz="8" w:color="F6F6F6"/>
            </w:tcBorders>
          </w:tcPr>
          <w:p>
            <w:pPr>
              <w:spacing w:after="0"/>
              <w:rPr>
                <w:sz w:val="24"/>
                <w:szCs w:val="24"/>
                <w:color w:val="auto"/>
              </w:rPr>
            </w:pPr>
          </w:p>
        </w:tc>
        <w:tc>
          <w:tcPr>
            <w:tcW w:w="8060" w:type="dxa"/>
            <w:vAlign w:val="bottom"/>
            <w:tcBorders>
              <w:bottom w:val="single" w:sz="8" w:color="F6F6F6"/>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Borders>
              <w:right w:val="single" w:sz="8" w:color="auto"/>
            </w:tcBorders>
            <w:shd w:val="clear" w:color="auto" w:fill="F6F6F6"/>
          </w:tcPr>
          <w:p>
            <w:pPr>
              <w:spacing w:after="0"/>
              <w:rPr>
                <w:sz w:val="12"/>
                <w:szCs w:val="12"/>
                <w:color w:val="auto"/>
              </w:rPr>
            </w:pPr>
          </w:p>
        </w:tc>
        <w:tc>
          <w:tcPr>
            <w:tcW w:w="340" w:type="dxa"/>
            <w:vAlign w:val="bottom"/>
            <w:shd w:val="clear" w:color="auto" w:fill="F6F6F6"/>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1A3FD6"/>
              </w:rPr>
              <w:t>December</w:t>
            </w:r>
          </w:p>
        </w:tc>
        <w:tc>
          <w:tcPr>
            <w:tcW w:w="280" w:type="dxa"/>
            <w:vAlign w:val="bottom"/>
            <w:vMerge w:val="restart"/>
          </w:tcPr>
          <w:p>
            <w:pPr>
              <w:ind w:left="180"/>
              <w:spacing w:after="0"/>
              <w:rPr>
                <w:sz w:val="20"/>
                <w:szCs w:val="20"/>
                <w:color w:val="auto"/>
              </w:rPr>
            </w:pPr>
            <w:r>
              <w:rPr>
                <w:rFonts w:ascii="Arial" w:cs="Arial" w:eastAsia="Arial" w:hAnsi="Arial"/>
                <w:sz w:val="16"/>
                <w:szCs w:val="16"/>
                <w:color w:val="00A798"/>
              </w:rPr>
              <w:t>•</w:t>
            </w:r>
          </w:p>
        </w:tc>
        <w:tc>
          <w:tcPr>
            <w:tcW w:w="8060" w:type="dxa"/>
            <w:vAlign w:val="bottom"/>
            <w:vMerge w:val="restart"/>
          </w:tcPr>
          <w:p>
            <w:pPr>
              <w:ind w:left="60"/>
              <w:spacing w:after="0"/>
              <w:rPr>
                <w:sz w:val="20"/>
                <w:szCs w:val="20"/>
                <w:color w:val="auto"/>
              </w:rPr>
            </w:pPr>
            <w:r>
              <w:rPr>
                <w:rFonts w:ascii="Arial" w:cs="Arial" w:eastAsia="Arial" w:hAnsi="Arial"/>
                <w:sz w:val="14"/>
                <w:szCs w:val="14"/>
                <w:color w:val="auto"/>
              </w:rPr>
              <w:t>Finalize design of executive compensation program for upcoming year and review preliminary recommendations for</w:t>
            </w:r>
          </w:p>
        </w:tc>
        <w:tc>
          <w:tcPr>
            <w:tcW w:w="0" w:type="dxa"/>
            <w:vAlign w:val="bottom"/>
          </w:tcPr>
          <w:p>
            <w:pPr>
              <w:spacing w:after="0"/>
              <w:rPr>
                <w:sz w:val="1"/>
                <w:szCs w:val="1"/>
                <w:color w:val="auto"/>
              </w:rPr>
            </w:pPr>
          </w:p>
        </w:tc>
      </w:tr>
      <w:tr>
        <w:trPr>
          <w:trHeight w:val="175"/>
        </w:trPr>
        <w:tc>
          <w:tcPr>
            <w:tcW w:w="680" w:type="dxa"/>
            <w:vAlign w:val="bottom"/>
            <w:gridSpan w:val="2"/>
            <w:shd w:val="clear" w:color="auto" w:fill="F6F6F6"/>
          </w:tcPr>
          <w:p>
            <w:pPr>
              <w:ind w:left="260"/>
              <w:spacing w:after="0"/>
              <w:rPr>
                <w:sz w:val="20"/>
                <w:szCs w:val="20"/>
                <w:color w:val="auto"/>
              </w:rPr>
            </w:pPr>
            <w:r>
              <w:rPr>
                <w:rFonts w:ascii="Webdings" w:cs="Webdings" w:eastAsia="Webdings" w:hAnsi="Webdings"/>
                <w:sz w:val="16"/>
                <w:szCs w:val="16"/>
                <w:b w:val="1"/>
                <w:bCs w:val="1"/>
                <w:color w:val="1A3FD6"/>
              </w:rPr>
              <w:t>n</w:t>
            </w:r>
          </w:p>
        </w:tc>
        <w:tc>
          <w:tcPr>
            <w:tcW w:w="17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0" w:type="dxa"/>
            <w:vAlign w:val="bottom"/>
            <w:tcBorders>
              <w:right w:val="single" w:sz="8" w:color="F6F6F6"/>
            </w:tcBorders>
            <w:shd w:val="clear" w:color="auto" w:fill="F6F6F6"/>
          </w:tcPr>
          <w:p>
            <w:pPr>
              <w:spacing w:after="0"/>
              <w:rPr>
                <w:sz w:val="8"/>
                <w:szCs w:val="8"/>
                <w:color w:val="auto"/>
              </w:rPr>
            </w:pPr>
          </w:p>
        </w:tc>
        <w:tc>
          <w:tcPr>
            <w:tcW w:w="340" w:type="dxa"/>
            <w:vAlign w:val="bottom"/>
            <w:shd w:val="clear" w:color="auto" w:fill="F6F6F6"/>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60" w:type="dxa"/>
            <w:vAlign w:val="bottom"/>
            <w:vMerge w:val="restart"/>
          </w:tcPr>
          <w:p>
            <w:pPr>
              <w:ind w:left="100"/>
              <w:spacing w:after="0"/>
              <w:rPr>
                <w:sz w:val="20"/>
                <w:szCs w:val="20"/>
                <w:color w:val="auto"/>
              </w:rPr>
            </w:pPr>
            <w:r>
              <w:rPr>
                <w:rFonts w:ascii="Arial" w:cs="Arial" w:eastAsia="Arial" w:hAnsi="Arial"/>
                <w:sz w:val="14"/>
                <w:szCs w:val="14"/>
                <w:color w:val="auto"/>
              </w:rPr>
              <w:t>actual and target levels of compensation.</w:t>
            </w:r>
          </w:p>
        </w:tc>
        <w:tc>
          <w:tcPr>
            <w:tcW w:w="0" w:type="dxa"/>
            <w:vAlign w:val="bottom"/>
          </w:tcPr>
          <w:p>
            <w:pPr>
              <w:spacing w:after="0"/>
              <w:rPr>
                <w:sz w:val="1"/>
                <w:szCs w:val="1"/>
                <w:color w:val="auto"/>
              </w:rPr>
            </w:pPr>
          </w:p>
        </w:tc>
      </w:tr>
      <w:tr>
        <w:trPr>
          <w:trHeight w:val="96"/>
        </w:trPr>
        <w:tc>
          <w:tcPr>
            <w:tcW w:w="340" w:type="dxa"/>
            <w:vAlign w:val="bottom"/>
            <w:tcBorders>
              <w:right w:val="single" w:sz="8" w:color="auto"/>
            </w:tcBorders>
            <w:shd w:val="clear" w:color="auto" w:fill="F6F6F6"/>
          </w:tcPr>
          <w:p>
            <w:pPr>
              <w:spacing w:after="0"/>
              <w:rPr>
                <w:sz w:val="8"/>
                <w:szCs w:val="8"/>
                <w:color w:val="auto"/>
              </w:rPr>
            </w:pPr>
          </w:p>
        </w:tc>
        <w:tc>
          <w:tcPr>
            <w:tcW w:w="340" w:type="dxa"/>
            <w:vAlign w:val="bottom"/>
            <w:shd w:val="clear" w:color="auto" w:fill="F6F6F6"/>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40" w:type="dxa"/>
            <w:vAlign w:val="bottom"/>
            <w:tcBorders>
              <w:bottom w:val="single" w:sz="8" w:color="F6F6F6"/>
              <w:right w:val="single" w:sz="8" w:color="auto"/>
            </w:tcBorders>
            <w:shd w:val="clear" w:color="auto" w:fill="F6F6F6"/>
          </w:tcPr>
          <w:p>
            <w:pPr>
              <w:spacing w:after="0"/>
              <w:rPr>
                <w:sz w:val="21"/>
                <w:szCs w:val="21"/>
                <w:color w:val="auto"/>
              </w:rPr>
            </w:pPr>
          </w:p>
        </w:tc>
        <w:tc>
          <w:tcPr>
            <w:tcW w:w="340" w:type="dxa"/>
            <w:vAlign w:val="bottom"/>
            <w:tcBorders>
              <w:bottom w:val="single" w:sz="8" w:color="F6F6F6"/>
            </w:tcBorders>
            <w:shd w:val="clear" w:color="auto" w:fill="F6F6F6"/>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Borders>
              <w:bottom w:val="single" w:sz="8" w:color="F6F6F6"/>
            </w:tcBorders>
          </w:tcPr>
          <w:p>
            <w:pPr>
              <w:spacing w:after="0"/>
              <w:rPr>
                <w:sz w:val="21"/>
                <w:szCs w:val="21"/>
                <w:color w:val="auto"/>
              </w:rPr>
            </w:pPr>
          </w:p>
        </w:tc>
        <w:tc>
          <w:tcPr>
            <w:tcW w:w="8060" w:type="dxa"/>
            <w:vAlign w:val="bottom"/>
            <w:tcBorders>
              <w:bottom w:val="single" w:sz="8" w:color="F6F6F6"/>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340" w:type="dxa"/>
            <w:vAlign w:val="bottom"/>
            <w:tcBorders>
              <w:right w:val="single" w:sz="8" w:color="auto"/>
            </w:tcBorders>
            <w:shd w:val="clear" w:color="auto" w:fill="F6F6F6"/>
          </w:tcPr>
          <w:p>
            <w:pPr>
              <w:spacing w:after="0"/>
              <w:rPr>
                <w:sz w:val="12"/>
                <w:szCs w:val="12"/>
                <w:color w:val="auto"/>
              </w:rPr>
            </w:pPr>
          </w:p>
        </w:tc>
        <w:tc>
          <w:tcPr>
            <w:tcW w:w="340" w:type="dxa"/>
            <w:vAlign w:val="bottom"/>
            <w:shd w:val="clear" w:color="auto" w:fill="F6F6F6"/>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8"/>
                <w:szCs w:val="18"/>
                <w:b w:val="1"/>
                <w:bCs w:val="1"/>
                <w:color w:val="1A3FD6"/>
              </w:rPr>
              <w:t>Ongoing</w:t>
            </w:r>
          </w:p>
        </w:tc>
        <w:tc>
          <w:tcPr>
            <w:tcW w:w="280" w:type="dxa"/>
            <w:vAlign w:val="bottom"/>
            <w:vMerge w:val="restart"/>
          </w:tcPr>
          <w:p>
            <w:pPr>
              <w:ind w:left="180"/>
              <w:spacing w:after="0"/>
              <w:rPr>
                <w:sz w:val="20"/>
                <w:szCs w:val="20"/>
                <w:color w:val="auto"/>
              </w:rPr>
            </w:pPr>
            <w:r>
              <w:rPr>
                <w:rFonts w:ascii="Arial" w:cs="Arial" w:eastAsia="Arial" w:hAnsi="Arial"/>
                <w:sz w:val="16"/>
                <w:szCs w:val="16"/>
                <w:color w:val="00A798"/>
              </w:rPr>
              <w:t>•</w:t>
            </w:r>
          </w:p>
        </w:tc>
        <w:tc>
          <w:tcPr>
            <w:tcW w:w="8060" w:type="dxa"/>
            <w:vAlign w:val="bottom"/>
            <w:vMerge w:val="restart"/>
          </w:tcPr>
          <w:p>
            <w:pPr>
              <w:ind w:left="60"/>
              <w:spacing w:after="0"/>
              <w:rPr>
                <w:sz w:val="20"/>
                <w:szCs w:val="20"/>
                <w:color w:val="auto"/>
              </w:rPr>
            </w:pPr>
            <w:r>
              <w:rPr>
                <w:rFonts w:ascii="Arial" w:cs="Arial" w:eastAsia="Arial" w:hAnsi="Arial"/>
                <w:sz w:val="14"/>
                <w:szCs w:val="14"/>
                <w:color w:val="auto"/>
              </w:rPr>
              <w:t>Management provides feedback from shareholder outreach regarding our executive compensation program.</w:t>
            </w:r>
          </w:p>
        </w:tc>
        <w:tc>
          <w:tcPr>
            <w:tcW w:w="0" w:type="dxa"/>
            <w:vAlign w:val="bottom"/>
          </w:tcPr>
          <w:p>
            <w:pPr>
              <w:spacing w:after="0"/>
              <w:rPr>
                <w:sz w:val="1"/>
                <w:szCs w:val="1"/>
                <w:color w:val="auto"/>
              </w:rPr>
            </w:pPr>
          </w:p>
        </w:tc>
      </w:tr>
      <w:tr>
        <w:trPr>
          <w:trHeight w:val="188"/>
        </w:trPr>
        <w:tc>
          <w:tcPr>
            <w:tcW w:w="680" w:type="dxa"/>
            <w:vAlign w:val="bottom"/>
            <w:gridSpan w:val="2"/>
            <w:shd w:val="clear" w:color="auto" w:fill="F6F6F6"/>
          </w:tcPr>
          <w:p>
            <w:pPr>
              <w:ind w:left="260"/>
              <w:spacing w:after="0"/>
              <w:rPr>
                <w:sz w:val="20"/>
                <w:szCs w:val="20"/>
                <w:color w:val="auto"/>
              </w:rPr>
            </w:pPr>
            <w:r>
              <w:rPr>
                <w:rFonts w:ascii="Webdings" w:cs="Webdings" w:eastAsia="Webdings" w:hAnsi="Webdings"/>
                <w:sz w:val="16"/>
                <w:szCs w:val="16"/>
                <w:b w:val="1"/>
                <w:bCs w:val="1"/>
                <w:color w:val="1A3FD6"/>
              </w:rPr>
              <w:t>n</w:t>
            </w:r>
          </w:p>
        </w:tc>
        <w:tc>
          <w:tcPr>
            <w:tcW w:w="17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340" w:type="dxa"/>
            <w:vAlign w:val="bottom"/>
            <w:tcBorders>
              <w:right w:val="single" w:sz="8" w:color="F6F6F6"/>
            </w:tcBorders>
            <w:shd w:val="clear" w:color="auto" w:fill="F6F6F6"/>
          </w:tcPr>
          <w:p>
            <w:pPr>
              <w:spacing w:after="0"/>
              <w:rPr>
                <w:sz w:val="7"/>
                <w:szCs w:val="7"/>
                <w:color w:val="auto"/>
              </w:rPr>
            </w:pPr>
          </w:p>
        </w:tc>
        <w:tc>
          <w:tcPr>
            <w:tcW w:w="340" w:type="dxa"/>
            <w:vAlign w:val="bottom"/>
            <w:shd w:val="clear" w:color="auto" w:fill="F6F6F6"/>
          </w:tcPr>
          <w:p>
            <w:pPr>
              <w:spacing w:after="0"/>
              <w:rPr>
                <w:sz w:val="7"/>
                <w:szCs w:val="7"/>
                <w:color w:val="auto"/>
              </w:rPr>
            </w:pPr>
          </w:p>
        </w:tc>
        <w:tc>
          <w:tcPr>
            <w:tcW w:w="1700" w:type="dxa"/>
            <w:vAlign w:val="bottom"/>
          </w:tcPr>
          <w:p>
            <w:pPr>
              <w:spacing w:after="0"/>
              <w:rPr>
                <w:sz w:val="7"/>
                <w:szCs w:val="7"/>
                <w:color w:val="auto"/>
              </w:rPr>
            </w:pPr>
          </w:p>
        </w:tc>
        <w:tc>
          <w:tcPr>
            <w:tcW w:w="280" w:type="dxa"/>
            <w:vAlign w:val="bottom"/>
            <w:vMerge w:val="restart"/>
          </w:tcPr>
          <w:p>
            <w:pPr>
              <w:ind w:left="180"/>
              <w:spacing w:after="0"/>
              <w:rPr>
                <w:sz w:val="20"/>
                <w:szCs w:val="20"/>
                <w:color w:val="auto"/>
              </w:rPr>
            </w:pPr>
            <w:r>
              <w:rPr>
                <w:rFonts w:ascii="Arial" w:cs="Arial" w:eastAsia="Arial" w:hAnsi="Arial"/>
                <w:sz w:val="16"/>
                <w:szCs w:val="16"/>
                <w:color w:val="00A798"/>
              </w:rPr>
              <w:t>•</w:t>
            </w:r>
          </w:p>
        </w:tc>
        <w:tc>
          <w:tcPr>
            <w:tcW w:w="8060" w:type="dxa"/>
            <w:vAlign w:val="bottom"/>
            <w:vMerge w:val="restart"/>
          </w:tcPr>
          <w:p>
            <w:pPr>
              <w:ind w:left="60"/>
              <w:spacing w:after="0"/>
              <w:rPr>
                <w:sz w:val="20"/>
                <w:szCs w:val="20"/>
                <w:color w:val="auto"/>
              </w:rPr>
            </w:pPr>
            <w:r>
              <w:rPr>
                <w:rFonts w:ascii="Arial" w:cs="Arial" w:eastAsia="Arial" w:hAnsi="Arial"/>
                <w:sz w:val="14"/>
                <w:szCs w:val="14"/>
                <w:color w:val="auto"/>
              </w:rPr>
              <w:t>Review progress made on performance metrics.</w:t>
            </w:r>
          </w:p>
        </w:tc>
        <w:tc>
          <w:tcPr>
            <w:tcW w:w="0" w:type="dxa"/>
            <w:vAlign w:val="bottom"/>
          </w:tcPr>
          <w:p>
            <w:pPr>
              <w:spacing w:after="0"/>
              <w:rPr>
                <w:sz w:val="1"/>
                <w:szCs w:val="1"/>
                <w:color w:val="auto"/>
              </w:rPr>
            </w:pPr>
          </w:p>
        </w:tc>
      </w:tr>
      <w:tr>
        <w:trPr>
          <w:trHeight w:val="133"/>
        </w:trPr>
        <w:tc>
          <w:tcPr>
            <w:tcW w:w="340" w:type="dxa"/>
            <w:vAlign w:val="bottom"/>
            <w:tcBorders>
              <w:right w:val="single" w:sz="8" w:color="auto"/>
            </w:tcBorders>
            <w:shd w:val="clear" w:color="auto" w:fill="F6F6F6"/>
          </w:tcPr>
          <w:p>
            <w:pPr>
              <w:spacing w:after="0"/>
              <w:rPr>
                <w:sz w:val="11"/>
                <w:szCs w:val="11"/>
                <w:color w:val="auto"/>
              </w:rPr>
            </w:pPr>
          </w:p>
        </w:tc>
        <w:tc>
          <w:tcPr>
            <w:tcW w:w="340" w:type="dxa"/>
            <w:vAlign w:val="bottom"/>
            <w:shd w:val="clear" w:color="auto" w:fill="F6F6F6"/>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40" w:type="dxa"/>
            <w:vAlign w:val="bottom"/>
            <w:tcBorders>
              <w:right w:val="single" w:sz="8" w:color="auto"/>
            </w:tcBorders>
            <w:shd w:val="clear" w:color="auto" w:fill="F6F6F6"/>
          </w:tcPr>
          <w:p>
            <w:pPr>
              <w:spacing w:after="0"/>
              <w:rPr>
                <w:sz w:val="19"/>
                <w:szCs w:val="19"/>
                <w:color w:val="auto"/>
              </w:rPr>
            </w:pPr>
          </w:p>
        </w:tc>
        <w:tc>
          <w:tcPr>
            <w:tcW w:w="340" w:type="dxa"/>
            <w:vAlign w:val="bottom"/>
            <w:shd w:val="clear" w:color="auto" w:fill="F6F6F6"/>
          </w:tcPr>
          <w:p>
            <w:pPr>
              <w:spacing w:after="0"/>
              <w:rPr>
                <w:sz w:val="19"/>
                <w:szCs w:val="19"/>
                <w:color w:val="auto"/>
              </w:rPr>
            </w:pPr>
          </w:p>
        </w:tc>
        <w:tc>
          <w:tcPr>
            <w:tcW w:w="1700" w:type="dxa"/>
            <w:vAlign w:val="bottom"/>
          </w:tcPr>
          <w:p>
            <w:pPr>
              <w:spacing w:after="0"/>
              <w:rPr>
                <w:sz w:val="19"/>
                <w:szCs w:val="19"/>
                <w:color w:val="auto"/>
              </w:rPr>
            </w:pPr>
          </w:p>
        </w:tc>
        <w:tc>
          <w:tcPr>
            <w:tcW w:w="8340" w:type="dxa"/>
            <w:vAlign w:val="bottom"/>
            <w:gridSpan w:val="2"/>
          </w:tcPr>
          <w:p>
            <w:pPr>
              <w:ind w:left="180"/>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4"/>
                <w:szCs w:val="14"/>
                <w:color w:val="000000"/>
              </w:rPr>
              <w:t>Monitor performance against financial performance metrics.</w:t>
            </w:r>
          </w:p>
        </w:tc>
        <w:tc>
          <w:tcPr>
            <w:tcW w:w="0" w:type="dxa"/>
            <w:vAlign w:val="bottom"/>
          </w:tcPr>
          <w:p>
            <w:pPr>
              <w:spacing w:after="0"/>
              <w:rPr>
                <w:sz w:val="1"/>
                <w:szCs w:val="1"/>
                <w:color w:val="auto"/>
              </w:rPr>
            </w:pPr>
          </w:p>
        </w:tc>
      </w:tr>
      <w:tr>
        <w:trPr>
          <w:trHeight w:val="230"/>
        </w:trPr>
        <w:tc>
          <w:tcPr>
            <w:tcW w:w="340" w:type="dxa"/>
            <w:vAlign w:val="bottom"/>
            <w:tcBorders>
              <w:right w:val="single" w:sz="8" w:color="auto"/>
            </w:tcBorders>
            <w:shd w:val="clear" w:color="auto" w:fill="F6F6F6"/>
          </w:tcPr>
          <w:p>
            <w:pPr>
              <w:spacing w:after="0"/>
              <w:rPr>
                <w:sz w:val="19"/>
                <w:szCs w:val="19"/>
                <w:color w:val="auto"/>
              </w:rPr>
            </w:pPr>
          </w:p>
        </w:tc>
        <w:tc>
          <w:tcPr>
            <w:tcW w:w="340" w:type="dxa"/>
            <w:vAlign w:val="bottom"/>
            <w:shd w:val="clear" w:color="auto" w:fill="F6F6F6"/>
          </w:tcPr>
          <w:p>
            <w:pPr>
              <w:spacing w:after="0"/>
              <w:rPr>
                <w:sz w:val="19"/>
                <w:szCs w:val="19"/>
                <w:color w:val="auto"/>
              </w:rPr>
            </w:pPr>
          </w:p>
        </w:tc>
        <w:tc>
          <w:tcPr>
            <w:tcW w:w="1700" w:type="dxa"/>
            <w:vAlign w:val="bottom"/>
          </w:tcPr>
          <w:p>
            <w:pPr>
              <w:spacing w:after="0"/>
              <w:rPr>
                <w:sz w:val="19"/>
                <w:szCs w:val="19"/>
                <w:color w:val="auto"/>
              </w:rPr>
            </w:pPr>
          </w:p>
        </w:tc>
        <w:tc>
          <w:tcPr>
            <w:tcW w:w="8340" w:type="dxa"/>
            <w:vAlign w:val="bottom"/>
            <w:gridSpan w:val="2"/>
          </w:tcPr>
          <w:p>
            <w:pPr>
              <w:ind w:left="180"/>
              <w:spacing w:after="0"/>
              <w:rPr>
                <w:sz w:val="20"/>
                <w:szCs w:val="20"/>
                <w:color w:val="auto"/>
              </w:rPr>
            </w:pPr>
            <w:r>
              <w:rPr>
                <w:rFonts w:ascii="Arial" w:cs="Arial" w:eastAsia="Arial" w:hAnsi="Arial"/>
                <w:sz w:val="16"/>
                <w:szCs w:val="16"/>
                <w:color w:val="00A798"/>
              </w:rPr>
              <w:t xml:space="preserve">• </w:t>
            </w:r>
            <w:r>
              <w:rPr>
                <w:rFonts w:ascii="Arial" w:cs="Arial" w:eastAsia="Arial" w:hAnsi="Arial"/>
                <w:sz w:val="14"/>
                <w:szCs w:val="14"/>
                <w:color w:val="000000"/>
              </w:rPr>
              <w:t>Monitor compliance with stock ownership guidelines.</w:t>
            </w:r>
          </w:p>
        </w:tc>
        <w:tc>
          <w:tcPr>
            <w:tcW w:w="0" w:type="dxa"/>
            <w:vAlign w:val="bottom"/>
          </w:tcPr>
          <w:p>
            <w:pPr>
              <w:spacing w:after="0"/>
              <w:rPr>
                <w:sz w:val="1"/>
                <w:szCs w:val="1"/>
                <w:color w:val="auto"/>
              </w:rPr>
            </w:pPr>
          </w:p>
        </w:tc>
      </w:tr>
      <w:tr>
        <w:trPr>
          <w:trHeight w:val="229"/>
        </w:trPr>
        <w:tc>
          <w:tcPr>
            <w:tcW w:w="340" w:type="dxa"/>
            <w:vAlign w:val="bottom"/>
            <w:tcBorders>
              <w:right w:val="single" w:sz="8" w:color="auto"/>
            </w:tcBorders>
            <w:shd w:val="clear" w:color="auto" w:fill="F6F6F6"/>
          </w:tcPr>
          <w:p>
            <w:pPr>
              <w:spacing w:after="0"/>
              <w:rPr>
                <w:sz w:val="19"/>
                <w:szCs w:val="19"/>
                <w:color w:val="auto"/>
              </w:rPr>
            </w:pPr>
          </w:p>
        </w:tc>
        <w:tc>
          <w:tcPr>
            <w:tcW w:w="340" w:type="dxa"/>
            <w:vAlign w:val="bottom"/>
            <w:shd w:val="clear" w:color="auto" w:fill="F6F6F6"/>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Pr>
          <w:p>
            <w:pPr>
              <w:ind w:left="180"/>
              <w:spacing w:after="0"/>
              <w:rPr>
                <w:sz w:val="20"/>
                <w:szCs w:val="20"/>
                <w:color w:val="auto"/>
              </w:rPr>
            </w:pPr>
            <w:r>
              <w:rPr>
                <w:rFonts w:ascii="Arial" w:cs="Arial" w:eastAsia="Arial" w:hAnsi="Arial"/>
                <w:sz w:val="16"/>
                <w:szCs w:val="16"/>
                <w:color w:val="00A798"/>
              </w:rPr>
              <w:t>•</w:t>
            </w:r>
          </w:p>
        </w:tc>
        <w:tc>
          <w:tcPr>
            <w:tcW w:w="8060" w:type="dxa"/>
            <w:vAlign w:val="bottom"/>
          </w:tcPr>
          <w:p>
            <w:pPr>
              <w:ind w:left="60"/>
              <w:spacing w:after="0"/>
              <w:rPr>
                <w:sz w:val="20"/>
                <w:szCs w:val="20"/>
                <w:color w:val="auto"/>
              </w:rPr>
            </w:pPr>
            <w:r>
              <w:rPr>
                <w:rFonts w:ascii="Arial" w:cs="Arial" w:eastAsia="Arial" w:hAnsi="Arial"/>
                <w:sz w:val="14"/>
                <w:szCs w:val="14"/>
                <w:color w:val="auto"/>
              </w:rPr>
              <w:t>Monitor and assess regulatory developments and new disclosure requirements.</w:t>
            </w:r>
          </w:p>
        </w:tc>
        <w:tc>
          <w:tcPr>
            <w:tcW w:w="0" w:type="dxa"/>
            <w:vAlign w:val="bottom"/>
          </w:tcPr>
          <w:p>
            <w:pPr>
              <w:spacing w:after="0"/>
              <w:rPr>
                <w:sz w:val="1"/>
                <w:szCs w:val="1"/>
                <w:color w:val="auto"/>
              </w:rPr>
            </w:pPr>
          </w:p>
        </w:tc>
      </w:tr>
      <w:tr>
        <w:trPr>
          <w:trHeight w:val="258"/>
        </w:trPr>
        <w:tc>
          <w:tcPr>
            <w:tcW w:w="340" w:type="dxa"/>
            <w:vAlign w:val="bottom"/>
            <w:tcBorders>
              <w:right w:val="single" w:sz="8" w:color="auto"/>
            </w:tcBorders>
            <w:shd w:val="clear" w:color="auto" w:fill="F6F6F6"/>
          </w:tcPr>
          <w:p>
            <w:pPr>
              <w:spacing w:after="0"/>
              <w:rPr>
                <w:sz w:val="22"/>
                <w:szCs w:val="22"/>
                <w:color w:val="auto"/>
              </w:rPr>
            </w:pPr>
          </w:p>
        </w:tc>
        <w:tc>
          <w:tcPr>
            <w:tcW w:w="340" w:type="dxa"/>
            <w:vAlign w:val="bottom"/>
            <w:shd w:val="clear" w:color="auto" w:fill="F6F6F6"/>
          </w:tcPr>
          <w:p>
            <w:pPr>
              <w:spacing w:after="0"/>
              <w:rPr>
                <w:sz w:val="22"/>
                <w:szCs w:val="22"/>
                <w:color w:val="auto"/>
              </w:rPr>
            </w:pPr>
          </w:p>
        </w:tc>
        <w:tc>
          <w:tcPr>
            <w:tcW w:w="1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 w:type="dxa"/>
            <w:vAlign w:val="bottom"/>
            <w:tcBorders>
              <w:right w:val="single" w:sz="8" w:color="F6F6F6"/>
            </w:tcBorders>
            <w:shd w:val="clear" w:color="auto" w:fill="F6F6F6"/>
          </w:tcPr>
          <w:p>
            <w:pPr>
              <w:spacing w:after="0"/>
              <w:rPr>
                <w:sz w:val="21"/>
                <w:szCs w:val="21"/>
                <w:color w:val="auto"/>
              </w:rPr>
            </w:pPr>
          </w:p>
        </w:tc>
        <w:tc>
          <w:tcPr>
            <w:tcW w:w="340" w:type="dxa"/>
            <w:vAlign w:val="bottom"/>
            <w:shd w:val="clear" w:color="auto" w:fill="F6F6F6"/>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40" w:type="dxa"/>
            <w:vAlign w:val="bottom"/>
            <w:tcBorders>
              <w:right w:val="single" w:sz="8" w:color="F6F6F6"/>
            </w:tcBorders>
            <w:shd w:val="clear" w:color="auto" w:fill="F6F6F6"/>
          </w:tcPr>
          <w:p>
            <w:pPr>
              <w:spacing w:after="0"/>
              <w:rPr>
                <w:sz w:val="14"/>
                <w:szCs w:val="14"/>
                <w:color w:val="auto"/>
              </w:rPr>
            </w:pPr>
          </w:p>
        </w:tc>
        <w:tc>
          <w:tcPr>
            <w:tcW w:w="340" w:type="dxa"/>
            <w:vAlign w:val="bottom"/>
            <w:shd w:val="clear" w:color="auto" w:fill="F6F6F6"/>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shd w:val="clear" w:color="auto" w:fill="F6F6F6"/>
          </w:tcPr>
          <w:p>
            <w:pPr>
              <w:spacing w:after="0"/>
              <w:rPr>
                <w:sz w:val="14"/>
                <w:szCs w:val="14"/>
                <w:color w:val="auto"/>
              </w:rPr>
            </w:pPr>
          </w:p>
        </w:tc>
        <w:tc>
          <w:tcPr>
            <w:tcW w:w="8060" w:type="dxa"/>
            <w:vAlign w:val="bottom"/>
            <w:shd w:val="clear" w:color="auto" w:fill="F6F6F6"/>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left="9000"/>
        <w:spacing w:after="0"/>
        <w:tabs>
          <w:tab w:leader="none" w:pos="1104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4"/>
          <w:szCs w:val="14"/>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Independent Compensation Consultant</w:t>
      </w:r>
    </w:p>
    <w:p>
      <w:pPr>
        <w:spacing w:after="0" w:line="11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Compensation Committee selected and engaged Semler Brossy as its independent compensation consultant to assist with a range of executive compensation matters, including the overall design of our executive compensation program, evaluation and selection of peer group companies, provision of competitive market data, and other matters related to our NEO compensation program. During 2025, Semler Brossy was present at all Compensation Committee meetings, other than the Compensation Committee’s annual in-depth review of senior leader progression planning, and consulted on executive compensation matters, including by reviewing agendas and preparing materials in advance of each meeting and sharing peer and best practices. The Compensation Committee regularly meets with Semler Brossy in Executive Sessions without management’s attendance. Semler Brossy reports directly to the Compensation Committee, which, pursuant to its charter, maintains sole responsibility for retaining or terminating this relationship. Semler Brossy did not provide any other services to MSCI during 2025.</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 Considerations</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Compensation Committee considers a range of factors in determining compensation components and setting compensation amounts. In addition to reviewing NEO performance against annual goals, various financial and operational metrics and individual goals, the Compensation Committee reviews peer group analyses (used as a reference without benchmarking to a specified target) and shareholder feedback. The weight attributed to each individual factor may change from time to time, depending on the circumstances of such decisions. We believe this continues to be the best approach for the Company, as it enables the Compensation Committee to balance competing interests, address evolving priorities and meet Company objectives.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2025 Say-on-Pay Vote Results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In 2025, 94.0% of the votes cast on the Say-on-Pay Advisory Vote were voted in support of the compensation of our NEOs.</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Shareholder Engagement</w:t>
      </w:r>
    </w:p>
    <w:p>
      <w:pPr>
        <w:spacing w:after="0" w:line="114"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MSCI has established a robust process for engaging shareholders on executive compensation. On at least an annual basis, we meet with shareholders to provide an overview of our executive compensation program and highlight recent changes, if any. In our 2025 Corporate Responsibility off-season engagement, the Company contacted our top 18 shareholders, representing approximately 50.6% of our outstanding shares, and met with shareholders representing approximately 27.1% of our outstanding shares as of September 30, 2025 in individual meetings to discuss our executive compensation program. Shareholders generally reacted positively to the Company’s current compensation program and none of the shareholders expressed significant concerns.</w:t>
      </w:r>
    </w:p>
    <w:p>
      <w:pPr>
        <w:spacing w:after="0" w:line="107"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As part of our 2025 Corporate Responsibility off-season engagement, we engaged with shareholders on the design and rationale of the CEO special incentive award. Investors who met with us broadly acknowledged the importance of incentivizing continued contributions of Mr. Fernandez during this critical period of industry transformation and viewed positively the structure of the award. Investors specifically cited the rigor of the premium exercise price hurdles and expressed comfort with the award’s structure, noting that the significant premiums to the closing share price on the trading day prior to grant date ensure that Mr. Fernandez participates in value creation only after shareholders have realized substantial appreciation. Several investors highlighted that they view premium-priced options as carrying meaningful additional risk compared to at-the-money awards and that the performance thresholds embedded in the exercise prices are robust.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421005</wp:posOffset>
            </wp:positionV>
            <wp:extent cx="556895"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Compensation Program Enhancements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380" w:type="dxa"/>
            <w:vAlign w:val="bottom"/>
            <w:shd w:val="clear" w:color="auto" w:fill="1A3FD6"/>
          </w:tcPr>
          <w:p>
            <w:pPr>
              <w:ind w:left="160"/>
              <w:spacing w:after="0"/>
              <w:rPr>
                <w:sz w:val="20"/>
                <w:szCs w:val="20"/>
                <w:color w:val="auto"/>
              </w:rPr>
            </w:pPr>
            <w:r>
              <w:rPr>
                <w:rFonts w:ascii="Arial" w:cs="Arial" w:eastAsia="Arial" w:hAnsi="Arial"/>
                <w:sz w:val="14"/>
                <w:szCs w:val="14"/>
                <w:b w:val="1"/>
                <w:bCs w:val="1"/>
                <w:color w:val="FFFFFF"/>
              </w:rPr>
              <w:t>What We Heard</w:t>
            </w:r>
          </w:p>
        </w:tc>
        <w:tc>
          <w:tcPr>
            <w:tcW w:w="3260" w:type="dxa"/>
            <w:vAlign w:val="bottom"/>
            <w:shd w:val="clear" w:color="auto" w:fill="1A3FD6"/>
          </w:tcPr>
          <w:p>
            <w:pPr>
              <w:ind w:left="540"/>
              <w:spacing w:after="0"/>
              <w:rPr>
                <w:sz w:val="20"/>
                <w:szCs w:val="20"/>
                <w:color w:val="auto"/>
              </w:rPr>
            </w:pPr>
            <w:r>
              <w:rPr>
                <w:rFonts w:ascii="Arial" w:cs="Arial" w:eastAsia="Arial" w:hAnsi="Arial"/>
                <w:sz w:val="14"/>
                <w:szCs w:val="14"/>
                <w:b w:val="1"/>
                <w:bCs w:val="1"/>
                <w:color w:val="FFFFFF"/>
              </w:rPr>
              <w:t>What We Did</w:t>
            </w:r>
          </w:p>
        </w:tc>
        <w:tc>
          <w:tcPr>
            <w:tcW w:w="5600" w:type="dxa"/>
            <w:vAlign w:val="bottom"/>
            <w:shd w:val="clear" w:color="auto" w:fill="1A3FD6"/>
          </w:tcPr>
          <w:p>
            <w:pPr>
              <w:ind w:left="1820"/>
              <w:spacing w:after="0"/>
              <w:rPr>
                <w:sz w:val="20"/>
                <w:szCs w:val="20"/>
                <w:color w:val="auto"/>
              </w:rPr>
            </w:pPr>
            <w:r>
              <w:rPr>
                <w:rFonts w:ascii="Arial" w:cs="Arial" w:eastAsia="Arial" w:hAnsi="Arial"/>
                <w:sz w:val="14"/>
                <w:szCs w:val="14"/>
                <w:b w:val="1"/>
                <w:bCs w:val="1"/>
                <w:color w:val="FFFFFF"/>
              </w:rPr>
              <w:t>Why</w:t>
            </w:r>
          </w:p>
        </w:tc>
      </w:tr>
      <w:tr>
        <w:trPr>
          <w:trHeight w:val="137"/>
        </w:trPr>
        <w:tc>
          <w:tcPr>
            <w:tcW w:w="2380" w:type="dxa"/>
            <w:vAlign w:val="bottom"/>
            <w:shd w:val="clear" w:color="auto" w:fill="1A3FD6"/>
          </w:tcPr>
          <w:p>
            <w:pPr>
              <w:spacing w:after="0"/>
              <w:rPr>
                <w:sz w:val="11"/>
                <w:szCs w:val="11"/>
                <w:color w:val="auto"/>
              </w:rPr>
            </w:pPr>
          </w:p>
        </w:tc>
        <w:tc>
          <w:tcPr>
            <w:tcW w:w="3260" w:type="dxa"/>
            <w:vAlign w:val="bottom"/>
            <w:shd w:val="clear" w:color="auto" w:fill="1A3FD6"/>
          </w:tcPr>
          <w:p>
            <w:pPr>
              <w:spacing w:after="0"/>
              <w:rPr>
                <w:sz w:val="11"/>
                <w:szCs w:val="11"/>
                <w:color w:val="auto"/>
              </w:rPr>
            </w:pPr>
          </w:p>
        </w:tc>
        <w:tc>
          <w:tcPr>
            <w:tcW w:w="5600" w:type="dxa"/>
            <w:vAlign w:val="bottom"/>
            <w:shd w:val="clear" w:color="auto" w:fill="1A3FD6"/>
          </w:tcPr>
          <w:p>
            <w:pPr>
              <w:spacing w:after="0"/>
              <w:rPr>
                <w:sz w:val="11"/>
                <w:szCs w:val="11"/>
                <w:color w:val="auto"/>
              </w:rPr>
            </w:pPr>
          </w:p>
        </w:tc>
      </w:tr>
      <w:tr>
        <w:trPr>
          <w:trHeight w:val="108"/>
        </w:trPr>
        <w:tc>
          <w:tcPr>
            <w:tcW w:w="2380" w:type="dxa"/>
            <w:vAlign w:val="bottom"/>
            <w:shd w:val="clear" w:color="auto" w:fill="F5F5F5"/>
          </w:tcPr>
          <w:p>
            <w:pPr>
              <w:spacing w:after="0"/>
              <w:rPr>
                <w:sz w:val="9"/>
                <w:szCs w:val="9"/>
                <w:color w:val="auto"/>
              </w:rPr>
            </w:pPr>
          </w:p>
        </w:tc>
        <w:tc>
          <w:tcPr>
            <w:tcW w:w="3260" w:type="dxa"/>
            <w:vAlign w:val="bottom"/>
            <w:shd w:val="clear" w:color="auto" w:fill="F5F5F5"/>
          </w:tcPr>
          <w:p>
            <w:pPr>
              <w:spacing w:after="0"/>
              <w:rPr>
                <w:sz w:val="9"/>
                <w:szCs w:val="9"/>
                <w:color w:val="auto"/>
              </w:rPr>
            </w:pPr>
          </w:p>
        </w:tc>
        <w:tc>
          <w:tcPr>
            <w:tcW w:w="5600" w:type="dxa"/>
            <w:vAlign w:val="bottom"/>
            <w:shd w:val="clear" w:color="auto" w:fill="F5F5F5"/>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954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95"/>
        </w:trPr>
        <w:tc>
          <w:tcPr>
            <w:tcW w:w="2220" w:type="dxa"/>
            <w:vAlign w:val="bottom"/>
          </w:tcPr>
          <w:p>
            <w:pPr>
              <w:spacing w:after="0"/>
              <w:rPr>
                <w:sz w:val="20"/>
                <w:szCs w:val="20"/>
                <w:color w:val="auto"/>
              </w:rPr>
            </w:pPr>
            <w:r>
              <w:rPr>
                <w:rFonts w:ascii="Arial" w:cs="Arial" w:eastAsia="Arial" w:hAnsi="Arial"/>
                <w:sz w:val="14"/>
                <w:szCs w:val="14"/>
                <w:b w:val="1"/>
                <w:bCs w:val="1"/>
                <w:color w:val="auto"/>
              </w:rPr>
              <w:t>Focus on PSU payout</w:t>
            </w:r>
          </w:p>
        </w:tc>
        <w:tc>
          <w:tcPr>
            <w:tcW w:w="200" w:type="dxa"/>
            <w:vAlign w:val="bottom"/>
            <w:shd w:val="clear" w:color="auto" w:fill="F5F5F5"/>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Beginning with awards granted in 2024, we lowered the</w:t>
            </w:r>
          </w:p>
        </w:tc>
      </w:tr>
      <w:tr>
        <w:trPr>
          <w:trHeight w:val="196"/>
        </w:trPr>
        <w:tc>
          <w:tcPr>
            <w:tcW w:w="2220" w:type="dxa"/>
            <w:vAlign w:val="bottom"/>
          </w:tcPr>
          <w:p>
            <w:pPr>
              <w:spacing w:after="0"/>
              <w:rPr>
                <w:sz w:val="20"/>
                <w:szCs w:val="20"/>
                <w:color w:val="auto"/>
              </w:rPr>
            </w:pPr>
            <w:r>
              <w:rPr>
                <w:rFonts w:ascii="Arial" w:cs="Arial" w:eastAsia="Arial" w:hAnsi="Arial"/>
                <w:sz w:val="14"/>
                <w:szCs w:val="14"/>
                <w:b w:val="1"/>
                <w:bCs w:val="1"/>
                <w:color w:val="auto"/>
              </w:rPr>
              <w:t>maximums</w:t>
            </w:r>
          </w:p>
        </w:tc>
        <w:tc>
          <w:tcPr>
            <w:tcW w:w="200" w:type="dxa"/>
            <w:vAlign w:val="bottom"/>
            <w:shd w:val="clear" w:color="auto" w:fill="F5F5F5"/>
          </w:tcPr>
          <w:p>
            <w:pPr>
              <w:spacing w:after="0"/>
              <w:rPr>
                <w:sz w:val="17"/>
                <w:szCs w:val="17"/>
                <w:color w:val="auto"/>
              </w:rPr>
            </w:pPr>
          </w:p>
        </w:tc>
        <w:tc>
          <w:tcPr>
            <w:tcW w:w="3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payout maximum for annual PSUs from 300% to 200%</w:t>
            </w:r>
          </w:p>
        </w:tc>
      </w:tr>
      <w:tr>
        <w:trPr>
          <w:trHeight w:val="137"/>
        </w:trPr>
        <w:tc>
          <w:tcPr>
            <w:tcW w:w="2220" w:type="dxa"/>
            <w:vAlign w:val="bottom"/>
          </w:tcPr>
          <w:p>
            <w:pPr>
              <w:spacing w:after="0"/>
              <w:rPr>
                <w:sz w:val="11"/>
                <w:szCs w:val="11"/>
                <w:color w:val="auto"/>
              </w:rPr>
            </w:pPr>
          </w:p>
        </w:tc>
        <w:tc>
          <w:tcPr>
            <w:tcW w:w="200" w:type="dxa"/>
            <w:vAlign w:val="bottom"/>
            <w:tcBorders>
              <w:bottom w:val="single" w:sz="8" w:color="F5F5F5"/>
            </w:tcBorders>
            <w:shd w:val="clear" w:color="auto" w:fill="F5F5F5"/>
          </w:tcPr>
          <w:p>
            <w:pPr>
              <w:spacing w:after="0"/>
              <w:rPr>
                <w:sz w:val="11"/>
                <w:szCs w:val="11"/>
                <w:color w:val="auto"/>
              </w:rPr>
            </w:pPr>
          </w:p>
        </w:tc>
        <w:tc>
          <w:tcPr>
            <w:tcW w:w="340" w:type="dxa"/>
            <w:vAlign w:val="bottom"/>
          </w:tcPr>
          <w:p>
            <w:pPr>
              <w:spacing w:after="0"/>
              <w:rPr>
                <w:sz w:val="11"/>
                <w:szCs w:val="11"/>
                <w:color w:val="auto"/>
              </w:rPr>
            </w:pPr>
          </w:p>
        </w:tc>
        <w:tc>
          <w:tcPr>
            <w:tcW w:w="4000" w:type="dxa"/>
            <w:vAlign w:val="bottom"/>
            <w:tcBorders>
              <w:bottom w:val="single" w:sz="8" w:color="BCBEC0"/>
            </w:tcBorders>
          </w:tcPr>
          <w:p>
            <w:pPr>
              <w:spacing w:after="0"/>
              <w:rPr>
                <w:sz w:val="11"/>
                <w:szCs w:val="11"/>
                <w:color w:val="auto"/>
              </w:rPr>
            </w:pPr>
          </w:p>
        </w:tc>
      </w:tr>
      <w:tr>
        <w:trPr>
          <w:trHeight w:val="295"/>
        </w:trPr>
        <w:tc>
          <w:tcPr>
            <w:tcW w:w="2220" w:type="dxa"/>
            <w:vAlign w:val="bottom"/>
          </w:tcPr>
          <w:p>
            <w:pPr>
              <w:spacing w:after="0"/>
              <w:rPr>
                <w:sz w:val="20"/>
                <w:szCs w:val="20"/>
                <w:color w:val="auto"/>
              </w:rPr>
            </w:pPr>
            <w:r>
              <w:rPr>
                <w:rFonts w:ascii="Arial" w:cs="Arial" w:eastAsia="Arial" w:hAnsi="Arial"/>
                <w:sz w:val="14"/>
                <w:szCs w:val="14"/>
                <w:b w:val="1"/>
                <w:bCs w:val="1"/>
                <w:color w:val="auto"/>
              </w:rPr>
              <w:t>Focus on financial metrics</w:t>
            </w:r>
          </w:p>
        </w:tc>
        <w:tc>
          <w:tcPr>
            <w:tcW w:w="200" w:type="dxa"/>
            <w:vAlign w:val="bottom"/>
            <w:shd w:val="clear" w:color="auto" w:fill="F5F5F5"/>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Increased financial criteria weighting under the AIP from 70%</w:t>
            </w:r>
          </w:p>
        </w:tc>
      </w:tr>
      <w:tr>
        <w:trPr>
          <w:trHeight w:val="189"/>
        </w:trPr>
        <w:tc>
          <w:tcPr>
            <w:tcW w:w="2220" w:type="dxa"/>
            <w:vAlign w:val="bottom"/>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3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to 80% in 2025 (further expanded to represent 100% of the</w:t>
            </w:r>
          </w:p>
        </w:tc>
      </w:tr>
      <w:tr>
        <w:trPr>
          <w:trHeight w:val="190"/>
        </w:trPr>
        <w:tc>
          <w:tcPr>
            <w:tcW w:w="2220" w:type="dxa"/>
            <w:vAlign w:val="bottom"/>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3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target annual cash bonus under the 2026 AIP)</w:t>
            </w:r>
          </w:p>
        </w:tc>
      </w:tr>
      <w:tr>
        <w:trPr>
          <w:trHeight w:val="143"/>
        </w:trPr>
        <w:tc>
          <w:tcPr>
            <w:tcW w:w="2220" w:type="dxa"/>
            <w:vAlign w:val="bottom"/>
          </w:tcPr>
          <w:p>
            <w:pPr>
              <w:spacing w:after="0"/>
              <w:rPr>
                <w:sz w:val="12"/>
                <w:szCs w:val="12"/>
                <w:color w:val="auto"/>
              </w:rPr>
            </w:pPr>
          </w:p>
        </w:tc>
        <w:tc>
          <w:tcPr>
            <w:tcW w:w="200" w:type="dxa"/>
            <w:vAlign w:val="bottom"/>
            <w:tcBorders>
              <w:bottom w:val="single" w:sz="8" w:color="F5F5F5"/>
            </w:tcBorders>
            <w:shd w:val="clear" w:color="auto" w:fill="F5F5F5"/>
          </w:tcPr>
          <w:p>
            <w:pPr>
              <w:spacing w:after="0"/>
              <w:rPr>
                <w:sz w:val="12"/>
                <w:szCs w:val="12"/>
                <w:color w:val="auto"/>
              </w:rPr>
            </w:pPr>
          </w:p>
        </w:tc>
        <w:tc>
          <w:tcPr>
            <w:tcW w:w="340" w:type="dxa"/>
            <w:vAlign w:val="bottom"/>
          </w:tcPr>
          <w:p>
            <w:pPr>
              <w:spacing w:after="0"/>
              <w:rPr>
                <w:sz w:val="12"/>
                <w:szCs w:val="12"/>
                <w:color w:val="auto"/>
              </w:rPr>
            </w:pPr>
          </w:p>
        </w:tc>
        <w:tc>
          <w:tcPr>
            <w:tcW w:w="4000" w:type="dxa"/>
            <w:vAlign w:val="bottom"/>
            <w:tcBorders>
              <w:bottom w:val="single" w:sz="8" w:color="BCBEC0"/>
            </w:tcBorders>
          </w:tcPr>
          <w:p>
            <w:pPr>
              <w:spacing w:after="0"/>
              <w:rPr>
                <w:sz w:val="12"/>
                <w:szCs w:val="12"/>
                <w:color w:val="auto"/>
              </w:rPr>
            </w:pPr>
          </w:p>
        </w:tc>
      </w:tr>
      <w:tr>
        <w:trPr>
          <w:trHeight w:val="295"/>
        </w:trPr>
        <w:tc>
          <w:tcPr>
            <w:tcW w:w="2220" w:type="dxa"/>
            <w:vAlign w:val="bottom"/>
          </w:tcPr>
          <w:p>
            <w:pPr>
              <w:spacing w:after="0"/>
              <w:rPr>
                <w:sz w:val="20"/>
                <w:szCs w:val="20"/>
                <w:color w:val="auto"/>
              </w:rPr>
            </w:pPr>
            <w:r>
              <w:rPr>
                <w:rFonts w:ascii="Arial" w:cs="Arial" w:eastAsia="Arial" w:hAnsi="Arial"/>
                <w:sz w:val="14"/>
                <w:szCs w:val="14"/>
                <w:b w:val="1"/>
                <w:bCs w:val="1"/>
                <w:color w:val="auto"/>
              </w:rPr>
              <w:t>Focus on operational</w:t>
            </w:r>
          </w:p>
        </w:tc>
        <w:tc>
          <w:tcPr>
            <w:tcW w:w="200" w:type="dxa"/>
            <w:vAlign w:val="bottom"/>
            <w:shd w:val="clear" w:color="auto" w:fill="F5F5F5"/>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In 2026, added an RNN performance modifier to 2026 RSUs</w:t>
            </w:r>
          </w:p>
        </w:tc>
      </w:tr>
      <w:tr>
        <w:trPr>
          <w:trHeight w:val="189"/>
        </w:trPr>
        <w:tc>
          <w:tcPr>
            <w:tcW w:w="2220" w:type="dxa"/>
            <w:vAlign w:val="bottom"/>
          </w:tcPr>
          <w:p>
            <w:pPr>
              <w:spacing w:after="0"/>
              <w:rPr>
                <w:sz w:val="20"/>
                <w:szCs w:val="20"/>
                <w:color w:val="auto"/>
              </w:rPr>
            </w:pPr>
            <w:r>
              <w:rPr>
                <w:rFonts w:ascii="Arial" w:cs="Arial" w:eastAsia="Arial" w:hAnsi="Arial"/>
                <w:sz w:val="14"/>
                <w:szCs w:val="14"/>
                <w:b w:val="1"/>
                <w:bCs w:val="1"/>
                <w:color w:val="auto"/>
              </w:rPr>
              <w:t>performance and executive</w:t>
            </w:r>
          </w:p>
        </w:tc>
        <w:tc>
          <w:tcPr>
            <w:tcW w:w="200" w:type="dxa"/>
            <w:vAlign w:val="bottom"/>
            <w:shd w:val="clear" w:color="auto" w:fill="F5F5F5"/>
          </w:tcPr>
          <w:p>
            <w:pPr>
              <w:spacing w:after="0"/>
              <w:rPr>
                <w:sz w:val="16"/>
                <w:szCs w:val="16"/>
                <w:color w:val="auto"/>
              </w:rPr>
            </w:pPr>
          </w:p>
        </w:tc>
        <w:tc>
          <w:tcPr>
            <w:tcW w:w="3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(100%–130% payout based on recurring net new sales</w:t>
            </w:r>
          </w:p>
        </w:tc>
      </w:tr>
      <w:tr>
        <w:trPr>
          <w:trHeight w:val="176"/>
        </w:trPr>
        <w:tc>
          <w:tcPr>
            <w:tcW w:w="2220" w:type="dxa"/>
            <w:vAlign w:val="bottom"/>
          </w:tcPr>
          <w:p>
            <w:pPr>
              <w:spacing w:after="0"/>
              <w:rPr>
                <w:sz w:val="20"/>
                <w:szCs w:val="20"/>
                <w:color w:val="auto"/>
              </w:rPr>
            </w:pPr>
            <w:r>
              <w:rPr>
                <w:rFonts w:ascii="Arial" w:cs="Arial" w:eastAsia="Arial" w:hAnsi="Arial"/>
                <w:sz w:val="14"/>
                <w:szCs w:val="14"/>
                <w:b w:val="1"/>
                <w:bCs w:val="1"/>
                <w:color w:val="auto"/>
              </w:rPr>
              <w:t>retention</w:t>
            </w:r>
          </w:p>
        </w:tc>
        <w:tc>
          <w:tcPr>
            <w:tcW w:w="200" w:type="dxa"/>
            <w:vAlign w:val="bottom"/>
            <w:shd w:val="clear" w:color="auto" w:fill="F5F5F5"/>
          </w:tcPr>
          <w:p>
            <w:pPr>
              <w:spacing w:after="0"/>
              <w:rPr>
                <w:sz w:val="15"/>
                <w:szCs w:val="15"/>
                <w:color w:val="auto"/>
              </w:rPr>
            </w:pPr>
          </w:p>
        </w:tc>
        <w:tc>
          <w:tcPr>
            <w:tcW w:w="34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performance over the first year of the three-year vesting</w:t>
            </w:r>
          </w:p>
        </w:tc>
      </w:tr>
      <w:tr>
        <w:trPr>
          <w:trHeight w:val="190"/>
        </w:trPr>
        <w:tc>
          <w:tcPr>
            <w:tcW w:w="2220" w:type="dxa"/>
            <w:vAlign w:val="bottom"/>
          </w:tcPr>
          <w:p>
            <w:pPr>
              <w:spacing w:after="0"/>
              <w:rPr>
                <w:sz w:val="16"/>
                <w:szCs w:val="16"/>
                <w:color w:val="auto"/>
              </w:rPr>
            </w:pPr>
          </w:p>
        </w:tc>
        <w:tc>
          <w:tcPr>
            <w:tcW w:w="200" w:type="dxa"/>
            <w:vAlign w:val="bottom"/>
            <w:shd w:val="clear" w:color="auto" w:fill="F5F5F5"/>
          </w:tcPr>
          <w:p>
            <w:pPr>
              <w:spacing w:after="0"/>
              <w:rPr>
                <w:sz w:val="16"/>
                <w:szCs w:val="16"/>
                <w:color w:val="auto"/>
              </w:rPr>
            </w:pPr>
          </w:p>
        </w:tc>
        <w:tc>
          <w:tcPr>
            <w:tcW w:w="3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period)</w:t>
            </w:r>
          </w:p>
        </w:tc>
      </w:tr>
      <w:tr>
        <w:trPr>
          <w:trHeight w:val="251"/>
        </w:trPr>
        <w:tc>
          <w:tcPr>
            <w:tcW w:w="2220" w:type="dxa"/>
            <w:vAlign w:val="bottom"/>
          </w:tcPr>
          <w:p>
            <w:pPr>
              <w:spacing w:after="0"/>
              <w:rPr>
                <w:sz w:val="21"/>
                <w:szCs w:val="21"/>
                <w:color w:val="auto"/>
              </w:rPr>
            </w:pPr>
          </w:p>
        </w:tc>
        <w:tc>
          <w:tcPr>
            <w:tcW w:w="200" w:type="dxa"/>
            <w:vAlign w:val="bottom"/>
            <w:shd w:val="clear" w:color="auto" w:fill="F5F5F5"/>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-1585595</wp:posOffset>
            </wp:positionV>
            <wp:extent cx="5357495" cy="15862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57495" cy="1586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500"/>
        <w:spacing w:after="0" w:line="325" w:lineRule="auto"/>
        <w:rPr>
          <w:sz w:val="20"/>
          <w:szCs w:val="20"/>
          <w:color w:val="auto"/>
        </w:rPr>
      </w:pPr>
      <w:r>
        <w:rPr>
          <w:rFonts w:ascii="Arial" w:cs="Arial" w:eastAsia="Arial" w:hAnsi="Arial"/>
          <w:sz w:val="14"/>
          <w:szCs w:val="14"/>
          <w:color w:val="auto"/>
        </w:rPr>
        <w:t>Better aligns with market practice and is responsive to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54610</wp:posOffset>
            </wp:positionV>
            <wp:extent cx="22117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92" w:lineRule="exact"/>
        <w:rPr>
          <w:sz w:val="20"/>
          <w:szCs w:val="20"/>
          <w:color w:val="auto"/>
        </w:rPr>
      </w:pPr>
    </w:p>
    <w:p>
      <w:pPr>
        <w:ind w:right="520"/>
        <w:spacing w:after="0" w:line="325" w:lineRule="auto"/>
        <w:rPr>
          <w:sz w:val="20"/>
          <w:szCs w:val="20"/>
          <w:color w:val="auto"/>
        </w:rPr>
      </w:pPr>
      <w:r>
        <w:rPr>
          <w:rFonts w:ascii="Arial" w:cs="Arial" w:eastAsia="Arial" w:hAnsi="Arial"/>
          <w:sz w:val="14"/>
          <w:szCs w:val="14"/>
          <w:color w:val="auto"/>
        </w:rPr>
        <w:t>Further strengthens alignment between executive compensation and Company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174625</wp:posOffset>
            </wp:positionV>
            <wp:extent cx="22117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81" w:lineRule="exact"/>
        <w:rPr>
          <w:sz w:val="20"/>
          <w:szCs w:val="20"/>
          <w:color w:val="auto"/>
        </w:rPr>
      </w:pPr>
    </w:p>
    <w:p>
      <w:pPr>
        <w:ind w:right="900"/>
        <w:spacing w:after="0" w:line="325" w:lineRule="auto"/>
        <w:rPr>
          <w:sz w:val="20"/>
          <w:szCs w:val="20"/>
          <w:color w:val="auto"/>
        </w:rPr>
      </w:pPr>
      <w:r>
        <w:rPr>
          <w:rFonts w:ascii="Arial" w:cs="Arial" w:eastAsia="Arial" w:hAnsi="Arial"/>
          <w:sz w:val="14"/>
          <w:szCs w:val="14"/>
          <w:color w:val="auto"/>
        </w:rPr>
        <w:t>Reinforces the link between LTIP awards and operational performance</w:t>
      </w:r>
    </w:p>
    <w:p>
      <w:pPr>
        <w:spacing w:after="0" w:line="758" w:lineRule="exact"/>
        <w:rPr>
          <w:sz w:val="20"/>
          <w:szCs w:val="20"/>
          <w:color w:val="auto"/>
        </w:rPr>
      </w:pPr>
    </w:p>
    <w:p>
      <w:pPr>
        <w:sectPr>
          <w:pgSz w:w="11900" w:h="16838" w:orient="portrait"/>
          <w:cols w:equalWidth="0" w:num="2">
            <w:col w:w="6920" w:space="540"/>
            <w:col w:w="3780"/>
          </w:cols>
          <w:pgMar w:left="320" w:top="130" w:right="339" w:bottom="1440" w:gutter="0" w:footer="0" w:header="0"/>
          <w:type w:val="continuous"/>
        </w:sectPr>
      </w:pPr>
    </w:p>
    <w:p>
      <w:pPr>
        <w:spacing w:after="0" w:line="1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 will continue to maintain an active dialogue with shareholders and evaluate feedback on issues of importance to them, including the metrics that drive each of our NEO’s compensation. For additional information about our shareholder engagement efforts, please see page 41 of this Proxy Statement.</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Peer Groups</w:t>
      </w:r>
    </w:p>
    <w:p>
      <w:pPr>
        <w:spacing w:after="0" w:line="114"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To ensure competitiveness of compensation structures and pay levels for our NEOs, the Compensation Committee conducts an annual review of peer company compensation data. Each year, prior to beginning this review, the Compensation Committee examines the composition of companies previously considered our peer companies to make certain that the selected companies continue to be relevant as evaluated according to the following screening criteria:</w:t>
      </w:r>
    </w:p>
    <w:p>
      <w:pPr>
        <w:spacing w:after="0" w:line="118" w:lineRule="exact"/>
        <w:rPr>
          <w:sz w:val="20"/>
          <w:szCs w:val="20"/>
          <w:color w:val="auto"/>
        </w:rPr>
      </w:pPr>
    </w:p>
    <w:p>
      <w:pPr>
        <w:ind w:left="160" w:hanging="152"/>
        <w:spacing w:after="0"/>
        <w:tabs>
          <w:tab w:leader="none" w:pos="160" w:val="left"/>
        </w:tabs>
        <w:numPr>
          <w:ilvl w:val="0"/>
          <w:numId w:val="80"/>
        </w:numPr>
        <w:rPr>
          <w:rFonts w:ascii="Arial" w:cs="Arial" w:eastAsia="Arial" w:hAnsi="Arial"/>
          <w:sz w:val="16"/>
          <w:szCs w:val="16"/>
          <w:color w:val="00A798"/>
        </w:rPr>
      </w:pPr>
      <w:r>
        <w:rPr>
          <w:rFonts w:ascii="Arial" w:cs="Arial" w:eastAsia="Arial" w:hAnsi="Arial"/>
          <w:sz w:val="16"/>
          <w:szCs w:val="16"/>
          <w:color w:val="auto"/>
        </w:rPr>
        <w:t>Scale, to reflect similar size and complexity;</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80"/>
        </w:numPr>
        <w:rPr>
          <w:rFonts w:ascii="Arial" w:cs="Arial" w:eastAsia="Arial" w:hAnsi="Arial"/>
          <w:sz w:val="16"/>
          <w:szCs w:val="16"/>
          <w:color w:val="00A798"/>
        </w:rPr>
      </w:pPr>
      <w:r>
        <w:rPr>
          <w:rFonts w:ascii="Arial" w:cs="Arial" w:eastAsia="Arial" w:hAnsi="Arial"/>
          <w:sz w:val="16"/>
          <w:szCs w:val="16"/>
          <w:color w:val="auto"/>
        </w:rPr>
        <w:t>Geographic footprint, to reflect business structure and international complexity;</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80"/>
        </w:numPr>
        <w:rPr>
          <w:rFonts w:ascii="Arial" w:cs="Arial" w:eastAsia="Arial" w:hAnsi="Arial"/>
          <w:sz w:val="16"/>
          <w:szCs w:val="16"/>
          <w:color w:val="00A798"/>
        </w:rPr>
      </w:pPr>
      <w:r>
        <w:rPr>
          <w:rFonts w:ascii="Arial" w:cs="Arial" w:eastAsia="Arial" w:hAnsi="Arial"/>
          <w:sz w:val="16"/>
          <w:szCs w:val="16"/>
          <w:color w:val="auto"/>
        </w:rPr>
        <w:t>Public ownership structure, to ensure availability of data;</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80"/>
        </w:numPr>
        <w:rPr>
          <w:rFonts w:ascii="Arial" w:cs="Arial" w:eastAsia="Arial" w:hAnsi="Arial"/>
          <w:sz w:val="16"/>
          <w:szCs w:val="16"/>
          <w:color w:val="00A798"/>
        </w:rPr>
      </w:pPr>
      <w:r>
        <w:rPr>
          <w:rFonts w:ascii="Arial" w:cs="Arial" w:eastAsia="Arial" w:hAnsi="Arial"/>
          <w:sz w:val="16"/>
          <w:szCs w:val="16"/>
          <w:color w:val="auto"/>
        </w:rPr>
        <w:t>Competitors for talent; and</w:t>
      </w:r>
    </w:p>
    <w:p>
      <w:pPr>
        <w:spacing w:after="0" w:line="86" w:lineRule="exact"/>
        <w:rPr>
          <w:rFonts w:ascii="Arial" w:cs="Arial" w:eastAsia="Arial" w:hAnsi="Arial"/>
          <w:sz w:val="16"/>
          <w:szCs w:val="16"/>
          <w:color w:val="00A798"/>
        </w:rPr>
      </w:pPr>
    </w:p>
    <w:p>
      <w:pPr>
        <w:ind w:left="160" w:hanging="152"/>
        <w:spacing w:after="0"/>
        <w:tabs>
          <w:tab w:leader="none" w:pos="160" w:val="left"/>
        </w:tabs>
        <w:numPr>
          <w:ilvl w:val="0"/>
          <w:numId w:val="80"/>
        </w:numPr>
        <w:rPr>
          <w:rFonts w:ascii="Arial" w:cs="Arial" w:eastAsia="Arial" w:hAnsi="Arial"/>
          <w:sz w:val="16"/>
          <w:szCs w:val="16"/>
          <w:color w:val="00A798"/>
        </w:rPr>
      </w:pPr>
      <w:r>
        <w:rPr>
          <w:rFonts w:ascii="Arial" w:cs="Arial" w:eastAsia="Arial" w:hAnsi="Arial"/>
          <w:sz w:val="16"/>
          <w:szCs w:val="16"/>
          <w:color w:val="auto"/>
        </w:rPr>
        <w:t>Similar business model.</w:t>
      </w:r>
    </w:p>
    <w:p>
      <w:pPr>
        <w:spacing w:after="0" w:line="181"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peer group used to inform fiscal 2025 pay decisions for our NEOs was comprised of 18 companies that, in aggregate, approximated MSCI’s size, scope of operations and operating metrics. In particular, the group was selected such that it, in aggregate:</w:t>
      </w:r>
    </w:p>
    <w:p>
      <w:pPr>
        <w:spacing w:after="0" w:line="101" w:lineRule="exact"/>
        <w:rPr>
          <w:sz w:val="20"/>
          <w:szCs w:val="20"/>
          <w:color w:val="auto"/>
        </w:rPr>
      </w:pPr>
    </w:p>
    <w:p>
      <w:pPr>
        <w:ind w:left="160" w:hanging="152"/>
        <w:spacing w:after="0"/>
        <w:tabs>
          <w:tab w:leader="none" w:pos="160" w:val="left"/>
        </w:tabs>
        <w:numPr>
          <w:ilvl w:val="0"/>
          <w:numId w:val="81"/>
        </w:numPr>
        <w:rPr>
          <w:rFonts w:ascii="Arial" w:cs="Arial" w:eastAsia="Arial" w:hAnsi="Arial"/>
          <w:sz w:val="16"/>
          <w:szCs w:val="16"/>
          <w:color w:val="00A798"/>
        </w:rPr>
      </w:pPr>
      <w:r>
        <w:rPr>
          <w:rFonts w:ascii="Arial" w:cs="Arial" w:eastAsia="Arial" w:hAnsi="Arial"/>
          <w:sz w:val="16"/>
          <w:szCs w:val="16"/>
          <w:color w:val="auto"/>
        </w:rPr>
        <w:t>Approximated MSCI’s size on a revenue basis for fiscal 2025;</w:t>
      </w:r>
    </w:p>
    <w:p>
      <w:pPr>
        <w:spacing w:after="0" w:line="86" w:lineRule="exact"/>
        <w:rPr>
          <w:rFonts w:ascii="Arial" w:cs="Arial" w:eastAsia="Arial" w:hAnsi="Arial"/>
          <w:sz w:val="16"/>
          <w:szCs w:val="16"/>
          <w:color w:val="00A798"/>
        </w:rPr>
      </w:pPr>
    </w:p>
    <w:p>
      <w:pPr>
        <w:ind w:left="160" w:hanging="152"/>
        <w:spacing w:after="0"/>
        <w:tabs>
          <w:tab w:leader="none" w:pos="160" w:val="left"/>
        </w:tabs>
        <w:numPr>
          <w:ilvl w:val="0"/>
          <w:numId w:val="81"/>
        </w:numPr>
        <w:rPr>
          <w:rFonts w:ascii="Arial" w:cs="Arial" w:eastAsia="Arial" w:hAnsi="Arial"/>
          <w:sz w:val="16"/>
          <w:szCs w:val="16"/>
          <w:color w:val="00A798"/>
        </w:rPr>
      </w:pPr>
      <w:r>
        <w:rPr>
          <w:rFonts w:ascii="Arial" w:cs="Arial" w:eastAsia="Arial" w:hAnsi="Arial"/>
          <w:sz w:val="16"/>
          <w:szCs w:val="16"/>
          <w:color w:val="auto"/>
        </w:rPr>
        <w:t>Reflected MSCI’s high-margin, high-valuation operating metrics and international reach; and/or</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81"/>
        </w:numPr>
        <w:rPr>
          <w:rFonts w:ascii="Arial" w:cs="Arial" w:eastAsia="Arial" w:hAnsi="Arial"/>
          <w:sz w:val="16"/>
          <w:szCs w:val="16"/>
          <w:color w:val="00A798"/>
        </w:rPr>
      </w:pPr>
      <w:r>
        <w:rPr>
          <w:rFonts w:ascii="Arial" w:cs="Arial" w:eastAsia="Arial" w:hAnsi="Arial"/>
          <w:sz w:val="16"/>
          <w:szCs w:val="16"/>
          <w:color w:val="auto"/>
        </w:rPr>
        <w:t>Represented the competitive talent market for financial technology, research and consulting, and data systems/information technology companies.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Company</w:t>
            </w:r>
          </w:p>
        </w:tc>
        <w:tc>
          <w:tcPr>
            <w:tcW w:w="1280" w:type="dxa"/>
            <w:vAlign w:val="bottom"/>
          </w:tcPr>
          <w:p>
            <w:pPr>
              <w:ind w:left="540"/>
              <w:spacing w:after="0"/>
              <w:rPr>
                <w:sz w:val="20"/>
                <w:szCs w:val="20"/>
                <w:color w:val="auto"/>
              </w:rPr>
            </w:pPr>
            <w:r>
              <w:rPr>
                <w:rFonts w:ascii="Arial" w:cs="Arial" w:eastAsia="Arial" w:hAnsi="Arial"/>
                <w:sz w:val="14"/>
                <w:szCs w:val="14"/>
                <w:b w:val="1"/>
                <w:bCs w:val="1"/>
                <w:color w:val="auto"/>
              </w:rPr>
              <w:t>Ticker</w:t>
            </w:r>
          </w:p>
        </w:tc>
        <w:tc>
          <w:tcPr>
            <w:tcW w:w="7220" w:type="dxa"/>
            <w:vAlign w:val="bottom"/>
          </w:tcPr>
          <w:p>
            <w:pPr>
              <w:ind w:left="300"/>
              <w:spacing w:after="0"/>
              <w:rPr>
                <w:sz w:val="20"/>
                <w:szCs w:val="20"/>
                <w:color w:val="auto"/>
              </w:rPr>
            </w:pPr>
            <w:r>
              <w:rPr>
                <w:rFonts w:ascii="Arial" w:cs="Arial" w:eastAsia="Arial" w:hAnsi="Arial"/>
                <w:sz w:val="14"/>
                <w:szCs w:val="14"/>
                <w:b w:val="1"/>
                <w:bCs w:val="1"/>
                <w:color w:val="auto"/>
              </w:rPr>
              <w:t>GICS Classification</w:t>
            </w:r>
          </w:p>
        </w:tc>
      </w:tr>
      <w:tr>
        <w:trPr>
          <w:trHeight w:val="29"/>
        </w:trPr>
        <w:tc>
          <w:tcPr>
            <w:tcW w:w="2740" w:type="dxa"/>
            <w:vAlign w:val="bottom"/>
            <w:tcBorders>
              <w:bottom w:val="single" w:sz="8" w:color="1A3FD6"/>
            </w:tcBorders>
          </w:tcPr>
          <w:p>
            <w:pPr>
              <w:spacing w:after="0"/>
              <w:rPr>
                <w:sz w:val="2"/>
                <w:szCs w:val="2"/>
                <w:color w:val="auto"/>
              </w:rPr>
            </w:pPr>
          </w:p>
        </w:tc>
        <w:tc>
          <w:tcPr>
            <w:tcW w:w="1280" w:type="dxa"/>
            <w:vAlign w:val="bottom"/>
            <w:tcBorders>
              <w:bottom w:val="single" w:sz="8" w:color="1A3FD6"/>
            </w:tcBorders>
          </w:tcPr>
          <w:p>
            <w:pPr>
              <w:spacing w:after="0"/>
              <w:rPr>
                <w:sz w:val="2"/>
                <w:szCs w:val="2"/>
                <w:color w:val="auto"/>
              </w:rPr>
            </w:pPr>
          </w:p>
        </w:tc>
        <w:tc>
          <w:tcPr>
            <w:tcW w:w="7220" w:type="dxa"/>
            <w:vAlign w:val="bottom"/>
            <w:tcBorders>
              <w:bottom w:val="single" w:sz="8" w:color="1A3FD6"/>
            </w:tcBorders>
          </w:tcPr>
          <w:p>
            <w:pPr>
              <w:spacing w:after="0"/>
              <w:rPr>
                <w:sz w:val="2"/>
                <w:szCs w:val="2"/>
                <w:color w:val="auto"/>
              </w:rPr>
            </w:pPr>
          </w:p>
        </w:tc>
      </w:tr>
      <w:tr>
        <w:trPr>
          <w:trHeight w:val="242"/>
        </w:trPr>
        <w:tc>
          <w:tcPr>
            <w:tcW w:w="2740" w:type="dxa"/>
            <w:vAlign w:val="bottom"/>
            <w:tcBorders>
              <w:bottom w:val="single" w:sz="8" w:color="E8F2FB"/>
            </w:tcBorders>
            <w:shd w:val="clear" w:color="auto" w:fill="E8F2FB"/>
          </w:tcPr>
          <w:p>
            <w:pPr>
              <w:ind w:left="20"/>
              <w:spacing w:after="0"/>
              <w:rPr>
                <w:sz w:val="20"/>
                <w:szCs w:val="20"/>
                <w:color w:val="auto"/>
              </w:rPr>
            </w:pPr>
            <w:r>
              <w:rPr>
                <w:rFonts w:ascii="Arial" w:cs="Arial" w:eastAsia="Arial" w:hAnsi="Arial"/>
                <w:sz w:val="14"/>
                <w:szCs w:val="14"/>
                <w:b w:val="1"/>
                <w:bCs w:val="1"/>
                <w:color w:val="auto"/>
              </w:rPr>
              <w:t>MSCI Inc.</w:t>
            </w:r>
          </w:p>
        </w:tc>
        <w:tc>
          <w:tcPr>
            <w:tcW w:w="1280" w:type="dxa"/>
            <w:vAlign w:val="bottom"/>
            <w:tcBorders>
              <w:bottom w:val="single" w:sz="8" w:color="E8F2FB"/>
            </w:tcBorders>
            <w:shd w:val="clear" w:color="auto" w:fill="E8F2FB"/>
          </w:tcPr>
          <w:p>
            <w:pPr>
              <w:ind w:left="540"/>
              <w:spacing w:after="0"/>
              <w:rPr>
                <w:sz w:val="20"/>
                <w:szCs w:val="20"/>
                <w:color w:val="auto"/>
              </w:rPr>
            </w:pPr>
            <w:r>
              <w:rPr>
                <w:rFonts w:ascii="Arial" w:cs="Arial" w:eastAsia="Arial" w:hAnsi="Arial"/>
                <w:sz w:val="14"/>
                <w:szCs w:val="14"/>
                <w:b w:val="1"/>
                <w:bCs w:val="1"/>
                <w:color w:val="auto"/>
              </w:rPr>
              <w:t>MSCI</w:t>
            </w:r>
          </w:p>
        </w:tc>
        <w:tc>
          <w:tcPr>
            <w:tcW w:w="7220" w:type="dxa"/>
            <w:vAlign w:val="bottom"/>
            <w:tcBorders>
              <w:bottom w:val="single" w:sz="8" w:color="E8F2FB"/>
            </w:tcBorders>
            <w:shd w:val="clear" w:color="auto" w:fill="E8F2FB"/>
          </w:tcPr>
          <w:p>
            <w:pPr>
              <w:ind w:left="300"/>
              <w:spacing w:after="0"/>
              <w:rPr>
                <w:sz w:val="20"/>
                <w:szCs w:val="20"/>
                <w:color w:val="auto"/>
              </w:rPr>
            </w:pPr>
            <w:r>
              <w:rPr>
                <w:rFonts w:ascii="Arial" w:cs="Arial" w:eastAsia="Arial" w:hAnsi="Arial"/>
                <w:sz w:val="14"/>
                <w:szCs w:val="14"/>
                <w:b w:val="1"/>
                <w:bCs w:val="1"/>
                <w:color w:val="auto"/>
              </w:rPr>
              <w:t>Financial Services—Capital Markets—Financial Exchanges and Data</w:t>
            </w:r>
          </w:p>
        </w:tc>
      </w:tr>
      <w:tr>
        <w:trPr>
          <w:trHeight w:val="202"/>
        </w:trPr>
        <w:tc>
          <w:tcPr>
            <w:tcW w:w="2740" w:type="dxa"/>
            <w:vAlign w:val="bottom"/>
            <w:tcBorders>
              <w:top w:val="single" w:sz="8" w:color="E6E7E8"/>
            </w:tcBorders>
          </w:tcPr>
          <w:p>
            <w:pPr>
              <w:ind w:left="20"/>
              <w:spacing w:after="0"/>
              <w:rPr>
                <w:sz w:val="20"/>
                <w:szCs w:val="20"/>
                <w:color w:val="auto"/>
              </w:rPr>
            </w:pPr>
            <w:r>
              <w:rPr>
                <w:rFonts w:ascii="Arial" w:cs="Arial" w:eastAsia="Arial" w:hAnsi="Arial"/>
                <w:sz w:val="14"/>
                <w:szCs w:val="14"/>
                <w:color w:val="auto"/>
              </w:rPr>
              <w:t>Cboe Global Markets, Inc.</w:t>
            </w:r>
          </w:p>
        </w:tc>
        <w:tc>
          <w:tcPr>
            <w:tcW w:w="1280" w:type="dxa"/>
            <w:vAlign w:val="bottom"/>
            <w:tcBorders>
              <w:top w:val="single" w:sz="8" w:color="E6E7E8"/>
            </w:tcBorders>
          </w:tcPr>
          <w:p>
            <w:pPr>
              <w:ind w:left="540"/>
              <w:spacing w:after="0"/>
              <w:rPr>
                <w:sz w:val="20"/>
                <w:szCs w:val="20"/>
                <w:color w:val="auto"/>
              </w:rPr>
            </w:pPr>
            <w:r>
              <w:rPr>
                <w:rFonts w:ascii="Arial" w:cs="Arial" w:eastAsia="Arial" w:hAnsi="Arial"/>
                <w:sz w:val="14"/>
                <w:szCs w:val="14"/>
                <w:color w:val="auto"/>
              </w:rPr>
              <w:t>CBOE</w:t>
            </w:r>
          </w:p>
        </w:tc>
        <w:tc>
          <w:tcPr>
            <w:tcW w:w="7220" w:type="dxa"/>
            <w:vAlign w:val="bottom"/>
            <w:tcBorders>
              <w:top w:val="single" w:sz="8" w:color="E6E7E8"/>
            </w:tcBorders>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CME Group Inc.</w:t>
            </w:r>
          </w:p>
        </w:tc>
        <w:tc>
          <w:tcPr>
            <w:tcW w:w="1280" w:type="dxa"/>
            <w:vAlign w:val="bottom"/>
          </w:tcPr>
          <w:p>
            <w:pPr>
              <w:ind w:left="540"/>
              <w:spacing w:after="0"/>
              <w:rPr>
                <w:sz w:val="20"/>
                <w:szCs w:val="20"/>
                <w:color w:val="auto"/>
              </w:rPr>
            </w:pPr>
            <w:r>
              <w:rPr>
                <w:rFonts w:ascii="Arial" w:cs="Arial" w:eastAsia="Arial" w:hAnsi="Arial"/>
                <w:sz w:val="14"/>
                <w:szCs w:val="14"/>
                <w:color w:val="auto"/>
              </w:rPr>
              <w:t>CME</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CoStar Group, Inc.</w:t>
            </w:r>
          </w:p>
        </w:tc>
        <w:tc>
          <w:tcPr>
            <w:tcW w:w="1280" w:type="dxa"/>
            <w:vAlign w:val="bottom"/>
          </w:tcPr>
          <w:p>
            <w:pPr>
              <w:ind w:left="540"/>
              <w:spacing w:after="0"/>
              <w:rPr>
                <w:sz w:val="20"/>
                <w:szCs w:val="20"/>
                <w:color w:val="auto"/>
              </w:rPr>
            </w:pPr>
            <w:r>
              <w:rPr>
                <w:rFonts w:ascii="Arial" w:cs="Arial" w:eastAsia="Arial" w:hAnsi="Arial"/>
                <w:sz w:val="14"/>
                <w:szCs w:val="14"/>
                <w:color w:val="auto"/>
              </w:rPr>
              <w:t>CSGP</w:t>
            </w:r>
          </w:p>
        </w:tc>
        <w:tc>
          <w:tcPr>
            <w:tcW w:w="7220" w:type="dxa"/>
            <w:vAlign w:val="bottom"/>
          </w:tcPr>
          <w:p>
            <w:pPr>
              <w:ind w:left="300"/>
              <w:spacing w:after="0"/>
              <w:rPr>
                <w:sz w:val="20"/>
                <w:szCs w:val="20"/>
                <w:color w:val="auto"/>
              </w:rPr>
            </w:pPr>
            <w:r>
              <w:rPr>
                <w:rFonts w:ascii="Arial" w:cs="Arial" w:eastAsia="Arial" w:hAnsi="Arial"/>
                <w:sz w:val="14"/>
                <w:szCs w:val="14"/>
                <w:color w:val="auto"/>
              </w:rPr>
              <w:t>Real Estate Management &amp; Development—Real Estate Services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Dun &amp; Bradstreet Holdings, Inc.</w:t>
            </w:r>
          </w:p>
        </w:tc>
        <w:tc>
          <w:tcPr>
            <w:tcW w:w="1280" w:type="dxa"/>
            <w:vAlign w:val="bottom"/>
          </w:tcPr>
          <w:p>
            <w:pPr>
              <w:ind w:left="540"/>
              <w:spacing w:after="0"/>
              <w:rPr>
                <w:sz w:val="20"/>
                <w:szCs w:val="20"/>
                <w:color w:val="auto"/>
              </w:rPr>
            </w:pPr>
            <w:r>
              <w:rPr>
                <w:rFonts w:ascii="Arial" w:cs="Arial" w:eastAsia="Arial" w:hAnsi="Arial"/>
                <w:sz w:val="14"/>
                <w:szCs w:val="14"/>
                <w:color w:val="auto"/>
              </w:rPr>
              <w:t>DNB</w:t>
            </w:r>
          </w:p>
        </w:tc>
        <w:tc>
          <w:tcPr>
            <w:tcW w:w="7220" w:type="dxa"/>
            <w:vAlign w:val="bottom"/>
          </w:tcPr>
          <w:p>
            <w:pPr>
              <w:ind w:left="300"/>
              <w:spacing w:after="0"/>
              <w:rPr>
                <w:sz w:val="20"/>
                <w:szCs w:val="20"/>
                <w:color w:val="auto"/>
              </w:rPr>
            </w:pPr>
            <w:r>
              <w:rPr>
                <w:rFonts w:ascii="Arial" w:cs="Arial" w:eastAsia="Arial" w:hAnsi="Arial"/>
                <w:sz w:val="14"/>
                <w:szCs w:val="14"/>
                <w:color w:val="auto"/>
              </w:rPr>
              <w:t>Industrials—Professional Services—Research and Consulting Services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Equifax Inc.</w:t>
            </w:r>
          </w:p>
        </w:tc>
        <w:tc>
          <w:tcPr>
            <w:tcW w:w="1280" w:type="dxa"/>
            <w:vAlign w:val="bottom"/>
          </w:tcPr>
          <w:p>
            <w:pPr>
              <w:ind w:left="540"/>
              <w:spacing w:after="0"/>
              <w:rPr>
                <w:sz w:val="20"/>
                <w:szCs w:val="20"/>
                <w:color w:val="auto"/>
              </w:rPr>
            </w:pPr>
            <w:r>
              <w:rPr>
                <w:rFonts w:ascii="Arial" w:cs="Arial" w:eastAsia="Arial" w:hAnsi="Arial"/>
                <w:sz w:val="14"/>
                <w:szCs w:val="14"/>
                <w:color w:val="auto"/>
              </w:rPr>
              <w:t>EFX</w:t>
            </w:r>
          </w:p>
        </w:tc>
        <w:tc>
          <w:tcPr>
            <w:tcW w:w="7220" w:type="dxa"/>
            <w:vAlign w:val="bottom"/>
          </w:tcPr>
          <w:p>
            <w:pPr>
              <w:ind w:left="300"/>
              <w:spacing w:after="0"/>
              <w:rPr>
                <w:sz w:val="20"/>
                <w:szCs w:val="20"/>
                <w:color w:val="auto"/>
              </w:rPr>
            </w:pPr>
            <w:r>
              <w:rPr>
                <w:rFonts w:ascii="Arial" w:cs="Arial" w:eastAsia="Arial" w:hAnsi="Arial"/>
                <w:sz w:val="14"/>
                <w:szCs w:val="14"/>
                <w:color w:val="auto"/>
              </w:rPr>
              <w:t>Industrials—Professional Services— Research and Consulting Services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FactSet Research Systems Inc.</w:t>
            </w:r>
          </w:p>
        </w:tc>
        <w:tc>
          <w:tcPr>
            <w:tcW w:w="1280" w:type="dxa"/>
            <w:vAlign w:val="bottom"/>
          </w:tcPr>
          <w:p>
            <w:pPr>
              <w:ind w:left="540"/>
              <w:spacing w:after="0"/>
              <w:rPr>
                <w:sz w:val="20"/>
                <w:szCs w:val="20"/>
                <w:color w:val="auto"/>
              </w:rPr>
            </w:pPr>
            <w:r>
              <w:rPr>
                <w:rFonts w:ascii="Arial" w:cs="Arial" w:eastAsia="Arial" w:hAnsi="Arial"/>
                <w:sz w:val="14"/>
                <w:szCs w:val="14"/>
                <w:color w:val="auto"/>
              </w:rPr>
              <w:t>FDS</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Fair Isaac Corporation</w:t>
            </w:r>
          </w:p>
        </w:tc>
        <w:tc>
          <w:tcPr>
            <w:tcW w:w="1280" w:type="dxa"/>
            <w:vAlign w:val="bottom"/>
          </w:tcPr>
          <w:p>
            <w:pPr>
              <w:ind w:left="540"/>
              <w:spacing w:after="0"/>
              <w:rPr>
                <w:sz w:val="20"/>
                <w:szCs w:val="20"/>
                <w:color w:val="auto"/>
              </w:rPr>
            </w:pPr>
            <w:r>
              <w:rPr>
                <w:rFonts w:ascii="Arial" w:cs="Arial" w:eastAsia="Arial" w:hAnsi="Arial"/>
                <w:sz w:val="14"/>
                <w:szCs w:val="14"/>
                <w:color w:val="auto"/>
              </w:rPr>
              <w:t>FICO</w:t>
            </w:r>
          </w:p>
        </w:tc>
        <w:tc>
          <w:tcPr>
            <w:tcW w:w="7220" w:type="dxa"/>
            <w:vAlign w:val="bottom"/>
          </w:tcPr>
          <w:p>
            <w:pPr>
              <w:ind w:left="300"/>
              <w:spacing w:after="0"/>
              <w:rPr>
                <w:sz w:val="20"/>
                <w:szCs w:val="20"/>
                <w:color w:val="auto"/>
              </w:rPr>
            </w:pPr>
            <w:r>
              <w:rPr>
                <w:rFonts w:ascii="Arial" w:cs="Arial" w:eastAsia="Arial" w:hAnsi="Arial"/>
                <w:sz w:val="14"/>
                <w:szCs w:val="14"/>
                <w:color w:val="auto"/>
              </w:rPr>
              <w:t>Information Technology—Software—Application Software</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Gartner, Inc.</w:t>
            </w:r>
          </w:p>
        </w:tc>
        <w:tc>
          <w:tcPr>
            <w:tcW w:w="1280" w:type="dxa"/>
            <w:vAlign w:val="bottom"/>
          </w:tcPr>
          <w:p>
            <w:pPr>
              <w:ind w:left="540"/>
              <w:spacing w:after="0"/>
              <w:rPr>
                <w:sz w:val="20"/>
                <w:szCs w:val="20"/>
                <w:color w:val="auto"/>
              </w:rPr>
            </w:pPr>
            <w:r>
              <w:rPr>
                <w:rFonts w:ascii="Arial" w:cs="Arial" w:eastAsia="Arial" w:hAnsi="Arial"/>
                <w:sz w:val="14"/>
                <w:szCs w:val="14"/>
                <w:color w:val="auto"/>
              </w:rPr>
              <w:t>IT</w:t>
            </w:r>
          </w:p>
        </w:tc>
        <w:tc>
          <w:tcPr>
            <w:tcW w:w="7220" w:type="dxa"/>
            <w:vAlign w:val="bottom"/>
          </w:tcPr>
          <w:p>
            <w:pPr>
              <w:ind w:left="300"/>
              <w:spacing w:after="0"/>
              <w:rPr>
                <w:sz w:val="20"/>
                <w:szCs w:val="20"/>
                <w:color w:val="auto"/>
              </w:rPr>
            </w:pPr>
            <w:r>
              <w:rPr>
                <w:rFonts w:ascii="Arial" w:cs="Arial" w:eastAsia="Arial" w:hAnsi="Arial"/>
                <w:sz w:val="14"/>
                <w:szCs w:val="14"/>
                <w:color w:val="auto"/>
              </w:rPr>
              <w:t>Information Technology—IT Services—IT Consulting and Other Services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Intercontinental Exchange, Inc.</w:t>
            </w:r>
          </w:p>
        </w:tc>
        <w:tc>
          <w:tcPr>
            <w:tcW w:w="1280" w:type="dxa"/>
            <w:vAlign w:val="bottom"/>
          </w:tcPr>
          <w:p>
            <w:pPr>
              <w:ind w:left="540"/>
              <w:spacing w:after="0"/>
              <w:rPr>
                <w:sz w:val="20"/>
                <w:szCs w:val="20"/>
                <w:color w:val="auto"/>
              </w:rPr>
            </w:pPr>
            <w:r>
              <w:rPr>
                <w:rFonts w:ascii="Arial" w:cs="Arial" w:eastAsia="Arial" w:hAnsi="Arial"/>
                <w:sz w:val="14"/>
                <w:szCs w:val="14"/>
                <w:color w:val="auto"/>
              </w:rPr>
              <w:t>ICE</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MarketAxess Holdings Inc.</w:t>
            </w:r>
          </w:p>
        </w:tc>
        <w:tc>
          <w:tcPr>
            <w:tcW w:w="1280" w:type="dxa"/>
            <w:vAlign w:val="bottom"/>
          </w:tcPr>
          <w:p>
            <w:pPr>
              <w:ind w:left="540"/>
              <w:spacing w:after="0"/>
              <w:rPr>
                <w:sz w:val="20"/>
                <w:szCs w:val="20"/>
                <w:color w:val="auto"/>
              </w:rPr>
            </w:pPr>
            <w:r>
              <w:rPr>
                <w:rFonts w:ascii="Arial" w:cs="Arial" w:eastAsia="Arial" w:hAnsi="Arial"/>
                <w:sz w:val="14"/>
                <w:szCs w:val="14"/>
                <w:color w:val="auto"/>
              </w:rPr>
              <w:t>MKTX</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Moody’s Corporation</w:t>
            </w:r>
          </w:p>
        </w:tc>
        <w:tc>
          <w:tcPr>
            <w:tcW w:w="1280" w:type="dxa"/>
            <w:vAlign w:val="bottom"/>
          </w:tcPr>
          <w:p>
            <w:pPr>
              <w:ind w:left="540"/>
              <w:spacing w:after="0"/>
              <w:rPr>
                <w:sz w:val="20"/>
                <w:szCs w:val="20"/>
                <w:color w:val="auto"/>
              </w:rPr>
            </w:pPr>
            <w:r>
              <w:rPr>
                <w:rFonts w:ascii="Arial" w:cs="Arial" w:eastAsia="Arial" w:hAnsi="Arial"/>
                <w:sz w:val="14"/>
                <w:szCs w:val="14"/>
                <w:color w:val="auto"/>
              </w:rPr>
              <w:t>MCO</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Morningstar, Inc.</w:t>
            </w:r>
          </w:p>
        </w:tc>
        <w:tc>
          <w:tcPr>
            <w:tcW w:w="1280" w:type="dxa"/>
            <w:vAlign w:val="bottom"/>
          </w:tcPr>
          <w:p>
            <w:pPr>
              <w:ind w:left="540"/>
              <w:spacing w:after="0"/>
              <w:rPr>
                <w:sz w:val="20"/>
                <w:szCs w:val="20"/>
                <w:color w:val="auto"/>
              </w:rPr>
            </w:pPr>
            <w:r>
              <w:rPr>
                <w:rFonts w:ascii="Arial" w:cs="Arial" w:eastAsia="Arial" w:hAnsi="Arial"/>
                <w:sz w:val="14"/>
                <w:szCs w:val="14"/>
                <w:color w:val="auto"/>
              </w:rPr>
              <w:t>MORN</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Nasdaq, Inc.</w:t>
            </w:r>
          </w:p>
        </w:tc>
        <w:tc>
          <w:tcPr>
            <w:tcW w:w="1280" w:type="dxa"/>
            <w:vAlign w:val="bottom"/>
          </w:tcPr>
          <w:p>
            <w:pPr>
              <w:ind w:left="540"/>
              <w:spacing w:after="0"/>
              <w:rPr>
                <w:sz w:val="20"/>
                <w:szCs w:val="20"/>
                <w:color w:val="auto"/>
              </w:rPr>
            </w:pPr>
            <w:r>
              <w:rPr>
                <w:rFonts w:ascii="Arial" w:cs="Arial" w:eastAsia="Arial" w:hAnsi="Arial"/>
                <w:sz w:val="14"/>
                <w:szCs w:val="14"/>
                <w:color w:val="auto"/>
              </w:rPr>
              <w:t>NDAQ</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SEI Investments Company</w:t>
            </w:r>
          </w:p>
        </w:tc>
        <w:tc>
          <w:tcPr>
            <w:tcW w:w="1280" w:type="dxa"/>
            <w:vAlign w:val="bottom"/>
          </w:tcPr>
          <w:p>
            <w:pPr>
              <w:ind w:left="540"/>
              <w:spacing w:after="0"/>
              <w:rPr>
                <w:sz w:val="20"/>
                <w:szCs w:val="20"/>
                <w:color w:val="auto"/>
              </w:rPr>
            </w:pPr>
            <w:r>
              <w:rPr>
                <w:rFonts w:ascii="Arial" w:cs="Arial" w:eastAsia="Arial" w:hAnsi="Arial"/>
                <w:sz w:val="14"/>
                <w:szCs w:val="14"/>
                <w:color w:val="auto"/>
              </w:rPr>
              <w:t>SEIC</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Markets—Asset Management and Custody Banks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S&amp;P Global Inc.</w:t>
            </w:r>
          </w:p>
        </w:tc>
        <w:tc>
          <w:tcPr>
            <w:tcW w:w="1280" w:type="dxa"/>
            <w:vAlign w:val="bottom"/>
          </w:tcPr>
          <w:p>
            <w:pPr>
              <w:ind w:left="540"/>
              <w:spacing w:after="0"/>
              <w:rPr>
                <w:sz w:val="20"/>
                <w:szCs w:val="20"/>
                <w:color w:val="auto"/>
              </w:rPr>
            </w:pPr>
            <w:r>
              <w:rPr>
                <w:rFonts w:ascii="Arial" w:cs="Arial" w:eastAsia="Arial" w:hAnsi="Arial"/>
                <w:sz w:val="14"/>
                <w:szCs w:val="14"/>
                <w:color w:val="auto"/>
              </w:rPr>
              <w:t>SPGI</w:t>
            </w:r>
          </w:p>
        </w:tc>
        <w:tc>
          <w:tcPr>
            <w:tcW w:w="7220" w:type="dxa"/>
            <w:vAlign w:val="bottom"/>
          </w:tcPr>
          <w:p>
            <w:pPr>
              <w:ind w:left="30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SS&amp;C Technologies Holdings, Inc.</w:t>
            </w:r>
          </w:p>
        </w:tc>
        <w:tc>
          <w:tcPr>
            <w:tcW w:w="1280" w:type="dxa"/>
            <w:vAlign w:val="bottom"/>
          </w:tcPr>
          <w:p>
            <w:pPr>
              <w:ind w:left="540"/>
              <w:spacing w:after="0"/>
              <w:rPr>
                <w:sz w:val="20"/>
                <w:szCs w:val="20"/>
                <w:color w:val="auto"/>
              </w:rPr>
            </w:pPr>
            <w:r>
              <w:rPr>
                <w:rFonts w:ascii="Arial" w:cs="Arial" w:eastAsia="Arial" w:hAnsi="Arial"/>
                <w:sz w:val="14"/>
                <w:szCs w:val="14"/>
                <w:color w:val="auto"/>
              </w:rPr>
              <w:t>SSNC</w:t>
            </w:r>
          </w:p>
        </w:tc>
        <w:tc>
          <w:tcPr>
            <w:tcW w:w="7220" w:type="dxa"/>
            <w:vAlign w:val="bottom"/>
          </w:tcPr>
          <w:p>
            <w:pPr>
              <w:ind w:left="300"/>
              <w:spacing w:after="0"/>
              <w:rPr>
                <w:sz w:val="20"/>
                <w:szCs w:val="20"/>
                <w:color w:val="auto"/>
              </w:rPr>
            </w:pPr>
            <w:r>
              <w:rPr>
                <w:rFonts w:ascii="Arial" w:cs="Arial" w:eastAsia="Arial" w:hAnsi="Arial"/>
                <w:sz w:val="14"/>
                <w:szCs w:val="14"/>
                <w:color w:val="auto"/>
              </w:rPr>
              <w:t>Industrials—Professional Services—Data Processing and Outsourced Services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1"/>
        </w:trPr>
        <w:tc>
          <w:tcPr>
            <w:tcW w:w="2740" w:type="dxa"/>
            <w:vAlign w:val="bottom"/>
          </w:tcPr>
          <w:p>
            <w:pPr>
              <w:ind w:left="20"/>
              <w:spacing w:after="0"/>
              <w:rPr>
                <w:sz w:val="20"/>
                <w:szCs w:val="20"/>
                <w:color w:val="auto"/>
              </w:rPr>
            </w:pPr>
            <w:r>
              <w:rPr>
                <w:rFonts w:ascii="Arial" w:cs="Arial" w:eastAsia="Arial" w:hAnsi="Arial"/>
                <w:sz w:val="14"/>
                <w:szCs w:val="14"/>
                <w:color w:val="auto"/>
              </w:rPr>
              <w:t>TransUnion</w:t>
            </w:r>
          </w:p>
        </w:tc>
        <w:tc>
          <w:tcPr>
            <w:tcW w:w="1280" w:type="dxa"/>
            <w:vAlign w:val="bottom"/>
          </w:tcPr>
          <w:p>
            <w:pPr>
              <w:ind w:left="540"/>
              <w:spacing w:after="0"/>
              <w:rPr>
                <w:sz w:val="20"/>
                <w:szCs w:val="20"/>
                <w:color w:val="auto"/>
              </w:rPr>
            </w:pPr>
            <w:r>
              <w:rPr>
                <w:rFonts w:ascii="Arial" w:cs="Arial" w:eastAsia="Arial" w:hAnsi="Arial"/>
                <w:sz w:val="14"/>
                <w:szCs w:val="14"/>
                <w:color w:val="auto"/>
              </w:rPr>
              <w:t>TRU</w:t>
            </w:r>
          </w:p>
        </w:tc>
        <w:tc>
          <w:tcPr>
            <w:tcW w:w="7220" w:type="dxa"/>
            <w:vAlign w:val="bottom"/>
          </w:tcPr>
          <w:p>
            <w:pPr>
              <w:ind w:left="300"/>
              <w:spacing w:after="0"/>
              <w:rPr>
                <w:sz w:val="20"/>
                <w:szCs w:val="20"/>
                <w:color w:val="auto"/>
              </w:rPr>
            </w:pPr>
            <w:r>
              <w:rPr>
                <w:rFonts w:ascii="Arial" w:cs="Arial" w:eastAsia="Arial" w:hAnsi="Arial"/>
                <w:sz w:val="14"/>
                <w:szCs w:val="14"/>
                <w:color w:val="auto"/>
              </w:rPr>
              <w:t>Industrials—Professional Services—Research and Consulting Services</w:t>
            </w:r>
          </w:p>
        </w:tc>
      </w:tr>
      <w:tr>
        <w:trPr>
          <w:trHeight w:val="35"/>
        </w:trPr>
        <w:tc>
          <w:tcPr>
            <w:tcW w:w="2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7220" w:type="dxa"/>
            <w:vAlign w:val="bottom"/>
            <w:tcBorders>
              <w:bottom w:val="single" w:sz="8" w:color="E6E7E8"/>
            </w:tcBorders>
          </w:tcPr>
          <w:p>
            <w:pPr>
              <w:spacing w:after="0"/>
              <w:rPr>
                <w:sz w:val="3"/>
                <w:szCs w:val="3"/>
                <w:color w:val="auto"/>
              </w:rPr>
            </w:pPr>
          </w:p>
        </w:tc>
      </w:tr>
      <w:tr>
        <w:trPr>
          <w:trHeight w:val="202"/>
        </w:trPr>
        <w:tc>
          <w:tcPr>
            <w:tcW w:w="2740" w:type="dxa"/>
            <w:vAlign w:val="bottom"/>
          </w:tcPr>
          <w:p>
            <w:pPr>
              <w:ind w:left="20"/>
              <w:spacing w:after="0"/>
              <w:rPr>
                <w:sz w:val="20"/>
                <w:szCs w:val="20"/>
                <w:color w:val="auto"/>
              </w:rPr>
            </w:pPr>
            <w:r>
              <w:rPr>
                <w:rFonts w:ascii="Arial" w:cs="Arial" w:eastAsia="Arial" w:hAnsi="Arial"/>
                <w:sz w:val="14"/>
                <w:szCs w:val="14"/>
                <w:color w:val="auto"/>
              </w:rPr>
              <w:t>Verisk Analytics, Inc.</w:t>
            </w:r>
          </w:p>
        </w:tc>
        <w:tc>
          <w:tcPr>
            <w:tcW w:w="1280" w:type="dxa"/>
            <w:vAlign w:val="bottom"/>
          </w:tcPr>
          <w:p>
            <w:pPr>
              <w:ind w:left="540"/>
              <w:spacing w:after="0"/>
              <w:rPr>
                <w:sz w:val="20"/>
                <w:szCs w:val="20"/>
                <w:color w:val="auto"/>
              </w:rPr>
            </w:pPr>
            <w:r>
              <w:rPr>
                <w:rFonts w:ascii="Arial" w:cs="Arial" w:eastAsia="Arial" w:hAnsi="Arial"/>
                <w:sz w:val="14"/>
                <w:szCs w:val="14"/>
                <w:color w:val="auto"/>
              </w:rPr>
              <w:t>VRSK</w:t>
            </w:r>
          </w:p>
        </w:tc>
        <w:tc>
          <w:tcPr>
            <w:tcW w:w="7220" w:type="dxa"/>
            <w:vAlign w:val="bottom"/>
          </w:tcPr>
          <w:p>
            <w:pPr>
              <w:ind w:left="300"/>
              <w:spacing w:after="0"/>
              <w:rPr>
                <w:sz w:val="20"/>
                <w:szCs w:val="20"/>
                <w:color w:val="auto"/>
              </w:rPr>
            </w:pPr>
            <w:r>
              <w:rPr>
                <w:rFonts w:ascii="Arial" w:cs="Arial" w:eastAsia="Arial" w:hAnsi="Arial"/>
                <w:sz w:val="14"/>
                <w:szCs w:val="14"/>
                <w:color w:val="auto"/>
              </w:rPr>
              <w:t>Industrials—Professional Services—Research and Consulting Services</w:t>
            </w:r>
          </w:p>
        </w:tc>
      </w:tr>
      <w:tr>
        <w:trPr>
          <w:trHeight w:val="35"/>
        </w:trPr>
        <w:tc>
          <w:tcPr>
            <w:tcW w:w="2740" w:type="dxa"/>
            <w:vAlign w:val="bottom"/>
            <w:tcBorders>
              <w:bottom w:val="single" w:sz="8" w:color="1A3FD6"/>
            </w:tcBorders>
          </w:tcPr>
          <w:p>
            <w:pPr>
              <w:spacing w:after="0"/>
              <w:rPr>
                <w:sz w:val="3"/>
                <w:szCs w:val="3"/>
                <w:color w:val="auto"/>
              </w:rPr>
            </w:pPr>
          </w:p>
        </w:tc>
        <w:tc>
          <w:tcPr>
            <w:tcW w:w="1280" w:type="dxa"/>
            <w:vAlign w:val="bottom"/>
            <w:tcBorders>
              <w:bottom w:val="single" w:sz="8" w:color="1A3FD6"/>
            </w:tcBorders>
          </w:tcPr>
          <w:p>
            <w:pPr>
              <w:spacing w:after="0"/>
              <w:rPr>
                <w:sz w:val="3"/>
                <w:szCs w:val="3"/>
                <w:color w:val="auto"/>
              </w:rPr>
            </w:pPr>
          </w:p>
        </w:tc>
        <w:tc>
          <w:tcPr>
            <w:tcW w:w="7220" w:type="dxa"/>
            <w:vAlign w:val="bottom"/>
            <w:tcBorders>
              <w:bottom w:val="single" w:sz="8" w:color="1A3FD6"/>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145415</wp:posOffset>
            </wp:positionV>
            <wp:extent cx="5554980" cy="15944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5498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Review for 2026</w:t>
      </w:r>
    </w:p>
    <w:p>
      <w:pPr>
        <w:spacing w:after="0" w:line="14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its annual review of the executive compensation peer group for 2026, the Compensation Committee undertook a comprehensive review of the executive compensation peer group following considerable evolution of the industries in which the Company operates over the last few years and the evolution and expansion of the Company’s product lines. As a result, the Compensation Committee removed Dun &amp; Bradstreet Holdings, Inc. (due to its recent acquisition by Clearlake Capital Group, L.P.) and added Tradeweb Markets Inc. (due to its business alignment to the Company in data and analytics offerings) to the peer group that was used as a reference when setting fiscal 2026 pay for our NEOs: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Change</w:t>
            </w:r>
          </w:p>
        </w:tc>
        <w:tc>
          <w:tcPr>
            <w:tcW w:w="2680" w:type="dxa"/>
            <w:vAlign w:val="bottom"/>
          </w:tcPr>
          <w:p>
            <w:pPr>
              <w:ind w:left="260"/>
              <w:spacing w:after="0"/>
              <w:rPr>
                <w:sz w:val="20"/>
                <w:szCs w:val="20"/>
                <w:color w:val="auto"/>
              </w:rPr>
            </w:pPr>
            <w:r>
              <w:rPr>
                <w:rFonts w:ascii="Arial" w:cs="Arial" w:eastAsia="Arial" w:hAnsi="Arial"/>
                <w:sz w:val="14"/>
                <w:szCs w:val="14"/>
                <w:b w:val="1"/>
                <w:bCs w:val="1"/>
                <w:color w:val="auto"/>
              </w:rPr>
              <w:t>Company</w:t>
            </w:r>
          </w:p>
        </w:tc>
        <w:tc>
          <w:tcPr>
            <w:tcW w:w="1080" w:type="dxa"/>
            <w:vAlign w:val="bottom"/>
          </w:tcPr>
          <w:p>
            <w:pPr>
              <w:ind w:left="420"/>
              <w:spacing w:after="0"/>
              <w:rPr>
                <w:sz w:val="20"/>
                <w:szCs w:val="20"/>
                <w:color w:val="auto"/>
              </w:rPr>
            </w:pPr>
            <w:r>
              <w:rPr>
                <w:rFonts w:ascii="Arial" w:cs="Arial" w:eastAsia="Arial" w:hAnsi="Arial"/>
                <w:sz w:val="14"/>
                <w:szCs w:val="14"/>
                <w:b w:val="1"/>
                <w:bCs w:val="1"/>
                <w:color w:val="auto"/>
              </w:rPr>
              <w:t>Ticker</w:t>
            </w:r>
          </w:p>
        </w:tc>
        <w:tc>
          <w:tcPr>
            <w:tcW w:w="6480" w:type="dxa"/>
            <w:vAlign w:val="bottom"/>
          </w:tcPr>
          <w:p>
            <w:pPr>
              <w:ind w:left="240"/>
              <w:spacing w:after="0"/>
              <w:rPr>
                <w:sz w:val="20"/>
                <w:szCs w:val="20"/>
                <w:color w:val="auto"/>
              </w:rPr>
            </w:pPr>
            <w:r>
              <w:rPr>
                <w:rFonts w:ascii="Arial" w:cs="Arial" w:eastAsia="Arial" w:hAnsi="Arial"/>
                <w:sz w:val="14"/>
                <w:szCs w:val="14"/>
                <w:b w:val="1"/>
                <w:bCs w:val="1"/>
                <w:color w:val="auto"/>
              </w:rPr>
              <w:t>GICS Classification</w:t>
            </w:r>
          </w:p>
        </w:tc>
      </w:tr>
      <w:tr>
        <w:trPr>
          <w:trHeight w:val="29"/>
        </w:trPr>
        <w:tc>
          <w:tcPr>
            <w:tcW w:w="1000" w:type="dxa"/>
            <w:vAlign w:val="bottom"/>
            <w:tcBorders>
              <w:bottom w:val="single" w:sz="8" w:color="1A3FD6"/>
            </w:tcBorders>
          </w:tcPr>
          <w:p>
            <w:pPr>
              <w:spacing w:after="0"/>
              <w:rPr>
                <w:sz w:val="2"/>
                <w:szCs w:val="2"/>
                <w:color w:val="auto"/>
              </w:rPr>
            </w:pPr>
          </w:p>
        </w:tc>
        <w:tc>
          <w:tcPr>
            <w:tcW w:w="268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c>
          <w:tcPr>
            <w:tcW w:w="6480" w:type="dxa"/>
            <w:vAlign w:val="bottom"/>
            <w:tcBorders>
              <w:bottom w:val="single" w:sz="8" w:color="1A3FD6"/>
            </w:tcBorders>
          </w:tcPr>
          <w:p>
            <w:pPr>
              <w:spacing w:after="0"/>
              <w:rPr>
                <w:sz w:val="2"/>
                <w:szCs w:val="2"/>
                <w:color w:val="auto"/>
              </w:rPr>
            </w:pPr>
          </w:p>
        </w:tc>
      </w:tr>
      <w:tr>
        <w:trPr>
          <w:trHeight w:val="376"/>
        </w:trPr>
        <w:tc>
          <w:tcPr>
            <w:tcW w:w="1000" w:type="dxa"/>
            <w:vAlign w:val="bottom"/>
          </w:tcPr>
          <w:p>
            <w:pPr>
              <w:ind w:left="40"/>
              <w:spacing w:after="0"/>
              <w:rPr>
                <w:sz w:val="20"/>
                <w:szCs w:val="20"/>
                <w:color w:val="auto"/>
              </w:rPr>
            </w:pPr>
            <w:r>
              <w:rPr>
                <w:rFonts w:ascii="Arial" w:cs="Arial" w:eastAsia="Arial" w:hAnsi="Arial"/>
                <w:sz w:val="32"/>
                <w:szCs w:val="32"/>
                <w:b w:val="1"/>
                <w:bCs w:val="1"/>
                <w:color w:val="auto"/>
              </w:rPr>
              <w:t>+</w:t>
            </w:r>
          </w:p>
        </w:tc>
        <w:tc>
          <w:tcPr>
            <w:tcW w:w="2680" w:type="dxa"/>
            <w:vAlign w:val="bottom"/>
          </w:tcPr>
          <w:p>
            <w:pPr>
              <w:ind w:left="260"/>
              <w:spacing w:after="0"/>
              <w:rPr>
                <w:sz w:val="20"/>
                <w:szCs w:val="20"/>
                <w:color w:val="auto"/>
              </w:rPr>
            </w:pPr>
            <w:r>
              <w:rPr>
                <w:rFonts w:ascii="Arial" w:cs="Arial" w:eastAsia="Arial" w:hAnsi="Arial"/>
                <w:sz w:val="14"/>
                <w:szCs w:val="14"/>
                <w:color w:val="auto"/>
              </w:rPr>
              <w:t>Tradeweb Markets Inc.</w:t>
            </w:r>
          </w:p>
        </w:tc>
        <w:tc>
          <w:tcPr>
            <w:tcW w:w="1080" w:type="dxa"/>
            <w:vAlign w:val="bottom"/>
          </w:tcPr>
          <w:p>
            <w:pPr>
              <w:ind w:left="420"/>
              <w:spacing w:after="0"/>
              <w:rPr>
                <w:sz w:val="20"/>
                <w:szCs w:val="20"/>
                <w:color w:val="auto"/>
              </w:rPr>
            </w:pPr>
            <w:r>
              <w:rPr>
                <w:rFonts w:ascii="Arial" w:cs="Arial" w:eastAsia="Arial" w:hAnsi="Arial"/>
                <w:sz w:val="14"/>
                <w:szCs w:val="14"/>
                <w:color w:val="auto"/>
              </w:rPr>
              <w:t>TW</w:t>
            </w:r>
          </w:p>
        </w:tc>
        <w:tc>
          <w:tcPr>
            <w:tcW w:w="6480" w:type="dxa"/>
            <w:vAlign w:val="bottom"/>
          </w:tcPr>
          <w:p>
            <w:pPr>
              <w:ind w:left="240"/>
              <w:spacing w:after="0"/>
              <w:rPr>
                <w:sz w:val="20"/>
                <w:szCs w:val="20"/>
                <w:color w:val="auto"/>
              </w:rPr>
            </w:pPr>
            <w:r>
              <w:rPr>
                <w:rFonts w:ascii="Arial" w:cs="Arial" w:eastAsia="Arial" w:hAnsi="Arial"/>
                <w:sz w:val="14"/>
                <w:szCs w:val="14"/>
                <w:color w:val="auto"/>
              </w:rPr>
              <w:t>Financial Services—Capital Markets—Financial Exchanges and Data</w:t>
            </w:r>
          </w:p>
        </w:tc>
      </w:tr>
      <w:tr>
        <w:trPr>
          <w:trHeight w:val="190"/>
        </w:trPr>
        <w:tc>
          <w:tcPr>
            <w:tcW w:w="1000" w:type="dxa"/>
            <w:vAlign w:val="bottom"/>
          </w:tcPr>
          <w:p>
            <w:pPr>
              <w:ind w:left="20"/>
              <w:spacing w:after="0"/>
              <w:rPr>
                <w:sz w:val="20"/>
                <w:szCs w:val="20"/>
                <w:color w:val="auto"/>
              </w:rPr>
            </w:pPr>
            <w:r>
              <w:rPr>
                <w:rFonts w:ascii="Arial" w:cs="Arial" w:eastAsia="Arial" w:hAnsi="Arial"/>
                <w:sz w:val="14"/>
                <w:szCs w:val="14"/>
                <w:color w:val="auto"/>
              </w:rPr>
              <w:t>(Added)</w:t>
            </w:r>
          </w:p>
        </w:tc>
        <w:tc>
          <w:tcPr>
            <w:tcW w:w="2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80" w:type="dxa"/>
            <w:vAlign w:val="bottom"/>
          </w:tcPr>
          <w:p>
            <w:pPr>
              <w:spacing w:after="0"/>
              <w:rPr>
                <w:sz w:val="16"/>
                <w:szCs w:val="16"/>
                <w:color w:val="auto"/>
              </w:rPr>
            </w:pPr>
          </w:p>
        </w:tc>
      </w:tr>
      <w:tr>
        <w:trPr>
          <w:trHeight w:val="75"/>
        </w:trPr>
        <w:tc>
          <w:tcPr>
            <w:tcW w:w="1000" w:type="dxa"/>
            <w:vAlign w:val="bottom"/>
            <w:tcBorders>
              <w:bottom w:val="single" w:sz="8" w:color="E6E7E8"/>
            </w:tcBorders>
          </w:tcPr>
          <w:p>
            <w:pPr>
              <w:spacing w:after="0"/>
              <w:rPr>
                <w:sz w:val="6"/>
                <w:szCs w:val="6"/>
                <w:color w:val="auto"/>
              </w:rPr>
            </w:pPr>
          </w:p>
        </w:tc>
        <w:tc>
          <w:tcPr>
            <w:tcW w:w="2680" w:type="dxa"/>
            <w:vAlign w:val="bottom"/>
            <w:tcBorders>
              <w:bottom w:val="single" w:sz="8" w:color="E6E7E8"/>
            </w:tcBorders>
          </w:tcPr>
          <w:p>
            <w:pPr>
              <w:spacing w:after="0"/>
              <w:rPr>
                <w:sz w:val="6"/>
                <w:szCs w:val="6"/>
                <w:color w:val="auto"/>
              </w:rPr>
            </w:pPr>
          </w:p>
        </w:tc>
        <w:tc>
          <w:tcPr>
            <w:tcW w:w="1080" w:type="dxa"/>
            <w:vAlign w:val="bottom"/>
            <w:tcBorders>
              <w:bottom w:val="single" w:sz="8" w:color="E6E7E8"/>
            </w:tcBorders>
          </w:tcPr>
          <w:p>
            <w:pPr>
              <w:spacing w:after="0"/>
              <w:rPr>
                <w:sz w:val="6"/>
                <w:szCs w:val="6"/>
                <w:color w:val="auto"/>
              </w:rPr>
            </w:pPr>
          </w:p>
        </w:tc>
        <w:tc>
          <w:tcPr>
            <w:tcW w:w="6480" w:type="dxa"/>
            <w:vAlign w:val="bottom"/>
            <w:tcBorders>
              <w:bottom w:val="single" w:sz="8" w:color="E6E7E8"/>
            </w:tcBorders>
          </w:tcPr>
          <w:p>
            <w:pPr>
              <w:spacing w:after="0"/>
              <w:rPr>
                <w:sz w:val="6"/>
                <w:szCs w:val="6"/>
                <w:color w:val="auto"/>
              </w:rPr>
            </w:pPr>
          </w:p>
        </w:tc>
      </w:tr>
      <w:tr>
        <w:trPr>
          <w:trHeight w:val="335"/>
        </w:trPr>
        <w:tc>
          <w:tcPr>
            <w:tcW w:w="1000" w:type="dxa"/>
            <w:vAlign w:val="bottom"/>
          </w:tcPr>
          <w:p>
            <w:pPr>
              <w:ind w:left="40"/>
              <w:spacing w:after="0" w:line="335" w:lineRule="exact"/>
              <w:rPr>
                <w:sz w:val="20"/>
                <w:szCs w:val="20"/>
                <w:color w:val="auto"/>
              </w:rPr>
            </w:pPr>
            <w:r>
              <w:rPr>
                <w:rFonts w:ascii="Arial" w:cs="Arial" w:eastAsia="Arial" w:hAnsi="Arial"/>
                <w:sz w:val="32"/>
                <w:szCs w:val="32"/>
                <w:b w:val="1"/>
                <w:bCs w:val="1"/>
                <w:color w:val="auto"/>
              </w:rPr>
              <w:t>-</w:t>
            </w:r>
          </w:p>
        </w:tc>
        <w:tc>
          <w:tcPr>
            <w:tcW w:w="2680" w:type="dxa"/>
            <w:vAlign w:val="bottom"/>
          </w:tcPr>
          <w:p>
            <w:pPr>
              <w:ind w:left="260"/>
              <w:spacing w:after="0"/>
              <w:rPr>
                <w:sz w:val="20"/>
                <w:szCs w:val="20"/>
                <w:color w:val="auto"/>
              </w:rPr>
            </w:pPr>
            <w:r>
              <w:rPr>
                <w:rFonts w:ascii="Arial" w:cs="Arial" w:eastAsia="Arial" w:hAnsi="Arial"/>
                <w:sz w:val="14"/>
                <w:szCs w:val="14"/>
                <w:color w:val="auto"/>
              </w:rPr>
              <w:t>Dun &amp; Bradstreet Holdings, Inc.</w:t>
            </w:r>
          </w:p>
        </w:tc>
        <w:tc>
          <w:tcPr>
            <w:tcW w:w="1080" w:type="dxa"/>
            <w:vAlign w:val="bottom"/>
          </w:tcPr>
          <w:p>
            <w:pPr>
              <w:ind w:left="420"/>
              <w:spacing w:after="0"/>
              <w:rPr>
                <w:sz w:val="20"/>
                <w:szCs w:val="20"/>
                <w:color w:val="auto"/>
              </w:rPr>
            </w:pPr>
            <w:r>
              <w:rPr>
                <w:rFonts w:ascii="Arial" w:cs="Arial" w:eastAsia="Arial" w:hAnsi="Arial"/>
                <w:sz w:val="14"/>
                <w:szCs w:val="14"/>
                <w:color w:val="auto"/>
              </w:rPr>
              <w:t>DNB</w:t>
            </w:r>
          </w:p>
        </w:tc>
        <w:tc>
          <w:tcPr>
            <w:tcW w:w="6480" w:type="dxa"/>
            <w:vAlign w:val="bottom"/>
          </w:tcPr>
          <w:p>
            <w:pPr>
              <w:ind w:left="240"/>
              <w:spacing w:after="0"/>
              <w:rPr>
                <w:sz w:val="20"/>
                <w:szCs w:val="20"/>
                <w:color w:val="auto"/>
              </w:rPr>
            </w:pPr>
            <w:r>
              <w:rPr>
                <w:rFonts w:ascii="Arial" w:cs="Arial" w:eastAsia="Arial" w:hAnsi="Arial"/>
                <w:sz w:val="14"/>
                <w:szCs w:val="14"/>
                <w:color w:val="auto"/>
              </w:rPr>
              <w:t>Industrials—Professional Services—Research and Consulting Services</w:t>
            </w:r>
          </w:p>
        </w:tc>
      </w:tr>
      <w:tr>
        <w:trPr>
          <w:trHeight w:val="190"/>
        </w:trPr>
        <w:tc>
          <w:tcPr>
            <w:tcW w:w="1000" w:type="dxa"/>
            <w:vAlign w:val="bottom"/>
          </w:tcPr>
          <w:p>
            <w:pPr>
              <w:ind w:left="20"/>
              <w:spacing w:after="0"/>
              <w:rPr>
                <w:sz w:val="20"/>
                <w:szCs w:val="20"/>
                <w:color w:val="auto"/>
              </w:rPr>
            </w:pPr>
            <w:r>
              <w:rPr>
                <w:rFonts w:ascii="Arial" w:cs="Arial" w:eastAsia="Arial" w:hAnsi="Arial"/>
                <w:sz w:val="14"/>
                <w:szCs w:val="14"/>
                <w:color w:val="auto"/>
              </w:rPr>
              <w:t>(Removed)</w:t>
            </w:r>
          </w:p>
        </w:tc>
        <w:tc>
          <w:tcPr>
            <w:tcW w:w="2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80" w:type="dxa"/>
            <w:vAlign w:val="bottom"/>
          </w:tcPr>
          <w:p>
            <w:pPr>
              <w:spacing w:after="0"/>
              <w:rPr>
                <w:sz w:val="16"/>
                <w:szCs w:val="16"/>
                <w:color w:val="auto"/>
              </w:rPr>
            </w:pPr>
          </w:p>
        </w:tc>
      </w:tr>
      <w:tr>
        <w:trPr>
          <w:trHeight w:val="89"/>
        </w:trPr>
        <w:tc>
          <w:tcPr>
            <w:tcW w:w="1000" w:type="dxa"/>
            <w:vAlign w:val="bottom"/>
            <w:tcBorders>
              <w:bottom w:val="single" w:sz="8" w:color="1A3FD6"/>
            </w:tcBorders>
          </w:tcPr>
          <w:p>
            <w:pPr>
              <w:spacing w:after="0"/>
              <w:rPr>
                <w:sz w:val="7"/>
                <w:szCs w:val="7"/>
                <w:color w:val="auto"/>
              </w:rPr>
            </w:pPr>
          </w:p>
        </w:tc>
        <w:tc>
          <w:tcPr>
            <w:tcW w:w="2680" w:type="dxa"/>
            <w:vAlign w:val="bottom"/>
            <w:tcBorders>
              <w:bottom w:val="single" w:sz="8" w:color="1A3FD6"/>
            </w:tcBorders>
          </w:tcPr>
          <w:p>
            <w:pPr>
              <w:spacing w:after="0"/>
              <w:rPr>
                <w:sz w:val="7"/>
                <w:szCs w:val="7"/>
                <w:color w:val="auto"/>
              </w:rPr>
            </w:pPr>
          </w:p>
        </w:tc>
        <w:tc>
          <w:tcPr>
            <w:tcW w:w="1080" w:type="dxa"/>
            <w:vAlign w:val="bottom"/>
            <w:tcBorders>
              <w:bottom w:val="single" w:sz="8" w:color="1A3FD6"/>
            </w:tcBorders>
          </w:tcPr>
          <w:p>
            <w:pPr>
              <w:spacing w:after="0"/>
              <w:rPr>
                <w:sz w:val="7"/>
                <w:szCs w:val="7"/>
                <w:color w:val="auto"/>
              </w:rPr>
            </w:pPr>
          </w:p>
        </w:tc>
        <w:tc>
          <w:tcPr>
            <w:tcW w:w="6480" w:type="dxa"/>
            <w:vAlign w:val="bottom"/>
            <w:tcBorders>
              <w:bottom w:val="single" w:sz="8" w:color="1A3FD6"/>
            </w:tcBorders>
          </w:tcPr>
          <w:p>
            <w:pPr>
              <w:spacing w:after="0"/>
              <w:rPr>
                <w:sz w:val="7"/>
                <w:szCs w:val="7"/>
                <w:color w:val="auto"/>
              </w:rPr>
            </w:pPr>
          </w:p>
        </w:tc>
      </w:tr>
      <w:tr>
        <w:trPr>
          <w:trHeight w:val="80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70</w:t>
            </w: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441"/>
        </w:trPr>
        <w:tc>
          <w:tcPr>
            <w:tcW w:w="10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-454025</wp:posOffset>
            </wp:positionV>
            <wp:extent cx="556895" cy="146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Review of Our Programs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Elements of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annual executive compensation program for our NEOs in 2025 consisted of the following elements.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Compensation</w:t>
      </w:r>
    </w:p>
    <w:p>
      <w:pPr>
        <w:spacing w:after="0" w:line="35" w:lineRule="exact"/>
        <w:rPr>
          <w:sz w:val="20"/>
          <w:szCs w:val="20"/>
          <w:color w:val="auto"/>
        </w:rPr>
      </w:pPr>
    </w:p>
    <w:p>
      <w:pPr>
        <w:ind w:left="180"/>
        <w:spacing w:after="0"/>
        <w:tabs>
          <w:tab w:leader="none" w:pos="2140" w:val="left"/>
          <w:tab w:leader="none" w:pos="4400" w:val="left"/>
          <w:tab w:leader="none" w:pos="718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Type of Pay</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4"/>
          <w:szCs w:val="14"/>
          <w:b w:val="1"/>
          <w:bCs w:val="1"/>
          <w:color w:val="auto"/>
        </w:rPr>
        <w:t>2025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29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Annual Base Salary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Starts 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1294130" cy="15773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94130"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20"/>
                <w:szCs w:val="20"/>
                <w:color w:val="auto"/>
              </w:rPr>
            </w:pPr>
            <w:r>
              <w:rPr>
                <w:rFonts w:ascii="Arial" w:cs="Arial" w:eastAsia="Arial" w:hAnsi="Arial"/>
                <w:sz w:val="16"/>
                <w:szCs w:val="16"/>
                <w:color w:val="auto"/>
              </w:rPr>
              <w:t>Fixed – Cash</w:t>
            </w:r>
          </w:p>
        </w:tc>
        <w:tc>
          <w:tcPr>
            <w:tcW w:w="3560" w:type="dxa"/>
            <w:vAlign w:val="bottom"/>
            <w:gridSpan w:val="2"/>
          </w:tcPr>
          <w:p>
            <w:pPr>
              <w:ind w:left="660"/>
              <w:spacing w:after="0"/>
              <w:rPr>
                <w:sz w:val="20"/>
                <w:szCs w:val="20"/>
                <w:color w:val="auto"/>
              </w:rPr>
            </w:pPr>
            <w:r>
              <w:rPr>
                <w:rFonts w:ascii="Arial" w:cs="Arial" w:eastAsia="Arial" w:hAnsi="Arial"/>
                <w:sz w:val="16"/>
                <w:szCs w:val="16"/>
                <w:color w:val="auto"/>
              </w:rPr>
              <w:t xml:space="preserve">Provides certainty and predictability   </w:t>
            </w:r>
            <w:r>
              <w:rPr>
                <w:rFonts w:ascii="Arial" w:cs="Arial" w:eastAsia="Arial" w:hAnsi="Arial"/>
                <w:sz w:val="16"/>
                <w:szCs w:val="16"/>
                <w:color w:val="00A798"/>
              </w:rPr>
              <w:t>•</w:t>
            </w:r>
          </w:p>
        </w:tc>
        <w:tc>
          <w:tcPr>
            <w:tcW w:w="3780" w:type="dxa"/>
            <w:vAlign w:val="bottom"/>
          </w:tcPr>
          <w:p>
            <w:pPr>
              <w:ind w:left="40"/>
              <w:spacing w:after="0"/>
              <w:rPr>
                <w:sz w:val="20"/>
                <w:szCs w:val="20"/>
                <w:color w:val="auto"/>
              </w:rPr>
            </w:pPr>
            <w:r>
              <w:rPr>
                <w:rFonts w:ascii="Arial" w:cs="Arial" w:eastAsia="Arial" w:hAnsi="Arial"/>
                <w:sz w:val="16"/>
                <w:szCs w:val="16"/>
                <w:color w:val="auto"/>
              </w:rPr>
              <w:t>The only fixed component of our executive</w:t>
            </w:r>
          </w:p>
        </w:tc>
        <w:tc>
          <w:tcPr>
            <w:tcW w:w="0" w:type="dxa"/>
            <w:vAlign w:val="bottom"/>
          </w:tcPr>
          <w:p>
            <w:pPr>
              <w:spacing w:after="0"/>
              <w:rPr>
                <w:sz w:val="1"/>
                <w:szCs w:val="1"/>
                <w:color w:val="auto"/>
              </w:rPr>
            </w:pPr>
          </w:p>
        </w:tc>
      </w:tr>
      <w:tr>
        <w:trPr>
          <w:trHeight w:val="228"/>
        </w:trPr>
        <w:tc>
          <w:tcPr>
            <w:tcW w:w="1600" w:type="dxa"/>
            <w:vAlign w:val="bottom"/>
          </w:tcPr>
          <w:p>
            <w:pPr>
              <w:spacing w:after="0"/>
              <w:rPr>
                <w:sz w:val="19"/>
                <w:szCs w:val="19"/>
                <w:color w:val="auto"/>
              </w:rPr>
            </w:pPr>
          </w:p>
        </w:tc>
        <w:tc>
          <w:tcPr>
            <w:tcW w:w="3280" w:type="dxa"/>
            <w:vAlign w:val="bottom"/>
          </w:tcPr>
          <w:p>
            <w:pPr>
              <w:ind w:left="660"/>
              <w:spacing w:after="0"/>
              <w:rPr>
                <w:sz w:val="20"/>
                <w:szCs w:val="20"/>
                <w:color w:val="auto"/>
              </w:rPr>
            </w:pPr>
            <w:r>
              <w:rPr>
                <w:rFonts w:ascii="Arial" w:cs="Arial" w:eastAsia="Arial" w:hAnsi="Arial"/>
                <w:sz w:val="16"/>
                <w:szCs w:val="16"/>
                <w:color w:val="auto"/>
              </w:rPr>
              <w:t>to guarantee a market-competitive</w:t>
            </w:r>
          </w:p>
        </w:tc>
        <w:tc>
          <w:tcPr>
            <w:tcW w:w="280" w:type="dxa"/>
            <w:vAlign w:val="bottom"/>
          </w:tcPr>
          <w:p>
            <w:pPr>
              <w:spacing w:after="0"/>
              <w:rPr>
                <w:sz w:val="19"/>
                <w:szCs w:val="19"/>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compensation program</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3280" w:type="dxa"/>
            <w:vAlign w:val="bottom"/>
          </w:tcPr>
          <w:p>
            <w:pPr>
              <w:ind w:left="660"/>
              <w:spacing w:after="0"/>
              <w:rPr>
                <w:sz w:val="20"/>
                <w:szCs w:val="20"/>
                <w:color w:val="auto"/>
              </w:rPr>
            </w:pPr>
            <w:r>
              <w:rPr>
                <w:rFonts w:ascii="Arial" w:cs="Arial" w:eastAsia="Arial" w:hAnsi="Arial"/>
                <w:sz w:val="16"/>
                <w:szCs w:val="16"/>
                <w:color w:val="auto"/>
              </w:rPr>
              <w:t>compensation in exchange for</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00A798"/>
              </w:rPr>
              <w:t>•</w:t>
            </w:r>
          </w:p>
        </w:tc>
        <w:tc>
          <w:tcPr>
            <w:tcW w:w="3780" w:type="dxa"/>
            <w:vAlign w:val="bottom"/>
            <w:vMerge w:val="restart"/>
          </w:tcPr>
          <w:p>
            <w:pPr>
              <w:ind w:left="40"/>
              <w:spacing w:after="0"/>
              <w:rPr>
                <w:sz w:val="20"/>
                <w:szCs w:val="20"/>
                <w:color w:val="auto"/>
              </w:rPr>
            </w:pPr>
            <w:r>
              <w:rPr>
                <w:rFonts w:ascii="Arial" w:cs="Arial" w:eastAsia="Arial" w:hAnsi="Arial"/>
                <w:sz w:val="16"/>
                <w:szCs w:val="16"/>
                <w:color w:val="auto"/>
              </w:rPr>
              <w:t>For 2025, represented 6% of our CEO’s total annual</w:t>
            </w:r>
          </w:p>
        </w:tc>
        <w:tc>
          <w:tcPr>
            <w:tcW w:w="0" w:type="dxa"/>
            <w:vAlign w:val="bottom"/>
          </w:tcPr>
          <w:p>
            <w:pPr>
              <w:spacing w:after="0"/>
              <w:rPr>
                <w:sz w:val="1"/>
                <w:szCs w:val="1"/>
                <w:color w:val="auto"/>
              </w:rPr>
            </w:pPr>
          </w:p>
        </w:tc>
      </w:tr>
      <w:tr>
        <w:trPr>
          <w:trHeight w:val="28"/>
        </w:trPr>
        <w:tc>
          <w:tcPr>
            <w:tcW w:w="1600" w:type="dxa"/>
            <w:vAlign w:val="bottom"/>
          </w:tcPr>
          <w:p>
            <w:pPr>
              <w:spacing w:after="0"/>
              <w:rPr>
                <w:sz w:val="2"/>
                <w:szCs w:val="2"/>
                <w:color w:val="auto"/>
              </w:rPr>
            </w:pPr>
          </w:p>
        </w:tc>
        <w:tc>
          <w:tcPr>
            <w:tcW w:w="3280" w:type="dxa"/>
            <w:vAlign w:val="bottom"/>
            <w:vMerge w:val="restart"/>
          </w:tcPr>
          <w:p>
            <w:pPr>
              <w:ind w:left="660"/>
              <w:spacing w:after="0"/>
              <w:rPr>
                <w:sz w:val="20"/>
                <w:szCs w:val="20"/>
                <w:color w:val="auto"/>
              </w:rPr>
            </w:pPr>
            <w:r>
              <w:rPr>
                <w:rFonts w:ascii="Arial" w:cs="Arial" w:eastAsia="Arial" w:hAnsi="Arial"/>
                <w:sz w:val="16"/>
                <w:szCs w:val="16"/>
                <w:color w:val="auto"/>
              </w:rPr>
              <w:t>investing in a career with MSCI</w:t>
            </w:r>
          </w:p>
        </w:tc>
        <w:tc>
          <w:tcPr>
            <w:tcW w:w="280" w:type="dxa"/>
            <w:vAlign w:val="bottom"/>
            <w:vMerge w:val="continue"/>
          </w:tcPr>
          <w:p>
            <w:pPr>
              <w:spacing w:after="0"/>
              <w:rPr>
                <w:sz w:val="2"/>
                <w:szCs w:val="2"/>
                <w:color w:val="auto"/>
              </w:rPr>
            </w:pPr>
          </w:p>
        </w:tc>
        <w:tc>
          <w:tcPr>
            <w:tcW w:w="3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600" w:type="dxa"/>
            <w:vAlign w:val="bottom"/>
          </w:tcPr>
          <w:p>
            <w:pPr>
              <w:spacing w:after="0"/>
              <w:rPr>
                <w:sz w:val="18"/>
                <w:szCs w:val="18"/>
                <w:color w:val="auto"/>
              </w:rPr>
            </w:pPr>
          </w:p>
        </w:tc>
        <w:tc>
          <w:tcPr>
            <w:tcW w:w="3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Arial" w:cs="Arial" w:eastAsia="Arial" w:hAnsi="Arial"/>
                <w:sz w:val="16"/>
                <w:szCs w:val="16"/>
                <w:color w:val="auto"/>
              </w:rPr>
              <w:t>compensation and an average of 12% of our other</w:t>
            </w:r>
          </w:p>
        </w:tc>
        <w:tc>
          <w:tcPr>
            <w:tcW w:w="0" w:type="dxa"/>
            <w:vAlign w:val="bottom"/>
          </w:tcPr>
          <w:p>
            <w:pPr>
              <w:spacing w:after="0"/>
              <w:rPr>
                <w:sz w:val="1"/>
                <w:szCs w:val="1"/>
                <w:color w:val="auto"/>
              </w:rPr>
            </w:pPr>
          </w:p>
        </w:tc>
      </w:tr>
    </w:tbl>
    <w:p>
      <w:pPr>
        <w:ind w:left="5240"/>
        <w:spacing w:after="0"/>
        <w:rPr>
          <w:sz w:val="20"/>
          <w:szCs w:val="20"/>
          <w:color w:val="auto"/>
        </w:rPr>
      </w:pPr>
      <w:r>
        <w:rPr>
          <w:rFonts w:ascii="Arial" w:cs="Arial" w:eastAsia="Arial" w:hAnsi="Arial"/>
          <w:sz w:val="16"/>
          <w:szCs w:val="16"/>
          <w:color w:val="auto"/>
        </w:rPr>
        <w:t>NEOs’ 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107315</wp:posOffset>
            </wp:positionV>
            <wp:extent cx="58375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80" w:space="480"/>
            <w:col w:w="9080"/>
          </w:cols>
          <w:pgMar w:left="320" w:top="130" w:right="339" w:bottom="1440" w:gutter="0" w:footer="0" w:header="0"/>
          <w:type w:val="continuous"/>
        </w:sectPr>
      </w:pP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Annual</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Incentive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(Cash Bonus)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Starts 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792480</wp:posOffset>
            </wp:positionV>
            <wp:extent cx="1294130" cy="2297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94130" cy="2297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2240" w:val="left"/>
        </w:tabs>
        <w:rPr>
          <w:sz w:val="20"/>
          <w:szCs w:val="20"/>
          <w:color w:val="auto"/>
        </w:rPr>
      </w:pPr>
      <w:r>
        <w:rPr>
          <w:rFonts w:ascii="Arial" w:cs="Arial" w:eastAsia="Arial" w:hAnsi="Arial"/>
          <w:sz w:val="16"/>
          <w:szCs w:val="16"/>
          <w:color w:val="auto"/>
        </w:rPr>
        <w:t>Variable, Short-Term,</w:t>
      </w:r>
      <w:r>
        <w:rPr>
          <w:sz w:val="20"/>
          <w:szCs w:val="20"/>
          <w:color w:val="auto"/>
        </w:rPr>
        <w:tab/>
      </w:r>
      <w:r>
        <w:rPr>
          <w:rFonts w:ascii="Arial" w:cs="Arial" w:eastAsia="Arial" w:hAnsi="Arial"/>
          <w:sz w:val="16"/>
          <w:szCs w:val="16"/>
          <w:color w:val="auto"/>
        </w:rPr>
        <w:t>Provides a competitive annual cash</w:t>
      </w:r>
    </w:p>
    <w:p>
      <w:pPr>
        <w:spacing w:after="0" w:line="31" w:lineRule="exact"/>
        <w:rPr>
          <w:sz w:val="20"/>
          <w:szCs w:val="20"/>
          <w:color w:val="auto"/>
        </w:rPr>
      </w:pPr>
    </w:p>
    <w:p>
      <w:pPr>
        <w:spacing w:after="0"/>
        <w:tabs>
          <w:tab w:leader="none" w:pos="2240" w:val="left"/>
        </w:tabs>
        <w:rPr>
          <w:sz w:val="20"/>
          <w:szCs w:val="20"/>
          <w:color w:val="auto"/>
        </w:rPr>
      </w:pPr>
      <w:r>
        <w:rPr>
          <w:rFonts w:ascii="Arial" w:cs="Arial" w:eastAsia="Arial" w:hAnsi="Arial"/>
          <w:sz w:val="16"/>
          <w:szCs w:val="16"/>
          <w:color w:val="auto"/>
        </w:rPr>
        <w:t>Performance-Based – Cash</w:t>
        <w:tab/>
        <w:t>bonus opportunity</w:t>
      </w:r>
    </w:p>
    <w:p>
      <w:pPr>
        <w:spacing w:after="0" w:line="16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Intended to drive one-year</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performance results against financial</w:t>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targets and other Company,</w:t>
      </w:r>
    </w:p>
    <w:p>
      <w:pPr>
        <w:spacing w:after="0" w:line="3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individual and leadership-focused</w:t>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526415</wp:posOffset>
            </wp:positionV>
            <wp:extent cx="583755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52" w:hanging="152"/>
        <w:spacing w:after="0"/>
        <w:tabs>
          <w:tab w:leader="none" w:pos="152" w:val="left"/>
        </w:tabs>
        <w:numPr>
          <w:ilvl w:val="0"/>
          <w:numId w:val="82"/>
        </w:numPr>
        <w:rPr>
          <w:rFonts w:ascii="Arial" w:cs="Arial" w:eastAsia="Arial" w:hAnsi="Arial"/>
          <w:sz w:val="16"/>
          <w:szCs w:val="16"/>
          <w:color w:val="00A798"/>
        </w:rPr>
      </w:pPr>
      <w:r>
        <w:rPr>
          <w:rFonts w:ascii="Arial" w:cs="Arial" w:eastAsia="Arial" w:hAnsi="Arial"/>
          <w:sz w:val="16"/>
          <w:szCs w:val="16"/>
          <w:color w:val="auto"/>
        </w:rPr>
        <w:t>Metrics vary by NEO, but include:</w:t>
      </w:r>
    </w:p>
    <w:p>
      <w:pPr>
        <w:spacing w:after="0" w:line="99" w:lineRule="exact"/>
        <w:rPr>
          <w:rFonts w:ascii="Arial" w:cs="Arial" w:eastAsia="Arial" w:hAnsi="Arial"/>
          <w:sz w:val="16"/>
          <w:szCs w:val="16"/>
          <w:color w:val="00A798"/>
        </w:rPr>
      </w:pPr>
    </w:p>
    <w:p>
      <w:pPr>
        <w:ind w:left="392" w:right="500" w:hanging="198"/>
        <w:spacing w:after="0" w:line="304" w:lineRule="auto"/>
        <w:tabs>
          <w:tab w:leader="none" w:pos="349" w:val="left"/>
        </w:tabs>
        <w:numPr>
          <w:ilvl w:val="1"/>
          <w:numId w:val="82"/>
        </w:numPr>
        <w:rPr>
          <w:rFonts w:ascii="Arial" w:cs="Arial" w:eastAsia="Arial" w:hAnsi="Arial"/>
          <w:sz w:val="16"/>
          <w:szCs w:val="16"/>
          <w:color w:val="00A798"/>
        </w:rPr>
      </w:pPr>
      <w:r>
        <w:rPr>
          <w:rFonts w:ascii="Arial" w:cs="Arial" w:eastAsia="Arial" w:hAnsi="Arial"/>
          <w:sz w:val="16"/>
          <w:szCs w:val="16"/>
          <w:color w:val="auto"/>
        </w:rPr>
        <w:t>Financial Metrics (80% weighting); for NEOs consisting of:</w:t>
      </w:r>
    </w:p>
    <w:p>
      <w:pPr>
        <w:spacing w:after="0" w:line="19" w:lineRule="exact"/>
        <w:rPr>
          <w:rFonts w:ascii="Arial" w:cs="Arial" w:eastAsia="Arial" w:hAnsi="Arial"/>
          <w:sz w:val="16"/>
          <w:szCs w:val="16"/>
          <w:color w:val="00A798"/>
        </w:rPr>
      </w:pPr>
    </w:p>
    <w:p>
      <w:pPr>
        <w:ind w:left="532" w:hanging="143"/>
        <w:spacing w:after="0"/>
        <w:tabs>
          <w:tab w:leader="none" w:pos="532" w:val="left"/>
        </w:tabs>
        <w:numPr>
          <w:ilvl w:val="2"/>
          <w:numId w:val="82"/>
        </w:numPr>
        <w:rPr>
          <w:rFonts w:ascii="Arial" w:cs="Arial" w:eastAsia="Arial" w:hAnsi="Arial"/>
          <w:sz w:val="16"/>
          <w:szCs w:val="16"/>
          <w:color w:val="00A798"/>
        </w:rPr>
      </w:pPr>
      <w:r>
        <w:rPr>
          <w:rFonts w:ascii="Arial" w:cs="Arial" w:eastAsia="Arial" w:hAnsi="Arial"/>
          <w:sz w:val="16"/>
          <w:szCs w:val="16"/>
          <w:color w:val="auto"/>
        </w:rPr>
        <w:t>Revenue</w:t>
      </w:r>
    </w:p>
    <w:p>
      <w:pPr>
        <w:spacing w:after="0" w:line="99" w:lineRule="exact"/>
        <w:rPr>
          <w:rFonts w:ascii="Arial" w:cs="Arial" w:eastAsia="Arial" w:hAnsi="Arial"/>
          <w:sz w:val="16"/>
          <w:szCs w:val="16"/>
          <w:color w:val="00A798"/>
        </w:rPr>
      </w:pPr>
    </w:p>
    <w:p>
      <w:pPr>
        <w:ind w:left="532" w:hanging="143"/>
        <w:spacing w:after="0"/>
        <w:tabs>
          <w:tab w:leader="none" w:pos="532" w:val="left"/>
        </w:tabs>
        <w:numPr>
          <w:ilvl w:val="2"/>
          <w:numId w:val="82"/>
        </w:numPr>
        <w:rPr>
          <w:rFonts w:ascii="Arial" w:cs="Arial" w:eastAsia="Arial" w:hAnsi="Arial"/>
          <w:sz w:val="16"/>
          <w:szCs w:val="16"/>
          <w:color w:val="00A798"/>
        </w:rPr>
      </w:pPr>
      <w:r>
        <w:rPr>
          <w:rFonts w:ascii="Arial" w:cs="Arial" w:eastAsia="Arial" w:hAnsi="Arial"/>
          <w:sz w:val="16"/>
          <w:szCs w:val="16"/>
          <w:color w:val="auto"/>
        </w:rPr>
        <w:t>Adjusted EPS</w:t>
      </w:r>
    </w:p>
    <w:p>
      <w:pPr>
        <w:spacing w:after="0" w:line="99" w:lineRule="exact"/>
        <w:rPr>
          <w:rFonts w:ascii="Arial" w:cs="Arial" w:eastAsia="Arial" w:hAnsi="Arial"/>
          <w:sz w:val="16"/>
          <w:szCs w:val="16"/>
          <w:color w:val="00A798"/>
        </w:rPr>
      </w:pPr>
    </w:p>
    <w:p>
      <w:pPr>
        <w:ind w:left="592" w:right="40" w:hanging="203"/>
        <w:spacing w:after="0" w:line="316" w:lineRule="auto"/>
        <w:tabs>
          <w:tab w:leader="none" w:pos="549" w:val="left"/>
        </w:tabs>
        <w:numPr>
          <w:ilvl w:val="2"/>
          <w:numId w:val="82"/>
        </w:numPr>
        <w:rPr>
          <w:rFonts w:ascii="Arial" w:cs="Arial" w:eastAsia="Arial" w:hAnsi="Arial"/>
          <w:sz w:val="16"/>
          <w:szCs w:val="16"/>
          <w:color w:val="00A798"/>
        </w:rPr>
      </w:pPr>
      <w:r>
        <w:rPr>
          <w:rFonts w:ascii="Arial" w:cs="Arial" w:eastAsia="Arial" w:hAnsi="Arial"/>
          <w:sz w:val="16"/>
          <w:szCs w:val="16"/>
          <w:color w:val="auto"/>
        </w:rPr>
        <w:t>Total Net Sales (formerly referred to as Net New Sales)</w:t>
      </w:r>
    </w:p>
    <w:p>
      <w:pPr>
        <w:spacing w:after="0" w:line="1" w:lineRule="exact"/>
        <w:rPr>
          <w:rFonts w:ascii="Arial" w:cs="Arial" w:eastAsia="Arial" w:hAnsi="Arial"/>
          <w:sz w:val="16"/>
          <w:szCs w:val="16"/>
          <w:color w:val="00A798"/>
        </w:rPr>
      </w:pPr>
    </w:p>
    <w:p>
      <w:pPr>
        <w:ind w:left="392" w:right="840" w:hanging="198"/>
        <w:spacing w:after="0" w:line="321" w:lineRule="auto"/>
        <w:tabs>
          <w:tab w:leader="none" w:pos="349" w:val="left"/>
        </w:tabs>
        <w:numPr>
          <w:ilvl w:val="1"/>
          <w:numId w:val="82"/>
        </w:numPr>
        <w:rPr>
          <w:rFonts w:ascii="Arial" w:cs="Arial" w:eastAsia="Arial" w:hAnsi="Arial"/>
          <w:sz w:val="16"/>
          <w:szCs w:val="16"/>
          <w:color w:val="00A798"/>
        </w:rPr>
      </w:pPr>
      <w:r>
        <w:rPr>
          <w:rFonts w:ascii="Arial" w:cs="Arial" w:eastAsia="Arial" w:hAnsi="Arial"/>
          <w:sz w:val="16"/>
          <w:szCs w:val="16"/>
          <w:color w:val="auto"/>
        </w:rPr>
        <w:t>Key Performance Indicator/ Culture and Leadership Goals (20% weighting)</w:t>
      </w:r>
    </w:p>
    <w:p>
      <w:pPr>
        <w:spacing w:after="0" w:line="169" w:lineRule="exact"/>
        <w:rPr>
          <w:sz w:val="20"/>
          <w:szCs w:val="20"/>
          <w:color w:val="auto"/>
        </w:rPr>
      </w:pPr>
    </w:p>
    <w:p>
      <w:pPr>
        <w:sectPr>
          <w:pgSz w:w="11900" w:h="16838" w:orient="portrait"/>
          <w:cols w:equalWidth="0" w:num="3">
            <w:col w:w="1440" w:space="720"/>
            <w:col w:w="4900" w:space="148"/>
            <w:col w:w="4032"/>
          </w:cols>
          <w:pgMar w:left="320" w:top="130" w:right="339" w:bottom="1440" w:gutter="0" w:footer="0" w:header="0"/>
          <w:type w:val="continuous"/>
        </w:sectPr>
      </w:pPr>
    </w:p>
    <w:p>
      <w:pPr>
        <w:ind w:left="180"/>
        <w:spacing w:after="0"/>
        <w:rPr>
          <w:sz w:val="20"/>
          <w:szCs w:val="20"/>
          <w:color w:val="auto"/>
        </w:rPr>
      </w:pPr>
      <w:r>
        <w:rPr>
          <w:rFonts w:ascii="Arial" w:cs="Arial" w:eastAsia="Arial" w:hAnsi="Arial"/>
          <w:sz w:val="15"/>
          <w:szCs w:val="15"/>
          <w:b w:val="1"/>
          <w:bCs w:val="1"/>
          <w:color w:val="FFFFFF"/>
        </w:rPr>
        <w:t>Long-Term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Incentives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Starts on</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page 77</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Arial" w:cs="Arial" w:eastAsia="Arial" w:hAnsi="Arial"/>
          <w:sz w:val="15"/>
          <w:szCs w:val="15"/>
          <w:color w:val="auto"/>
        </w:rPr>
        <w:t>Variable, Long-Term, Time</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color w:val="auto"/>
        </w:rPr>
        <w:t>and Performance-Based –</w:t>
      </w:r>
    </w:p>
    <w:p>
      <w:pPr>
        <w:spacing w:after="0" w:line="20" w:lineRule="exact"/>
        <w:rPr>
          <w:sz w:val="20"/>
          <w:szCs w:val="20"/>
          <w:color w:val="auto"/>
        </w:rPr>
      </w:pPr>
    </w:p>
    <w:p>
      <w:pPr>
        <w:ind w:left="1"/>
        <w:spacing w:after="0"/>
        <w:rPr>
          <w:sz w:val="20"/>
          <w:szCs w:val="20"/>
          <w:color w:val="auto"/>
        </w:rPr>
      </w:pPr>
      <w:r>
        <w:rPr>
          <w:rFonts w:ascii="Arial" w:cs="Arial" w:eastAsia="Arial" w:hAnsi="Arial"/>
          <w:sz w:val="16"/>
          <w:szCs w:val="16"/>
          <w:color w:val="auto"/>
        </w:rPr>
        <w:t>Equity</w:t>
      </w:r>
    </w:p>
    <w:p>
      <w:pPr>
        <w:spacing w:after="0" w:line="167" w:lineRule="exact"/>
        <w:rPr>
          <w:sz w:val="20"/>
          <w:szCs w:val="20"/>
          <w:color w:val="auto"/>
        </w:rPr>
      </w:pPr>
    </w:p>
    <w:p>
      <w:pPr>
        <w:ind w:left="161" w:hanging="161"/>
        <w:spacing w:after="0"/>
        <w:tabs>
          <w:tab w:leader="none" w:pos="161" w:val="left"/>
        </w:tabs>
        <w:numPr>
          <w:ilvl w:val="0"/>
          <w:numId w:val="83"/>
        </w:numPr>
        <w:rPr>
          <w:rFonts w:ascii="Arial" w:cs="Arial" w:eastAsia="Arial" w:hAnsi="Arial"/>
          <w:sz w:val="16"/>
          <w:szCs w:val="16"/>
          <w:color w:val="00A798"/>
        </w:rPr>
      </w:pPr>
      <w:r>
        <w:rPr>
          <w:rFonts w:ascii="Arial" w:cs="Arial" w:eastAsia="Arial" w:hAnsi="Arial"/>
          <w:sz w:val="16"/>
          <w:szCs w:val="16"/>
          <w:color w:val="auto"/>
        </w:rPr>
        <w:t>PSUs</w:t>
      </w:r>
    </w:p>
    <w:p>
      <w:pPr>
        <w:spacing w:after="0" w:line="99" w:lineRule="exact"/>
        <w:rPr>
          <w:rFonts w:ascii="Arial" w:cs="Arial" w:eastAsia="Arial" w:hAnsi="Arial"/>
          <w:sz w:val="16"/>
          <w:szCs w:val="16"/>
          <w:color w:val="00A798"/>
        </w:rPr>
      </w:pPr>
    </w:p>
    <w:p>
      <w:pPr>
        <w:ind w:left="161" w:hanging="161"/>
        <w:spacing w:after="0"/>
        <w:tabs>
          <w:tab w:leader="none" w:pos="161" w:val="left"/>
        </w:tabs>
        <w:numPr>
          <w:ilvl w:val="0"/>
          <w:numId w:val="83"/>
        </w:numPr>
        <w:rPr>
          <w:rFonts w:ascii="Arial" w:cs="Arial" w:eastAsia="Arial" w:hAnsi="Arial"/>
          <w:sz w:val="16"/>
          <w:szCs w:val="16"/>
          <w:color w:val="00A798"/>
        </w:rPr>
      </w:pPr>
      <w:r>
        <w:rPr>
          <w:rFonts w:ascii="Arial" w:cs="Arial" w:eastAsia="Arial" w:hAnsi="Arial"/>
          <w:sz w:val="16"/>
          <w:szCs w:val="16"/>
          <w:color w:val="auto"/>
        </w:rPr>
        <w:t>PSOs</w:t>
      </w:r>
    </w:p>
    <w:p>
      <w:pPr>
        <w:spacing w:after="0" w:line="99" w:lineRule="exact"/>
        <w:rPr>
          <w:rFonts w:ascii="Arial" w:cs="Arial" w:eastAsia="Arial" w:hAnsi="Arial"/>
          <w:sz w:val="16"/>
          <w:szCs w:val="16"/>
          <w:color w:val="00A798"/>
        </w:rPr>
      </w:pPr>
    </w:p>
    <w:p>
      <w:pPr>
        <w:ind w:left="161" w:hanging="161"/>
        <w:spacing w:after="0"/>
        <w:tabs>
          <w:tab w:leader="none" w:pos="161" w:val="left"/>
        </w:tabs>
        <w:numPr>
          <w:ilvl w:val="0"/>
          <w:numId w:val="83"/>
        </w:numPr>
        <w:rPr>
          <w:rFonts w:ascii="Arial" w:cs="Arial" w:eastAsia="Arial" w:hAnsi="Arial"/>
          <w:sz w:val="16"/>
          <w:szCs w:val="16"/>
          <w:color w:val="00A798"/>
        </w:rPr>
      </w:pPr>
      <w:r>
        <w:rPr>
          <w:rFonts w:ascii="Arial" w:cs="Arial" w:eastAsia="Arial" w:hAnsi="Arial"/>
          <w:sz w:val="16"/>
          <w:szCs w:val="16"/>
          <w:color w:val="auto"/>
        </w:rPr>
        <w:t>RSUs</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Fosters an “owner-operator” mindset; closely aligns management’s interests with the long-term interests of our shareholders</w:t>
      </w:r>
    </w:p>
    <w:p>
      <w:pPr>
        <w:spacing w:after="0" w:line="118" w:lineRule="exact"/>
        <w:rPr>
          <w:sz w:val="20"/>
          <w:szCs w:val="20"/>
          <w:color w:val="auto"/>
        </w:rPr>
      </w:pPr>
    </w:p>
    <w:p>
      <w:pPr>
        <w:jc w:val="both"/>
        <w:ind w:right="1040"/>
        <w:spacing w:after="0" w:line="292" w:lineRule="auto"/>
        <w:rPr>
          <w:sz w:val="20"/>
          <w:szCs w:val="20"/>
          <w:color w:val="auto"/>
        </w:rPr>
      </w:pPr>
      <w:r>
        <w:rPr>
          <w:rFonts w:ascii="Arial" w:cs="Arial" w:eastAsia="Arial" w:hAnsi="Arial"/>
          <w:sz w:val="16"/>
          <w:szCs w:val="16"/>
          <w:color w:val="auto"/>
        </w:rPr>
        <w:t>Promotes the retention of key members of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1194435</wp:posOffset>
            </wp:positionV>
            <wp:extent cx="58375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2" w:right="100" w:hanging="192"/>
        <w:spacing w:after="0" w:line="283" w:lineRule="auto"/>
        <w:tabs>
          <w:tab w:leader="none" w:pos="149" w:val="left"/>
        </w:tabs>
        <w:numPr>
          <w:ilvl w:val="0"/>
          <w:numId w:val="84"/>
        </w:numPr>
        <w:rPr>
          <w:rFonts w:ascii="Arial" w:cs="Arial" w:eastAsia="Arial" w:hAnsi="Arial"/>
          <w:sz w:val="16"/>
          <w:szCs w:val="16"/>
          <w:color w:val="00A798"/>
        </w:rPr>
      </w:pPr>
      <w:r>
        <w:rPr>
          <w:rFonts w:ascii="Arial" w:cs="Arial" w:eastAsia="Arial" w:hAnsi="Arial"/>
          <w:sz w:val="16"/>
          <w:szCs w:val="16"/>
          <w:color w:val="auto"/>
        </w:rPr>
        <w:t>PSUs which vest based on achievement of an absolute TSR performance metric over a cumulative 3-year performance period, with a 1-year post-vesting mandatory holding period</w:t>
      </w:r>
    </w:p>
    <w:p>
      <w:pPr>
        <w:spacing w:after="0" w:line="36" w:lineRule="exact"/>
        <w:rPr>
          <w:rFonts w:ascii="Arial" w:cs="Arial" w:eastAsia="Arial" w:hAnsi="Arial"/>
          <w:sz w:val="16"/>
          <w:szCs w:val="16"/>
          <w:color w:val="00A798"/>
        </w:rPr>
      </w:pPr>
    </w:p>
    <w:p>
      <w:pPr>
        <w:ind w:left="192" w:right="200" w:hanging="192"/>
        <w:spacing w:after="0" w:line="289" w:lineRule="auto"/>
        <w:tabs>
          <w:tab w:leader="none" w:pos="149" w:val="left"/>
        </w:tabs>
        <w:numPr>
          <w:ilvl w:val="0"/>
          <w:numId w:val="84"/>
        </w:numPr>
        <w:rPr>
          <w:rFonts w:ascii="Arial" w:cs="Arial" w:eastAsia="Arial" w:hAnsi="Arial"/>
          <w:sz w:val="16"/>
          <w:szCs w:val="16"/>
          <w:color w:val="00A798"/>
        </w:rPr>
      </w:pPr>
      <w:r>
        <w:rPr>
          <w:rFonts w:ascii="Arial" w:cs="Arial" w:eastAsia="Arial" w:hAnsi="Arial"/>
          <w:sz w:val="16"/>
          <w:szCs w:val="16"/>
          <w:color w:val="auto"/>
        </w:rPr>
        <w:t>PSOs with a 3-year period which vest based on the level of achievement of a cumulative adjusted EPS performance metric and a cumulative revenue performance metric</w:t>
      </w:r>
    </w:p>
    <w:p>
      <w:pPr>
        <w:spacing w:after="0" w:line="31" w:lineRule="exact"/>
        <w:rPr>
          <w:rFonts w:ascii="Arial" w:cs="Arial" w:eastAsia="Arial" w:hAnsi="Arial"/>
          <w:sz w:val="16"/>
          <w:szCs w:val="16"/>
          <w:color w:val="00A798"/>
        </w:rPr>
      </w:pPr>
    </w:p>
    <w:p>
      <w:pPr>
        <w:ind w:left="152" w:hanging="152"/>
        <w:spacing w:after="0"/>
        <w:tabs>
          <w:tab w:leader="none" w:pos="152" w:val="left"/>
        </w:tabs>
        <w:numPr>
          <w:ilvl w:val="0"/>
          <w:numId w:val="84"/>
        </w:numPr>
        <w:rPr>
          <w:rFonts w:ascii="Arial" w:cs="Arial" w:eastAsia="Arial" w:hAnsi="Arial"/>
          <w:sz w:val="16"/>
          <w:szCs w:val="16"/>
          <w:color w:val="00A798"/>
        </w:rPr>
      </w:pPr>
      <w:r>
        <w:rPr>
          <w:rFonts w:ascii="Arial" w:cs="Arial" w:eastAsia="Arial" w:hAnsi="Arial"/>
          <w:sz w:val="16"/>
          <w:szCs w:val="16"/>
          <w:color w:val="auto"/>
        </w:rPr>
        <w:t>RSUs which cliff vest after a 3-year vesting period</w:t>
      </w:r>
    </w:p>
    <w:p>
      <w:pPr>
        <w:spacing w:after="0" w:line="99" w:lineRule="exact"/>
        <w:rPr>
          <w:rFonts w:ascii="Arial" w:cs="Arial" w:eastAsia="Arial" w:hAnsi="Arial"/>
          <w:sz w:val="16"/>
          <w:szCs w:val="16"/>
          <w:color w:val="00A798"/>
        </w:rPr>
      </w:pPr>
    </w:p>
    <w:p>
      <w:pPr>
        <w:ind w:left="192" w:right="60" w:hanging="192"/>
        <w:spacing w:after="0" w:line="282" w:lineRule="auto"/>
        <w:tabs>
          <w:tab w:leader="none" w:pos="149" w:val="left"/>
        </w:tabs>
        <w:numPr>
          <w:ilvl w:val="0"/>
          <w:numId w:val="84"/>
        </w:numPr>
        <w:rPr>
          <w:rFonts w:ascii="Arial" w:cs="Arial" w:eastAsia="Arial" w:hAnsi="Arial"/>
          <w:sz w:val="16"/>
          <w:szCs w:val="16"/>
          <w:color w:val="00A798"/>
        </w:rPr>
      </w:pPr>
      <w:r>
        <w:rPr>
          <w:rFonts w:ascii="Arial" w:cs="Arial" w:eastAsia="Arial" w:hAnsi="Arial"/>
          <w:sz w:val="16"/>
          <w:szCs w:val="16"/>
          <w:color w:val="auto"/>
        </w:rPr>
        <w:t>Each of Messrs. Fernandez and Pettit received 100% of their LTIP awards in 2025 in the form of performance awards, with 30% in the form of PSUs and 70% in the form of PSOs, and other NEOs received a mix of 30% PSUs, 40% PSOs and 30% RSUs</w:t>
      </w:r>
    </w:p>
    <w:p>
      <w:pPr>
        <w:spacing w:after="0" w:line="200" w:lineRule="exact"/>
        <w:rPr>
          <w:sz w:val="20"/>
          <w:szCs w:val="20"/>
          <w:color w:val="auto"/>
        </w:rPr>
      </w:pPr>
    </w:p>
    <w:p>
      <w:pPr>
        <w:sectPr>
          <w:pgSz w:w="11900" w:h="16838" w:orient="portrait"/>
          <w:cols w:equalWidth="0" w:num="4">
            <w:col w:w="1439" w:space="720"/>
            <w:col w:w="1881" w:space="380"/>
            <w:col w:w="2680" w:space="108"/>
            <w:col w:w="4032"/>
          </w:cols>
          <w:pgMar w:left="320" w:top="130"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Fixed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Annual Base Salary</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Base salary is the only fixed component of our executive compensation program. The annual base salary element offers our NEOs a measure of certainty and predictability to meet ongoing living and other financial commitments. In setting base salaries for our NEOs, the Compensation Committee has sought to establish base salary rates that (i) are competitive with those provided for similar positions at companies in our peer group and (ii) recognize the experience and performance of the NEO. The Compensation Committee reviews the base salaries of our NEOs on an annual basis. None of our NEOs received an increase in their base salary for 2025, except for Mr. Wiechmann, whose base salary was increased to $600,000 (9.1%), which was intended to align his base salary with competitive market practice.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5240" w:type="dxa"/>
            <w:vAlign w:val="bottom"/>
          </w:tcPr>
          <w:p>
            <w:pPr>
              <w:jc w:val="right"/>
              <w:spacing w:after="0"/>
              <w:rPr>
                <w:sz w:val="20"/>
                <w:szCs w:val="20"/>
                <w:color w:val="auto"/>
              </w:rPr>
            </w:pPr>
            <w:r>
              <w:rPr>
                <w:rFonts w:ascii="Arial" w:cs="Arial" w:eastAsia="Arial" w:hAnsi="Arial"/>
                <w:sz w:val="14"/>
                <w:szCs w:val="14"/>
                <w:b w:val="1"/>
                <w:bCs w:val="1"/>
                <w:color w:val="auto"/>
              </w:rPr>
              <w:t>2025 Base</w:t>
            </w:r>
          </w:p>
        </w:tc>
      </w:tr>
      <w:tr>
        <w:trPr>
          <w:trHeight w:val="196"/>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5240" w:type="dxa"/>
            <w:vAlign w:val="bottom"/>
          </w:tcPr>
          <w:p>
            <w:pPr>
              <w:jc w:val="right"/>
              <w:spacing w:after="0"/>
              <w:rPr>
                <w:sz w:val="20"/>
                <w:szCs w:val="20"/>
                <w:color w:val="auto"/>
              </w:rPr>
            </w:pPr>
            <w:r>
              <w:rPr>
                <w:rFonts w:ascii="Arial" w:cs="Arial" w:eastAsia="Arial" w:hAnsi="Arial"/>
                <w:sz w:val="14"/>
                <w:szCs w:val="14"/>
                <w:b w:val="1"/>
                <w:bCs w:val="1"/>
                <w:color w:val="auto"/>
              </w:rPr>
              <w:t>Salary Rate ($)</w:t>
            </w:r>
          </w:p>
        </w:tc>
      </w:tr>
      <w:tr>
        <w:trPr>
          <w:trHeight w:val="29"/>
        </w:trPr>
        <w:tc>
          <w:tcPr>
            <w:tcW w:w="6000" w:type="dxa"/>
            <w:vAlign w:val="bottom"/>
            <w:tcBorders>
              <w:bottom w:val="single" w:sz="8" w:color="1A3FD6"/>
            </w:tcBorders>
          </w:tcPr>
          <w:p>
            <w:pPr>
              <w:spacing w:after="0"/>
              <w:rPr>
                <w:sz w:val="2"/>
                <w:szCs w:val="2"/>
                <w:color w:val="auto"/>
              </w:rPr>
            </w:pPr>
          </w:p>
        </w:tc>
        <w:tc>
          <w:tcPr>
            <w:tcW w:w="5240" w:type="dxa"/>
            <w:vAlign w:val="bottom"/>
            <w:tcBorders>
              <w:bottom w:val="single" w:sz="8" w:color="1A3FD6"/>
            </w:tcBorders>
          </w:tcPr>
          <w:p>
            <w:pPr>
              <w:spacing w:after="0"/>
              <w:rPr>
                <w:sz w:val="2"/>
                <w:szCs w:val="2"/>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5240" w:type="dxa"/>
            <w:vAlign w:val="bottom"/>
          </w:tcPr>
          <w:p>
            <w:pPr>
              <w:jc w:val="right"/>
              <w:ind w:right="2"/>
              <w:spacing w:after="0"/>
              <w:rPr>
                <w:sz w:val="20"/>
                <w:szCs w:val="20"/>
                <w:color w:val="auto"/>
              </w:rPr>
            </w:pPr>
            <w:r>
              <w:rPr>
                <w:rFonts w:ascii="Arial" w:cs="Arial" w:eastAsia="Arial" w:hAnsi="Arial"/>
                <w:sz w:val="16"/>
                <w:szCs w:val="16"/>
                <w:color w:val="auto"/>
              </w:rPr>
              <w:t>1,000,000</w:t>
            </w:r>
          </w:p>
        </w:tc>
      </w:tr>
      <w:tr>
        <w:trPr>
          <w:trHeight w:val="34"/>
        </w:trPr>
        <w:tc>
          <w:tcPr>
            <w:tcW w:w="6000" w:type="dxa"/>
            <w:vAlign w:val="bottom"/>
            <w:tcBorders>
              <w:bottom w:val="single" w:sz="8" w:color="E6E7E8"/>
            </w:tcBorders>
          </w:tcPr>
          <w:p>
            <w:pPr>
              <w:spacing w:after="0"/>
              <w:rPr>
                <w:sz w:val="3"/>
                <w:szCs w:val="3"/>
                <w:color w:val="auto"/>
              </w:rPr>
            </w:pPr>
          </w:p>
        </w:tc>
        <w:tc>
          <w:tcPr>
            <w:tcW w:w="5240" w:type="dxa"/>
            <w:vAlign w:val="bottom"/>
            <w:tcBorders>
              <w:bottom w:val="single" w:sz="8" w:color="E6E7E8"/>
            </w:tcBorders>
          </w:tcPr>
          <w:p>
            <w:pPr>
              <w:spacing w:after="0"/>
              <w:rPr>
                <w:sz w:val="3"/>
                <w:szCs w:val="3"/>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5240" w:type="dxa"/>
            <w:vAlign w:val="bottom"/>
          </w:tcPr>
          <w:p>
            <w:pPr>
              <w:jc w:val="right"/>
              <w:ind w:right="2"/>
              <w:spacing w:after="0"/>
              <w:rPr>
                <w:sz w:val="20"/>
                <w:szCs w:val="20"/>
                <w:color w:val="auto"/>
              </w:rPr>
            </w:pPr>
            <w:r>
              <w:rPr>
                <w:rFonts w:ascii="Arial" w:cs="Arial" w:eastAsia="Arial" w:hAnsi="Arial"/>
                <w:sz w:val="16"/>
                <w:szCs w:val="16"/>
                <w:color w:val="auto"/>
              </w:rPr>
              <w:t>600,000</w:t>
            </w:r>
          </w:p>
        </w:tc>
      </w:tr>
      <w:tr>
        <w:trPr>
          <w:trHeight w:val="34"/>
        </w:trPr>
        <w:tc>
          <w:tcPr>
            <w:tcW w:w="6000" w:type="dxa"/>
            <w:vAlign w:val="bottom"/>
            <w:tcBorders>
              <w:bottom w:val="single" w:sz="8" w:color="E6E7E8"/>
            </w:tcBorders>
          </w:tcPr>
          <w:p>
            <w:pPr>
              <w:spacing w:after="0"/>
              <w:rPr>
                <w:sz w:val="3"/>
                <w:szCs w:val="3"/>
                <w:color w:val="auto"/>
              </w:rPr>
            </w:pPr>
          </w:p>
        </w:tc>
        <w:tc>
          <w:tcPr>
            <w:tcW w:w="5240" w:type="dxa"/>
            <w:vAlign w:val="bottom"/>
            <w:tcBorders>
              <w:bottom w:val="single" w:sz="8" w:color="E6E7E8"/>
            </w:tcBorders>
          </w:tcPr>
          <w:p>
            <w:pPr>
              <w:spacing w:after="0"/>
              <w:rPr>
                <w:sz w:val="3"/>
                <w:szCs w:val="3"/>
                <w:color w:val="auto"/>
              </w:rPr>
            </w:pPr>
          </w:p>
        </w:tc>
      </w:tr>
      <w:tr>
        <w:trPr>
          <w:trHeight w:val="263"/>
        </w:trPr>
        <w:tc>
          <w:tcPr>
            <w:tcW w:w="600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C.D. Baer Pettit</w:t>
            </w:r>
            <w:r>
              <w:rPr>
                <w:rFonts w:ascii="Arial" w:cs="Arial" w:eastAsia="Arial" w:hAnsi="Arial"/>
                <w:sz w:val="21"/>
                <w:szCs w:val="21"/>
                <w:b w:val="1"/>
                <w:bCs w:val="1"/>
                <w:color w:val="1A3FD6"/>
                <w:vertAlign w:val="superscript"/>
              </w:rPr>
              <w:t>(1)</w:t>
            </w:r>
          </w:p>
        </w:tc>
        <w:tc>
          <w:tcPr>
            <w:tcW w:w="5240" w:type="dxa"/>
            <w:vAlign w:val="bottom"/>
            <w:tcBorders>
              <w:bottom w:val="single" w:sz="8" w:color="E6E7E8"/>
            </w:tcBorders>
          </w:tcPr>
          <w:p>
            <w:pPr>
              <w:jc w:val="right"/>
              <w:ind w:right="2"/>
              <w:spacing w:after="0"/>
              <w:rPr>
                <w:sz w:val="20"/>
                <w:szCs w:val="20"/>
                <w:color w:val="auto"/>
              </w:rPr>
            </w:pPr>
            <w:r>
              <w:rPr>
                <w:rFonts w:ascii="Arial" w:cs="Arial" w:eastAsia="Arial" w:hAnsi="Arial"/>
                <w:sz w:val="16"/>
                <w:szCs w:val="16"/>
                <w:color w:val="auto"/>
              </w:rPr>
              <w:t>823,996</w:t>
            </w:r>
          </w:p>
        </w:tc>
      </w:tr>
      <w:tr>
        <w:trPr>
          <w:trHeight w:val="263"/>
        </w:trPr>
        <w:tc>
          <w:tcPr>
            <w:tcW w:w="600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Alvise J. Munari</w:t>
            </w:r>
            <w:r>
              <w:rPr>
                <w:rFonts w:ascii="Arial" w:cs="Arial" w:eastAsia="Arial" w:hAnsi="Arial"/>
                <w:sz w:val="21"/>
                <w:szCs w:val="21"/>
                <w:b w:val="1"/>
                <w:bCs w:val="1"/>
                <w:color w:val="1A3FD6"/>
                <w:vertAlign w:val="superscript"/>
              </w:rPr>
              <w:t>(2)</w:t>
            </w:r>
          </w:p>
        </w:tc>
        <w:tc>
          <w:tcPr>
            <w:tcW w:w="5240" w:type="dxa"/>
            <w:vAlign w:val="bottom"/>
            <w:tcBorders>
              <w:bottom w:val="single" w:sz="8" w:color="E6E7E8"/>
            </w:tcBorders>
          </w:tcPr>
          <w:p>
            <w:pPr>
              <w:jc w:val="right"/>
              <w:ind w:right="2"/>
              <w:spacing w:after="0"/>
              <w:rPr>
                <w:sz w:val="20"/>
                <w:szCs w:val="20"/>
                <w:color w:val="auto"/>
              </w:rPr>
            </w:pPr>
            <w:r>
              <w:rPr>
                <w:rFonts w:ascii="Arial" w:cs="Arial" w:eastAsia="Arial" w:hAnsi="Arial"/>
                <w:sz w:val="16"/>
                <w:szCs w:val="16"/>
                <w:color w:val="auto"/>
              </w:rPr>
              <w:t>663,568</w:t>
            </w:r>
          </w:p>
        </w:tc>
      </w:tr>
      <w:tr>
        <w:trPr>
          <w:trHeight w:val="229"/>
        </w:trPr>
        <w:tc>
          <w:tcPr>
            <w:tcW w:w="600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5240" w:type="dxa"/>
            <w:vAlign w:val="bottom"/>
          </w:tcPr>
          <w:p>
            <w:pPr>
              <w:jc w:val="right"/>
              <w:ind w:right="2"/>
              <w:spacing w:after="0"/>
              <w:rPr>
                <w:sz w:val="20"/>
                <w:szCs w:val="20"/>
                <w:color w:val="auto"/>
              </w:rPr>
            </w:pPr>
            <w:r>
              <w:rPr>
                <w:rFonts w:ascii="Arial" w:cs="Arial" w:eastAsia="Arial" w:hAnsi="Arial"/>
                <w:sz w:val="16"/>
                <w:szCs w:val="16"/>
                <w:color w:val="auto"/>
              </w:rPr>
              <w:t>550,000</w:t>
            </w:r>
          </w:p>
        </w:tc>
      </w:tr>
      <w:tr>
        <w:trPr>
          <w:trHeight w:val="35"/>
        </w:trPr>
        <w:tc>
          <w:tcPr>
            <w:tcW w:w="6000" w:type="dxa"/>
            <w:vAlign w:val="bottom"/>
            <w:tcBorders>
              <w:bottom w:val="single" w:sz="8" w:color="1A3FD6"/>
            </w:tcBorders>
          </w:tcPr>
          <w:p>
            <w:pPr>
              <w:spacing w:after="0"/>
              <w:rPr>
                <w:sz w:val="3"/>
                <w:szCs w:val="3"/>
                <w:color w:val="auto"/>
              </w:rPr>
            </w:pPr>
          </w:p>
        </w:tc>
        <w:tc>
          <w:tcPr>
            <w:tcW w:w="5240" w:type="dxa"/>
            <w:vAlign w:val="bottom"/>
            <w:tcBorders>
              <w:bottom w:val="single" w:sz="8" w:color="1A3FD6"/>
            </w:tcBorders>
          </w:tcPr>
          <w:p>
            <w:pPr>
              <w:spacing w:after="0"/>
              <w:rPr>
                <w:sz w:val="3"/>
                <w:szCs w:val="3"/>
                <w:color w:val="auto"/>
              </w:rPr>
            </w:pPr>
          </w:p>
        </w:tc>
      </w:tr>
    </w:tbl>
    <w:p>
      <w:pPr>
        <w:spacing w:after="0" w:line="153" w:lineRule="exact"/>
        <w:rPr>
          <w:sz w:val="20"/>
          <w:szCs w:val="20"/>
          <w:color w:val="auto"/>
        </w:rPr>
      </w:pPr>
    </w:p>
    <w:p>
      <w:pPr>
        <w:ind w:left="260" w:right="60" w:hanging="252"/>
        <w:spacing w:after="0" w:line="239" w:lineRule="auto"/>
        <w:tabs>
          <w:tab w:leader="none" w:pos="264"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Base salary for Mr. Pettit was paid in British pounds sterling and converted to U.S. dollars using the fiscal year average of daily spot rates of £1 to $1.3184. Mr. Pettit’s 2025 base salary rate was £625,000.</w:t>
      </w:r>
    </w:p>
    <w:p>
      <w:pPr>
        <w:spacing w:after="0" w:line="67" w:lineRule="exact"/>
        <w:rPr>
          <w:rFonts w:ascii="Arial" w:cs="Arial" w:eastAsia="Arial" w:hAnsi="Arial"/>
          <w:sz w:val="19"/>
          <w:szCs w:val="19"/>
          <w:color w:val="auto"/>
          <w:vertAlign w:val="superscript"/>
        </w:rPr>
      </w:pPr>
    </w:p>
    <w:p>
      <w:pPr>
        <w:ind w:left="260" w:right="240" w:hanging="252"/>
        <w:spacing w:after="0" w:line="239" w:lineRule="auto"/>
        <w:tabs>
          <w:tab w:leader="none" w:pos="250"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Base salary for Mr. Munari was paid in Swiss francs and converted to U.S. dollars using the fiscal year average of daily spot rates of CHF1 to $1.2065. Mr. Munari’s 2025 base salary rate was CHF 550,000.</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Variable Compensation</w:t>
      </w:r>
    </w:p>
    <w:p>
      <w:pPr>
        <w:spacing w:after="0" w:line="11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variable compensation actually paid to our NEOs is subject to performance metrics that are designed to (i) emphasize pay-for-performance, (ii) balance short-term and long-term incentives, and (iii) take into account input from our shareholders. The variable elements of our target-based incentive compensation program include:</w:t>
      </w:r>
    </w:p>
    <w:p>
      <w:pPr>
        <w:spacing w:after="0" w:line="111"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6"/>
          <w:szCs w:val="16"/>
          <w:b w:val="1"/>
          <w:bCs w:val="1"/>
          <w:color w:val="1A3FD6"/>
        </w:rPr>
      </w:pPr>
      <w:r>
        <w:rPr>
          <w:rFonts w:ascii="Arial" w:cs="Arial" w:eastAsia="Arial" w:hAnsi="Arial"/>
          <w:sz w:val="16"/>
          <w:szCs w:val="16"/>
          <w:color w:val="auto"/>
        </w:rPr>
        <w:t>an annual cash incentive component; and</w:t>
      </w:r>
    </w:p>
    <w:p>
      <w:pPr>
        <w:spacing w:after="0" w:line="99" w:lineRule="exact"/>
        <w:rPr>
          <w:rFonts w:ascii="Arial" w:cs="Arial" w:eastAsia="Arial" w:hAnsi="Arial"/>
          <w:sz w:val="16"/>
          <w:szCs w:val="16"/>
          <w:b w:val="1"/>
          <w:bCs w:val="1"/>
          <w:color w:val="1A3FD6"/>
        </w:rPr>
      </w:pPr>
    </w:p>
    <w:p>
      <w:pPr>
        <w:ind w:left="260" w:hanging="252"/>
        <w:spacing w:after="0"/>
        <w:tabs>
          <w:tab w:leader="none" w:pos="260" w:val="left"/>
        </w:tabs>
        <w:numPr>
          <w:ilvl w:val="0"/>
          <w:numId w:val="86"/>
        </w:numPr>
        <w:rPr>
          <w:rFonts w:ascii="Arial" w:cs="Arial" w:eastAsia="Arial" w:hAnsi="Arial"/>
          <w:sz w:val="16"/>
          <w:szCs w:val="16"/>
          <w:b w:val="1"/>
          <w:bCs w:val="1"/>
          <w:color w:val="1A3FD6"/>
        </w:rPr>
      </w:pPr>
      <w:r>
        <w:rPr>
          <w:rFonts w:ascii="Arial" w:cs="Arial" w:eastAsia="Arial" w:hAnsi="Arial"/>
          <w:sz w:val="16"/>
          <w:szCs w:val="16"/>
          <w:color w:val="auto"/>
        </w:rPr>
        <w:t>a long-term equity incentive component.</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determining target cash and equity incentive compensation amounts for each NEO, the Compensation Committee takes into account a number of factors, including: the differences in relative responsibilities; experience and performance in role; the ability to impact overall Company performance; Company, product segment and individual performance; and historical compensation and peer group analyses (used as a reference without benchmarking to a specified target).</w:t>
      </w:r>
    </w:p>
    <w:p>
      <w:pPr>
        <w:spacing w:after="0" w:line="99"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There is no minimum amount of variable compensation payable to the NEOs. The Compensation Committee makes determinations, in its discretion, as to the amounts of variable compensation awarded based on program metrics and individual performance, subject to the terms of any applicable plan or arrangement.</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Annual Cash Incentives</w:t>
      </w:r>
    </w:p>
    <w:p>
      <w:pPr>
        <w:spacing w:after="0" w:line="11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Company awards annual cash incentives pursuant to the Company’s AIP, which closely aligns management’s interests with those of shareholders by employing a formulaic approach that considers specific financial metrics and individual goals when determining cash incentives. Under the AIP, each NEO is eligible to earn an annual target cash incentive and may receive between 0% and 150% of their target cash incentive opportunity based on attainment of the level of certain financial performance metrics (together, weighted at 80%) and individual performance (weighted at 20%). The Compensation Committee believes that subjecting 80% of the target cash incentive to pre-established performance targets further promotes shareholder value creation by more directly aligning executive compensation with the Company’s long-term business objectives, financial performance and strategic goal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325755</wp:posOffset>
            </wp:positionV>
            <wp:extent cx="556895" cy="1454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For 2025, the Compensation Committee, with input from shareholders and its independent compensation consultant, refined the AIP’s financial metric weightings to reinforce the Company’s focus on driving sustainable revenue growth and new business generation. The Compensation Committee increased the weighting of Total Net Sales (from 40% to 50%) and Revenue (from 20% to 25%), reflecting its view that accelerating top-line performance is critical to long-term shareholder value creation. The weighting of Adjusted EPS was modestly reduced (from 30% to 25%) while remaining a significant component, ensuring continued focus on profitability and cost discipline. The Compensation Committee also eliminated Free Cash Flow as a standalone metric, reducing the overall number of financial metrics from four to three to enhance simplicity and focus participants on the measures most closely tied to the Company’s strategic priorities.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60" w:type="dxa"/>
            <w:vAlign w:val="bottom"/>
          </w:tcPr>
          <w:p>
            <w:pPr>
              <w:spacing w:after="0"/>
              <w:rPr>
                <w:sz w:val="16"/>
                <w:szCs w:val="16"/>
                <w:color w:val="auto"/>
              </w:rPr>
            </w:pPr>
          </w:p>
        </w:tc>
        <w:tc>
          <w:tcPr>
            <w:tcW w:w="42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2024</w:t>
            </w:r>
          </w:p>
        </w:tc>
        <w:tc>
          <w:tcPr>
            <w:tcW w:w="1480" w:type="dxa"/>
            <w:vAlign w:val="bottom"/>
          </w:tcPr>
          <w:p>
            <w:pPr>
              <w:jc w:val="right"/>
              <w:ind w:right="462"/>
              <w:spacing w:after="0"/>
              <w:rPr>
                <w:sz w:val="20"/>
                <w:szCs w:val="20"/>
                <w:color w:val="auto"/>
              </w:rPr>
            </w:pPr>
            <w:r>
              <w:rPr>
                <w:rFonts w:ascii="Arial" w:cs="Arial" w:eastAsia="Arial" w:hAnsi="Arial"/>
                <w:sz w:val="14"/>
                <w:szCs w:val="14"/>
                <w:b w:val="1"/>
                <w:bCs w:val="1"/>
                <w:color w:val="auto"/>
              </w:rPr>
              <w:t>2025</w:t>
            </w:r>
          </w:p>
        </w:tc>
        <w:tc>
          <w:tcPr>
            <w:tcW w:w="1040" w:type="dxa"/>
            <w:vAlign w:val="bottom"/>
          </w:tcPr>
          <w:p>
            <w:pPr>
              <w:spacing w:after="0"/>
              <w:rPr>
                <w:sz w:val="16"/>
                <w:szCs w:val="16"/>
                <w:color w:val="auto"/>
              </w:rPr>
            </w:pP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Metric</w:t>
            </w:r>
          </w:p>
        </w:tc>
        <w:tc>
          <w:tcPr>
            <w:tcW w:w="4260" w:type="dxa"/>
            <w:vAlign w:val="bottom"/>
          </w:tcPr>
          <w:p>
            <w:pPr>
              <w:jc w:val="right"/>
              <w:ind w:right="422"/>
              <w:spacing w:after="0"/>
              <w:rPr>
                <w:sz w:val="20"/>
                <w:szCs w:val="20"/>
                <w:color w:val="auto"/>
              </w:rPr>
            </w:pPr>
            <w:r>
              <w:rPr>
                <w:rFonts w:ascii="Arial" w:cs="Arial" w:eastAsia="Arial" w:hAnsi="Arial"/>
                <w:sz w:val="14"/>
                <w:szCs w:val="14"/>
                <w:b w:val="1"/>
                <w:bCs w:val="1"/>
                <w:color w:val="auto"/>
              </w:rPr>
              <w:t>Weight</w:t>
            </w:r>
          </w:p>
        </w:tc>
        <w:tc>
          <w:tcPr>
            <w:tcW w:w="1480" w:type="dxa"/>
            <w:vAlign w:val="bottom"/>
          </w:tcPr>
          <w:p>
            <w:pPr>
              <w:jc w:val="right"/>
              <w:ind w:right="422"/>
              <w:spacing w:after="0"/>
              <w:rPr>
                <w:sz w:val="20"/>
                <w:szCs w:val="20"/>
                <w:color w:val="auto"/>
              </w:rPr>
            </w:pPr>
            <w:r>
              <w:rPr>
                <w:rFonts w:ascii="Arial" w:cs="Arial" w:eastAsia="Arial" w:hAnsi="Arial"/>
                <w:sz w:val="14"/>
                <w:szCs w:val="14"/>
                <w:b w:val="1"/>
                <w:bCs w:val="1"/>
                <w:color w:val="auto"/>
              </w:rPr>
              <w:t>Weight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r>
      <w:tr>
        <w:trPr>
          <w:trHeight w:val="29"/>
        </w:trPr>
        <w:tc>
          <w:tcPr>
            <w:tcW w:w="4460" w:type="dxa"/>
            <w:vAlign w:val="bottom"/>
            <w:tcBorders>
              <w:bottom w:val="single" w:sz="8" w:color="1A3FD6"/>
            </w:tcBorders>
          </w:tcPr>
          <w:p>
            <w:pPr>
              <w:spacing w:after="0"/>
              <w:rPr>
                <w:sz w:val="2"/>
                <w:szCs w:val="2"/>
                <w:color w:val="auto"/>
              </w:rPr>
            </w:pPr>
          </w:p>
        </w:tc>
        <w:tc>
          <w:tcPr>
            <w:tcW w:w="4260" w:type="dxa"/>
            <w:vAlign w:val="bottom"/>
            <w:tcBorders>
              <w:bottom w:val="single" w:sz="8" w:color="1A3FD6"/>
            </w:tcBorders>
          </w:tcPr>
          <w:p>
            <w:pPr>
              <w:spacing w:after="0"/>
              <w:rPr>
                <w:sz w:val="2"/>
                <w:szCs w:val="2"/>
                <w:color w:val="auto"/>
              </w:rPr>
            </w:pPr>
          </w:p>
        </w:tc>
        <w:tc>
          <w:tcPr>
            <w:tcW w:w="1480" w:type="dxa"/>
            <w:vAlign w:val="bottom"/>
            <w:tcBorders>
              <w:bottom w:val="single" w:sz="8" w:color="1A3FD6"/>
            </w:tcBorders>
          </w:tcPr>
          <w:p>
            <w:pPr>
              <w:spacing w:after="0"/>
              <w:rPr>
                <w:sz w:val="2"/>
                <w:szCs w:val="2"/>
                <w:color w:val="auto"/>
              </w:rPr>
            </w:pPr>
          </w:p>
        </w:tc>
        <w:tc>
          <w:tcPr>
            <w:tcW w:w="1040" w:type="dxa"/>
            <w:vAlign w:val="bottom"/>
            <w:tcBorders>
              <w:bottom w:val="single" w:sz="8" w:color="1A3FD6"/>
            </w:tcBorders>
          </w:tcPr>
          <w:p>
            <w:pPr>
              <w:spacing w:after="0"/>
              <w:rPr>
                <w:sz w:val="2"/>
                <w:szCs w:val="2"/>
                <w:color w:val="auto"/>
              </w:rPr>
            </w:pPr>
          </w:p>
        </w:tc>
      </w:tr>
      <w:tr>
        <w:trPr>
          <w:trHeight w:val="221"/>
        </w:trPr>
        <w:tc>
          <w:tcPr>
            <w:tcW w:w="4460" w:type="dxa"/>
            <w:vAlign w:val="bottom"/>
          </w:tcPr>
          <w:p>
            <w:pPr>
              <w:ind w:left="20"/>
              <w:spacing w:after="0"/>
              <w:rPr>
                <w:sz w:val="20"/>
                <w:szCs w:val="20"/>
                <w:color w:val="auto"/>
              </w:rPr>
            </w:pPr>
            <w:r>
              <w:rPr>
                <w:rFonts w:ascii="Arial" w:cs="Arial" w:eastAsia="Arial" w:hAnsi="Arial"/>
                <w:sz w:val="16"/>
                <w:szCs w:val="16"/>
                <w:color w:val="auto"/>
              </w:rPr>
              <w:t>Total Net Sales</w:t>
            </w:r>
          </w:p>
        </w:tc>
        <w:tc>
          <w:tcPr>
            <w:tcW w:w="4260" w:type="dxa"/>
            <w:vAlign w:val="bottom"/>
          </w:tcPr>
          <w:p>
            <w:pPr>
              <w:jc w:val="right"/>
              <w:ind w:right="422"/>
              <w:spacing w:after="0"/>
              <w:rPr>
                <w:sz w:val="20"/>
                <w:szCs w:val="20"/>
                <w:color w:val="auto"/>
              </w:rPr>
            </w:pPr>
            <w:r>
              <w:rPr>
                <w:rFonts w:ascii="Arial" w:cs="Arial" w:eastAsia="Arial" w:hAnsi="Arial"/>
                <w:sz w:val="16"/>
                <w:szCs w:val="16"/>
                <w:color w:val="auto"/>
              </w:rPr>
              <w:t>40%</w:t>
            </w:r>
          </w:p>
        </w:tc>
        <w:tc>
          <w:tcPr>
            <w:tcW w:w="1480" w:type="dxa"/>
            <w:vAlign w:val="bottom"/>
          </w:tcPr>
          <w:p>
            <w:pPr>
              <w:jc w:val="right"/>
              <w:ind w:right="422"/>
              <w:spacing w:after="0"/>
              <w:rPr>
                <w:sz w:val="20"/>
                <w:szCs w:val="20"/>
                <w:color w:val="auto"/>
              </w:rPr>
            </w:pPr>
            <w:r>
              <w:rPr>
                <w:rFonts w:ascii="Arial" w:cs="Arial" w:eastAsia="Arial" w:hAnsi="Arial"/>
                <w:sz w:val="16"/>
                <w:szCs w:val="16"/>
                <w:color w:val="auto"/>
              </w:rPr>
              <w:t>50%</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3"/>
        </w:trPr>
        <w:tc>
          <w:tcPr>
            <w:tcW w:w="4460" w:type="dxa"/>
            <w:vAlign w:val="bottom"/>
            <w:tcBorders>
              <w:bottom w:val="single" w:sz="8" w:color="E6E7E8"/>
            </w:tcBorders>
          </w:tcPr>
          <w:p>
            <w:pPr>
              <w:spacing w:after="0"/>
              <w:rPr>
                <w:sz w:val="3"/>
                <w:szCs w:val="3"/>
                <w:color w:val="auto"/>
              </w:rPr>
            </w:pPr>
          </w:p>
        </w:tc>
        <w:tc>
          <w:tcPr>
            <w:tcW w:w="4260" w:type="dxa"/>
            <w:vAlign w:val="bottom"/>
            <w:tcBorders>
              <w:bottom w:val="single" w:sz="8" w:color="E6E7E8"/>
            </w:tcBorders>
          </w:tcPr>
          <w:p>
            <w:pPr>
              <w:spacing w:after="0"/>
              <w:rPr>
                <w:sz w:val="3"/>
                <w:szCs w:val="3"/>
                <w:color w:val="auto"/>
              </w:rPr>
            </w:pPr>
          </w:p>
        </w:tc>
        <w:tc>
          <w:tcPr>
            <w:tcW w:w="148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r>
      <w:tr>
        <w:trPr>
          <w:trHeight w:val="221"/>
        </w:trPr>
        <w:tc>
          <w:tcPr>
            <w:tcW w:w="4460" w:type="dxa"/>
            <w:vAlign w:val="bottom"/>
          </w:tcPr>
          <w:p>
            <w:pPr>
              <w:ind w:left="20"/>
              <w:spacing w:after="0"/>
              <w:rPr>
                <w:sz w:val="20"/>
                <w:szCs w:val="20"/>
                <w:color w:val="auto"/>
              </w:rPr>
            </w:pPr>
            <w:r>
              <w:rPr>
                <w:rFonts w:ascii="Arial" w:cs="Arial" w:eastAsia="Arial" w:hAnsi="Arial"/>
                <w:sz w:val="16"/>
                <w:szCs w:val="16"/>
                <w:color w:val="auto"/>
              </w:rPr>
              <w:t>Revenue</w:t>
            </w:r>
          </w:p>
        </w:tc>
        <w:tc>
          <w:tcPr>
            <w:tcW w:w="4260" w:type="dxa"/>
            <w:vAlign w:val="bottom"/>
          </w:tcPr>
          <w:p>
            <w:pPr>
              <w:jc w:val="right"/>
              <w:ind w:right="422"/>
              <w:spacing w:after="0"/>
              <w:rPr>
                <w:sz w:val="20"/>
                <w:szCs w:val="20"/>
                <w:color w:val="auto"/>
              </w:rPr>
            </w:pPr>
            <w:r>
              <w:rPr>
                <w:rFonts w:ascii="Arial" w:cs="Arial" w:eastAsia="Arial" w:hAnsi="Arial"/>
                <w:sz w:val="16"/>
                <w:szCs w:val="16"/>
                <w:color w:val="auto"/>
              </w:rPr>
              <w:t>20%</w:t>
            </w:r>
          </w:p>
        </w:tc>
        <w:tc>
          <w:tcPr>
            <w:tcW w:w="1480" w:type="dxa"/>
            <w:vAlign w:val="bottom"/>
          </w:tcPr>
          <w:p>
            <w:pPr>
              <w:jc w:val="right"/>
              <w:ind w:right="422"/>
              <w:spacing w:after="0"/>
              <w:rPr>
                <w:sz w:val="20"/>
                <w:szCs w:val="20"/>
                <w:color w:val="auto"/>
              </w:rPr>
            </w:pPr>
            <w:r>
              <w:rPr>
                <w:rFonts w:ascii="Arial" w:cs="Arial" w:eastAsia="Arial" w:hAnsi="Arial"/>
                <w:sz w:val="16"/>
                <w:szCs w:val="16"/>
                <w:color w:val="auto"/>
              </w:rPr>
              <w:t>25%</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3"/>
        </w:trPr>
        <w:tc>
          <w:tcPr>
            <w:tcW w:w="4460" w:type="dxa"/>
            <w:vAlign w:val="bottom"/>
            <w:tcBorders>
              <w:bottom w:val="single" w:sz="8" w:color="E6E7E8"/>
            </w:tcBorders>
          </w:tcPr>
          <w:p>
            <w:pPr>
              <w:spacing w:after="0"/>
              <w:rPr>
                <w:sz w:val="3"/>
                <w:szCs w:val="3"/>
                <w:color w:val="auto"/>
              </w:rPr>
            </w:pPr>
          </w:p>
        </w:tc>
        <w:tc>
          <w:tcPr>
            <w:tcW w:w="4260" w:type="dxa"/>
            <w:vAlign w:val="bottom"/>
            <w:tcBorders>
              <w:bottom w:val="single" w:sz="8" w:color="E6E7E8"/>
            </w:tcBorders>
          </w:tcPr>
          <w:p>
            <w:pPr>
              <w:spacing w:after="0"/>
              <w:rPr>
                <w:sz w:val="3"/>
                <w:szCs w:val="3"/>
                <w:color w:val="auto"/>
              </w:rPr>
            </w:pPr>
          </w:p>
        </w:tc>
        <w:tc>
          <w:tcPr>
            <w:tcW w:w="148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r>
      <w:tr>
        <w:trPr>
          <w:trHeight w:val="221"/>
        </w:trPr>
        <w:tc>
          <w:tcPr>
            <w:tcW w:w="4460" w:type="dxa"/>
            <w:vAlign w:val="bottom"/>
          </w:tcPr>
          <w:p>
            <w:pPr>
              <w:ind w:left="20"/>
              <w:spacing w:after="0"/>
              <w:rPr>
                <w:sz w:val="20"/>
                <w:szCs w:val="20"/>
                <w:color w:val="auto"/>
              </w:rPr>
            </w:pPr>
            <w:r>
              <w:rPr>
                <w:rFonts w:ascii="Arial" w:cs="Arial" w:eastAsia="Arial" w:hAnsi="Arial"/>
                <w:sz w:val="16"/>
                <w:szCs w:val="16"/>
                <w:color w:val="auto"/>
              </w:rPr>
              <w:t>Adjusted EPS</w:t>
            </w:r>
          </w:p>
        </w:tc>
        <w:tc>
          <w:tcPr>
            <w:tcW w:w="4260" w:type="dxa"/>
            <w:vAlign w:val="bottom"/>
          </w:tcPr>
          <w:p>
            <w:pPr>
              <w:jc w:val="right"/>
              <w:ind w:right="422"/>
              <w:spacing w:after="0"/>
              <w:rPr>
                <w:sz w:val="20"/>
                <w:szCs w:val="20"/>
                <w:color w:val="auto"/>
              </w:rPr>
            </w:pPr>
            <w:r>
              <w:rPr>
                <w:rFonts w:ascii="Arial" w:cs="Arial" w:eastAsia="Arial" w:hAnsi="Arial"/>
                <w:sz w:val="16"/>
                <w:szCs w:val="16"/>
                <w:color w:val="auto"/>
              </w:rPr>
              <w:t>30%</w:t>
            </w:r>
          </w:p>
        </w:tc>
        <w:tc>
          <w:tcPr>
            <w:tcW w:w="1480" w:type="dxa"/>
            <w:vAlign w:val="bottom"/>
          </w:tcPr>
          <w:p>
            <w:pPr>
              <w:jc w:val="right"/>
              <w:ind w:right="422"/>
              <w:spacing w:after="0"/>
              <w:rPr>
                <w:sz w:val="20"/>
                <w:szCs w:val="20"/>
                <w:color w:val="auto"/>
              </w:rPr>
            </w:pPr>
            <w:r>
              <w:rPr>
                <w:rFonts w:ascii="Arial" w:cs="Arial" w:eastAsia="Arial" w:hAnsi="Arial"/>
                <w:sz w:val="16"/>
                <w:szCs w:val="16"/>
                <w:color w:val="auto"/>
              </w:rPr>
              <w:t>25%</w:t>
            </w: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43"/>
        </w:trPr>
        <w:tc>
          <w:tcPr>
            <w:tcW w:w="4460" w:type="dxa"/>
            <w:vAlign w:val="bottom"/>
            <w:tcBorders>
              <w:bottom w:val="single" w:sz="8" w:color="E6E7E8"/>
            </w:tcBorders>
          </w:tcPr>
          <w:p>
            <w:pPr>
              <w:spacing w:after="0"/>
              <w:rPr>
                <w:sz w:val="3"/>
                <w:szCs w:val="3"/>
                <w:color w:val="auto"/>
              </w:rPr>
            </w:pPr>
          </w:p>
        </w:tc>
        <w:tc>
          <w:tcPr>
            <w:tcW w:w="4260" w:type="dxa"/>
            <w:vAlign w:val="bottom"/>
            <w:tcBorders>
              <w:bottom w:val="single" w:sz="8" w:color="E6E7E8"/>
            </w:tcBorders>
          </w:tcPr>
          <w:p>
            <w:pPr>
              <w:spacing w:after="0"/>
              <w:rPr>
                <w:sz w:val="3"/>
                <w:szCs w:val="3"/>
                <w:color w:val="auto"/>
              </w:rPr>
            </w:pPr>
          </w:p>
        </w:tc>
        <w:tc>
          <w:tcPr>
            <w:tcW w:w="148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r>
      <w:tr>
        <w:trPr>
          <w:trHeight w:val="221"/>
        </w:trPr>
        <w:tc>
          <w:tcPr>
            <w:tcW w:w="44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4260" w:type="dxa"/>
            <w:vAlign w:val="bottom"/>
          </w:tcPr>
          <w:p>
            <w:pPr>
              <w:jc w:val="right"/>
              <w:ind w:right="422"/>
              <w:spacing w:after="0"/>
              <w:rPr>
                <w:sz w:val="20"/>
                <w:szCs w:val="20"/>
                <w:color w:val="auto"/>
              </w:rPr>
            </w:pPr>
            <w:r>
              <w:rPr>
                <w:rFonts w:ascii="Arial" w:cs="Arial" w:eastAsia="Arial" w:hAnsi="Arial"/>
                <w:sz w:val="16"/>
                <w:szCs w:val="16"/>
                <w:color w:val="auto"/>
              </w:rPr>
              <w:t>10%</w:t>
            </w:r>
          </w:p>
        </w:tc>
        <w:tc>
          <w:tcPr>
            <w:tcW w:w="148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460" w:type="dxa"/>
            <w:vAlign w:val="bottom"/>
            <w:tcBorders>
              <w:bottom w:val="single" w:sz="8" w:color="1A3FD6"/>
            </w:tcBorders>
          </w:tcPr>
          <w:p>
            <w:pPr>
              <w:spacing w:after="0"/>
              <w:rPr>
                <w:sz w:val="3"/>
                <w:szCs w:val="3"/>
                <w:color w:val="auto"/>
              </w:rPr>
            </w:pPr>
          </w:p>
        </w:tc>
        <w:tc>
          <w:tcPr>
            <w:tcW w:w="4260" w:type="dxa"/>
            <w:vAlign w:val="bottom"/>
            <w:tcBorders>
              <w:bottom w:val="single" w:sz="8" w:color="1A3FD6"/>
            </w:tcBorders>
          </w:tcPr>
          <w:p>
            <w:pPr>
              <w:spacing w:after="0"/>
              <w:rPr>
                <w:sz w:val="3"/>
                <w:szCs w:val="3"/>
                <w:color w:val="auto"/>
              </w:rPr>
            </w:pPr>
          </w:p>
        </w:tc>
        <w:tc>
          <w:tcPr>
            <w:tcW w:w="1480" w:type="dxa"/>
            <w:vAlign w:val="bottom"/>
            <w:tcBorders>
              <w:bottom w:val="single" w:sz="8" w:color="1A3FD6"/>
            </w:tcBorders>
          </w:tcPr>
          <w:p>
            <w:pPr>
              <w:spacing w:after="0"/>
              <w:rPr>
                <w:sz w:val="3"/>
                <w:szCs w:val="3"/>
                <w:color w:val="auto"/>
              </w:rPr>
            </w:pPr>
          </w:p>
        </w:tc>
        <w:tc>
          <w:tcPr>
            <w:tcW w:w="1040" w:type="dxa"/>
            <w:vAlign w:val="bottom"/>
            <w:tcBorders>
              <w:bottom w:val="single" w:sz="8" w:color="1A3FD6"/>
            </w:tcBorders>
          </w:tcPr>
          <w:p>
            <w:pPr>
              <w:spacing w:after="0"/>
              <w:rPr>
                <w:sz w:val="3"/>
                <w:szCs w:val="3"/>
                <w:color w:val="auto"/>
              </w:rPr>
            </w:pPr>
          </w:p>
        </w:tc>
      </w:tr>
      <w:tr>
        <w:trPr>
          <w:trHeight w:val="229"/>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Total Financial</w:t>
            </w:r>
          </w:p>
        </w:tc>
        <w:tc>
          <w:tcPr>
            <w:tcW w:w="4260" w:type="dxa"/>
            <w:vAlign w:val="bottom"/>
          </w:tcPr>
          <w:p>
            <w:pPr>
              <w:jc w:val="right"/>
              <w:ind w:right="422"/>
              <w:spacing w:after="0"/>
              <w:rPr>
                <w:sz w:val="20"/>
                <w:szCs w:val="20"/>
                <w:color w:val="auto"/>
              </w:rPr>
            </w:pPr>
            <w:r>
              <w:rPr>
                <w:rFonts w:ascii="Arial" w:cs="Arial" w:eastAsia="Arial" w:hAnsi="Arial"/>
                <w:sz w:val="16"/>
                <w:szCs w:val="16"/>
                <w:b w:val="1"/>
                <w:bCs w:val="1"/>
                <w:color w:val="auto"/>
              </w:rPr>
              <w:t>70%</w:t>
            </w:r>
          </w:p>
        </w:tc>
        <w:tc>
          <w:tcPr>
            <w:tcW w:w="1480" w:type="dxa"/>
            <w:vAlign w:val="bottom"/>
          </w:tcPr>
          <w:p>
            <w:pPr>
              <w:jc w:val="right"/>
              <w:ind w:right="422"/>
              <w:spacing w:after="0"/>
              <w:rPr>
                <w:sz w:val="20"/>
                <w:szCs w:val="20"/>
                <w:color w:val="auto"/>
              </w:rPr>
            </w:pPr>
            <w:r>
              <w:rPr>
                <w:rFonts w:ascii="Arial" w:cs="Arial" w:eastAsia="Arial" w:hAnsi="Arial"/>
                <w:sz w:val="16"/>
                <w:szCs w:val="16"/>
                <w:b w:val="1"/>
                <w:bCs w:val="1"/>
                <w:color w:val="auto"/>
              </w:rPr>
              <w:t>80%</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34"/>
        </w:trPr>
        <w:tc>
          <w:tcPr>
            <w:tcW w:w="4460" w:type="dxa"/>
            <w:vAlign w:val="bottom"/>
            <w:tcBorders>
              <w:bottom w:val="single" w:sz="8" w:color="1A3FD6"/>
            </w:tcBorders>
          </w:tcPr>
          <w:p>
            <w:pPr>
              <w:spacing w:after="0"/>
              <w:rPr>
                <w:sz w:val="3"/>
                <w:szCs w:val="3"/>
                <w:color w:val="auto"/>
              </w:rPr>
            </w:pPr>
          </w:p>
        </w:tc>
        <w:tc>
          <w:tcPr>
            <w:tcW w:w="4260" w:type="dxa"/>
            <w:vAlign w:val="bottom"/>
            <w:tcBorders>
              <w:bottom w:val="single" w:sz="8" w:color="1A3FD6"/>
            </w:tcBorders>
          </w:tcPr>
          <w:p>
            <w:pPr>
              <w:spacing w:after="0"/>
              <w:rPr>
                <w:sz w:val="3"/>
                <w:szCs w:val="3"/>
                <w:color w:val="auto"/>
              </w:rPr>
            </w:pPr>
          </w:p>
        </w:tc>
        <w:tc>
          <w:tcPr>
            <w:tcW w:w="1480" w:type="dxa"/>
            <w:vAlign w:val="bottom"/>
            <w:tcBorders>
              <w:bottom w:val="single" w:sz="8" w:color="1A3FD6"/>
            </w:tcBorders>
          </w:tcPr>
          <w:p>
            <w:pPr>
              <w:spacing w:after="0"/>
              <w:rPr>
                <w:sz w:val="3"/>
                <w:szCs w:val="3"/>
                <w:color w:val="auto"/>
              </w:rPr>
            </w:pPr>
          </w:p>
        </w:tc>
        <w:tc>
          <w:tcPr>
            <w:tcW w:w="1040" w:type="dxa"/>
            <w:vAlign w:val="bottom"/>
            <w:tcBorders>
              <w:bottom w:val="single" w:sz="8" w:color="1A3FD6"/>
            </w:tcBorders>
          </w:tcPr>
          <w:p>
            <w:pPr>
              <w:spacing w:after="0"/>
              <w:rPr>
                <w:sz w:val="3"/>
                <w:szCs w:val="3"/>
                <w:color w:val="auto"/>
              </w:rPr>
            </w:pPr>
          </w:p>
        </w:tc>
      </w:tr>
    </w:tbl>
    <w:p>
      <w:pPr>
        <w:spacing w:after="0" w:line="21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Finally, the Compensation Committee eliminated the individual performance component for sustainability goals (formerly 10%) and refocused the remaining individual performance component on culture and leadership effectiveness (20%) to broaden the focus of the qualitative assessment to encompass cross-functional collaboration and contributions to company culture, modeling cultural values, talent development and demonstration of leadership behaviors.</w:t>
      </w:r>
    </w:p>
    <w:p>
      <w:pPr>
        <w:spacing w:after="0" w:line="11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following table sets forth the target cash incentive opportunity for each NEO in respect of 2025, as well as the financial and individual performance goal weightings under the AIP for 2025. In 2025, the Compensation Committee did not make any changes to annual target cash incentive compensation for our NEOs compared to 2024.</w:t>
      </w:r>
    </w:p>
    <w:p>
      <w:pPr>
        <w:spacing w:after="0" w:line="157"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Financial Component—Overall</w:t>
      </w:r>
    </w:p>
    <w:p>
      <w:pPr>
        <w:spacing w:after="0" w:line="35"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Weighting of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36195</wp:posOffset>
            </wp:positionV>
            <wp:extent cx="24003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jc w:val="right"/>
              <w:ind w:right="422"/>
              <w:spacing w:after="0"/>
              <w:rPr>
                <w:sz w:val="20"/>
                <w:szCs w:val="20"/>
                <w:color w:val="auto"/>
              </w:rPr>
            </w:pPr>
            <w:r>
              <w:rPr>
                <w:rFonts w:ascii="Arial" w:cs="Arial" w:eastAsia="Arial" w:hAnsi="Arial"/>
                <w:sz w:val="14"/>
                <w:szCs w:val="14"/>
                <w:b w:val="1"/>
                <w:bCs w:val="1"/>
                <w:color w:val="auto"/>
              </w:rPr>
              <w:t>MSCI Metrics</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
        </w:trPr>
        <w:tc>
          <w:tcPr>
            <w:tcW w:w="3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40" w:type="dxa"/>
            <w:vAlign w:val="bottom"/>
            <w:tcBorders>
              <w:bottom w:val="single" w:sz="8" w:color="1A3FD6"/>
            </w:tcBorders>
          </w:tcPr>
          <w:p>
            <w:pPr>
              <w:spacing w:after="0"/>
              <w:rPr>
                <w:sz w:val="2"/>
                <w:szCs w:val="2"/>
                <w:color w:val="auto"/>
              </w:rPr>
            </w:pPr>
          </w:p>
        </w:tc>
        <w:tc>
          <w:tcPr>
            <w:tcW w:w="1500" w:type="dxa"/>
            <w:vAlign w:val="bottom"/>
            <w:tcBorders>
              <w:bottom w:val="single" w:sz="8" w:color="1A3FD6"/>
            </w:tcBorders>
          </w:tcPr>
          <w:p>
            <w:pPr>
              <w:spacing w:after="0"/>
              <w:rPr>
                <w:sz w:val="2"/>
                <w:szCs w:val="2"/>
                <w:color w:val="auto"/>
              </w:rPr>
            </w:pPr>
          </w:p>
        </w:tc>
        <w:tc>
          <w:tcPr>
            <w:tcW w:w="940" w:type="dxa"/>
            <w:vAlign w:val="bottom"/>
            <w:tcBorders>
              <w:bottom w:val="single" w:sz="8" w:color="1A3FD6"/>
            </w:tcBorders>
          </w:tcPr>
          <w:p>
            <w:pPr>
              <w:spacing w:after="0"/>
              <w:rPr>
                <w:sz w:val="2"/>
                <w:szCs w:val="2"/>
                <w:color w:val="auto"/>
              </w:rPr>
            </w:pPr>
          </w:p>
        </w:tc>
        <w:tc>
          <w:tcPr>
            <w:tcW w:w="1060" w:type="dxa"/>
            <w:vAlign w:val="bottom"/>
          </w:tcPr>
          <w:p>
            <w:pPr>
              <w:spacing w:after="0"/>
              <w:rPr>
                <w:sz w:val="2"/>
                <w:szCs w:val="2"/>
                <w:color w:val="auto"/>
              </w:rPr>
            </w:pPr>
          </w:p>
        </w:tc>
      </w:tr>
      <w:tr>
        <w:trPr>
          <w:trHeight w:val="200"/>
        </w:trPr>
        <w:tc>
          <w:tcPr>
            <w:tcW w:w="3420" w:type="dxa"/>
            <w:vAlign w:val="bottom"/>
          </w:tcPr>
          <w:p>
            <w:pPr>
              <w:spacing w:after="0"/>
              <w:rPr>
                <w:sz w:val="17"/>
                <w:szCs w:val="17"/>
                <w:color w:val="auto"/>
              </w:rPr>
            </w:pPr>
          </w:p>
        </w:tc>
        <w:tc>
          <w:tcPr>
            <w:tcW w:w="2980" w:type="dxa"/>
            <w:vAlign w:val="bottom"/>
          </w:tcPr>
          <w:p>
            <w:pPr>
              <w:jc w:val="right"/>
              <w:ind w:right="102"/>
              <w:spacing w:after="0"/>
              <w:rPr>
                <w:sz w:val="20"/>
                <w:szCs w:val="20"/>
                <w:color w:val="auto"/>
              </w:rPr>
            </w:pPr>
            <w:r>
              <w:rPr>
                <w:rFonts w:ascii="Arial" w:cs="Arial" w:eastAsia="Arial" w:hAnsi="Arial"/>
                <w:sz w:val="14"/>
                <w:szCs w:val="14"/>
                <w:b w:val="1"/>
                <w:bCs w:val="1"/>
                <w:color w:val="auto"/>
              </w:rPr>
              <w:t>2025 Target Cash</w:t>
            </w:r>
          </w:p>
        </w:tc>
        <w:tc>
          <w:tcPr>
            <w:tcW w:w="1340" w:type="dxa"/>
            <w:vAlign w:val="bottom"/>
          </w:tcPr>
          <w:p>
            <w:pPr>
              <w:spacing w:after="0"/>
              <w:rPr>
                <w:sz w:val="17"/>
                <w:szCs w:val="17"/>
                <w:color w:val="auto"/>
              </w:rPr>
            </w:pPr>
          </w:p>
        </w:tc>
        <w:tc>
          <w:tcPr>
            <w:tcW w:w="1500" w:type="dxa"/>
            <w:vAlign w:val="bottom"/>
          </w:tcPr>
          <w:p>
            <w:pPr>
              <w:jc w:val="right"/>
              <w:ind w:right="242"/>
              <w:spacing w:after="0"/>
              <w:rPr>
                <w:sz w:val="20"/>
                <w:szCs w:val="20"/>
                <w:color w:val="auto"/>
              </w:rPr>
            </w:pPr>
            <w:r>
              <w:rPr>
                <w:rFonts w:ascii="Arial" w:cs="Arial" w:eastAsia="Arial" w:hAnsi="Arial"/>
                <w:sz w:val="14"/>
                <w:szCs w:val="14"/>
                <w:b w:val="1"/>
                <w:bCs w:val="1"/>
                <w:color w:val="auto"/>
              </w:rPr>
              <w:t>Adjusted</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Total Net</w:t>
            </w:r>
          </w:p>
        </w:tc>
        <w:tc>
          <w:tcPr>
            <w:tcW w:w="1060" w:type="dxa"/>
            <w:vAlign w:val="bottom"/>
          </w:tcPr>
          <w:p>
            <w:pPr>
              <w:spacing w:after="0"/>
              <w:rPr>
                <w:sz w:val="17"/>
                <w:szCs w:val="17"/>
                <w:color w:val="auto"/>
              </w:rPr>
            </w:pPr>
          </w:p>
        </w:tc>
      </w:tr>
      <w:tr>
        <w:trPr>
          <w:trHeight w:val="196"/>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2980" w:type="dxa"/>
            <w:vAlign w:val="bottom"/>
          </w:tcPr>
          <w:p>
            <w:pPr>
              <w:jc w:val="right"/>
              <w:ind w:right="102"/>
              <w:spacing w:after="0"/>
              <w:rPr>
                <w:sz w:val="20"/>
                <w:szCs w:val="20"/>
                <w:color w:val="auto"/>
              </w:rPr>
            </w:pPr>
            <w:r>
              <w:rPr>
                <w:rFonts w:ascii="Arial" w:cs="Arial" w:eastAsia="Arial" w:hAnsi="Arial"/>
                <w:sz w:val="14"/>
                <w:szCs w:val="14"/>
                <w:b w:val="1"/>
                <w:bCs w:val="1"/>
                <w:color w:val="auto"/>
              </w:rPr>
              <w:t>Incentive ($)</w:t>
            </w:r>
          </w:p>
        </w:tc>
        <w:tc>
          <w:tcPr>
            <w:tcW w:w="1340" w:type="dxa"/>
            <w:vAlign w:val="bottom"/>
          </w:tcPr>
          <w:p>
            <w:pPr>
              <w:jc w:val="right"/>
              <w:ind w:right="21"/>
              <w:spacing w:after="0"/>
              <w:rPr>
                <w:sz w:val="20"/>
                <w:szCs w:val="20"/>
                <w:color w:val="auto"/>
              </w:rPr>
            </w:pPr>
            <w:r>
              <w:rPr>
                <w:rFonts w:ascii="Arial" w:cs="Arial" w:eastAsia="Arial" w:hAnsi="Arial"/>
                <w:sz w:val="14"/>
                <w:szCs w:val="14"/>
                <w:b w:val="1"/>
                <w:bCs w:val="1"/>
                <w:color w:val="auto"/>
              </w:rPr>
              <w:t>Revenue</w:t>
            </w:r>
          </w:p>
        </w:tc>
        <w:tc>
          <w:tcPr>
            <w:tcW w:w="1500" w:type="dxa"/>
            <w:vAlign w:val="bottom"/>
          </w:tcPr>
          <w:p>
            <w:pPr>
              <w:jc w:val="right"/>
              <w:ind w:right="242"/>
              <w:spacing w:after="0"/>
              <w:rPr>
                <w:sz w:val="20"/>
                <w:szCs w:val="20"/>
                <w:color w:val="auto"/>
              </w:rPr>
            </w:pPr>
            <w:r>
              <w:rPr>
                <w:rFonts w:ascii="Arial" w:cs="Arial" w:eastAsia="Arial" w:hAnsi="Arial"/>
                <w:sz w:val="14"/>
                <w:szCs w:val="14"/>
                <w:b w:val="1"/>
                <w:bCs w:val="1"/>
                <w:color w:val="auto"/>
              </w:rPr>
              <w:t>EPS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Sales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KPIs</w:t>
            </w:r>
          </w:p>
        </w:tc>
      </w:tr>
      <w:tr>
        <w:trPr>
          <w:trHeight w:val="29"/>
        </w:trPr>
        <w:tc>
          <w:tcPr>
            <w:tcW w:w="3420" w:type="dxa"/>
            <w:vAlign w:val="bottom"/>
            <w:tcBorders>
              <w:bottom w:val="single" w:sz="8" w:color="1A3FD6"/>
            </w:tcBorders>
          </w:tcPr>
          <w:p>
            <w:pPr>
              <w:spacing w:after="0"/>
              <w:rPr>
                <w:sz w:val="2"/>
                <w:szCs w:val="2"/>
                <w:color w:val="auto"/>
              </w:rPr>
            </w:pPr>
          </w:p>
        </w:tc>
        <w:tc>
          <w:tcPr>
            <w:tcW w:w="2980" w:type="dxa"/>
            <w:vAlign w:val="bottom"/>
            <w:tcBorders>
              <w:bottom w:val="single" w:sz="8" w:color="1A3FD6"/>
            </w:tcBorders>
          </w:tcPr>
          <w:p>
            <w:pPr>
              <w:spacing w:after="0"/>
              <w:rPr>
                <w:sz w:val="2"/>
                <w:szCs w:val="2"/>
                <w:color w:val="auto"/>
              </w:rPr>
            </w:pPr>
          </w:p>
        </w:tc>
        <w:tc>
          <w:tcPr>
            <w:tcW w:w="1340" w:type="dxa"/>
            <w:vAlign w:val="bottom"/>
            <w:tcBorders>
              <w:bottom w:val="single" w:sz="8" w:color="1A3FD6"/>
            </w:tcBorders>
          </w:tcPr>
          <w:p>
            <w:pPr>
              <w:spacing w:after="0"/>
              <w:rPr>
                <w:sz w:val="2"/>
                <w:szCs w:val="2"/>
                <w:color w:val="auto"/>
              </w:rPr>
            </w:pPr>
          </w:p>
        </w:tc>
        <w:tc>
          <w:tcPr>
            <w:tcW w:w="1500" w:type="dxa"/>
            <w:vAlign w:val="bottom"/>
            <w:tcBorders>
              <w:bottom w:val="single" w:sz="8" w:color="1A3FD6"/>
            </w:tcBorders>
          </w:tcPr>
          <w:p>
            <w:pPr>
              <w:spacing w:after="0"/>
              <w:rPr>
                <w:sz w:val="2"/>
                <w:szCs w:val="2"/>
                <w:color w:val="auto"/>
              </w:rPr>
            </w:pPr>
          </w:p>
        </w:tc>
        <w:tc>
          <w:tcPr>
            <w:tcW w:w="940" w:type="dxa"/>
            <w:vAlign w:val="bottom"/>
            <w:tcBorders>
              <w:bottom w:val="single" w:sz="8" w:color="1A3FD6"/>
            </w:tcBorders>
          </w:tcPr>
          <w:p>
            <w:pPr>
              <w:spacing w:after="0"/>
              <w:rPr>
                <w:sz w:val="2"/>
                <w:szCs w:val="2"/>
                <w:color w:val="auto"/>
              </w:rPr>
            </w:pPr>
          </w:p>
        </w:tc>
        <w:tc>
          <w:tcPr>
            <w:tcW w:w="1060" w:type="dxa"/>
            <w:vAlign w:val="bottom"/>
            <w:tcBorders>
              <w:bottom w:val="single" w:sz="8" w:color="1A3FD6"/>
            </w:tcBorders>
          </w:tcPr>
          <w:p>
            <w:pPr>
              <w:spacing w:after="0"/>
              <w:rPr>
                <w:sz w:val="2"/>
                <w:szCs w:val="2"/>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2980" w:type="dxa"/>
            <w:vAlign w:val="bottom"/>
          </w:tcPr>
          <w:p>
            <w:pPr>
              <w:jc w:val="right"/>
              <w:ind w:right="142"/>
              <w:spacing w:after="0"/>
              <w:rPr>
                <w:sz w:val="20"/>
                <w:szCs w:val="20"/>
                <w:color w:val="auto"/>
              </w:rPr>
            </w:pPr>
            <w:r>
              <w:rPr>
                <w:rFonts w:ascii="Arial" w:cs="Arial" w:eastAsia="Arial" w:hAnsi="Arial"/>
                <w:sz w:val="16"/>
                <w:szCs w:val="16"/>
                <w:color w:val="auto"/>
              </w:rPr>
              <w:t>1,400,000</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25.0%</w:t>
            </w:r>
          </w:p>
        </w:tc>
        <w:tc>
          <w:tcPr>
            <w:tcW w:w="1500" w:type="dxa"/>
            <w:vAlign w:val="bottom"/>
          </w:tcPr>
          <w:p>
            <w:pPr>
              <w:jc w:val="right"/>
              <w:ind w:right="242"/>
              <w:spacing w:after="0"/>
              <w:rPr>
                <w:sz w:val="20"/>
                <w:szCs w:val="20"/>
                <w:color w:val="auto"/>
              </w:rPr>
            </w:pPr>
            <w:r>
              <w:rPr>
                <w:rFonts w:ascii="Arial" w:cs="Arial" w:eastAsia="Arial" w:hAnsi="Arial"/>
                <w:sz w:val="16"/>
                <w:szCs w:val="16"/>
                <w:color w:val="auto"/>
              </w:rPr>
              <w:t>25.0%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5"/>
        </w:trPr>
        <w:tc>
          <w:tcPr>
            <w:tcW w:w="3420" w:type="dxa"/>
            <w:vAlign w:val="bottom"/>
            <w:tcBorders>
              <w:bottom w:val="single" w:sz="8" w:color="E6E7E8"/>
            </w:tcBorders>
          </w:tcPr>
          <w:p>
            <w:pPr>
              <w:spacing w:after="0"/>
              <w:rPr>
                <w:sz w:val="3"/>
                <w:szCs w:val="3"/>
                <w:color w:val="auto"/>
              </w:rPr>
            </w:pPr>
          </w:p>
        </w:tc>
        <w:tc>
          <w:tcPr>
            <w:tcW w:w="298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9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2980" w:type="dxa"/>
            <w:vAlign w:val="bottom"/>
          </w:tcPr>
          <w:p>
            <w:pPr>
              <w:jc w:val="right"/>
              <w:ind w:right="142"/>
              <w:spacing w:after="0"/>
              <w:rPr>
                <w:sz w:val="20"/>
                <w:szCs w:val="20"/>
                <w:color w:val="auto"/>
              </w:rPr>
            </w:pPr>
            <w:r>
              <w:rPr>
                <w:rFonts w:ascii="Arial" w:cs="Arial" w:eastAsia="Arial" w:hAnsi="Arial"/>
                <w:sz w:val="16"/>
                <w:szCs w:val="16"/>
                <w:color w:val="auto"/>
              </w:rPr>
              <w:t>750,000</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25.0%</w:t>
            </w:r>
          </w:p>
        </w:tc>
        <w:tc>
          <w:tcPr>
            <w:tcW w:w="1500" w:type="dxa"/>
            <w:vAlign w:val="bottom"/>
          </w:tcPr>
          <w:p>
            <w:pPr>
              <w:jc w:val="right"/>
              <w:ind w:right="242"/>
              <w:spacing w:after="0"/>
              <w:rPr>
                <w:sz w:val="20"/>
                <w:szCs w:val="20"/>
                <w:color w:val="auto"/>
              </w:rPr>
            </w:pPr>
            <w:r>
              <w:rPr>
                <w:rFonts w:ascii="Arial" w:cs="Arial" w:eastAsia="Arial" w:hAnsi="Arial"/>
                <w:sz w:val="16"/>
                <w:szCs w:val="16"/>
                <w:color w:val="auto"/>
              </w:rPr>
              <w:t>25.0%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5"/>
        </w:trPr>
        <w:tc>
          <w:tcPr>
            <w:tcW w:w="3420" w:type="dxa"/>
            <w:vAlign w:val="bottom"/>
            <w:tcBorders>
              <w:bottom w:val="single" w:sz="8" w:color="E6E7E8"/>
            </w:tcBorders>
          </w:tcPr>
          <w:p>
            <w:pPr>
              <w:spacing w:after="0"/>
              <w:rPr>
                <w:sz w:val="3"/>
                <w:szCs w:val="3"/>
                <w:color w:val="auto"/>
              </w:rPr>
            </w:pPr>
          </w:p>
        </w:tc>
        <w:tc>
          <w:tcPr>
            <w:tcW w:w="298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9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63"/>
        </w:trPr>
        <w:tc>
          <w:tcPr>
            <w:tcW w:w="34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C.D. Baer Pettit</w:t>
            </w:r>
            <w:r>
              <w:rPr>
                <w:rFonts w:ascii="Arial" w:cs="Arial" w:eastAsia="Arial" w:hAnsi="Arial"/>
                <w:sz w:val="21"/>
                <w:szCs w:val="21"/>
                <w:b w:val="1"/>
                <w:bCs w:val="1"/>
                <w:color w:val="1A3FD6"/>
                <w:vertAlign w:val="superscript"/>
              </w:rPr>
              <w:t>(1)</w:t>
            </w:r>
          </w:p>
        </w:tc>
        <w:tc>
          <w:tcPr>
            <w:tcW w:w="2980" w:type="dxa"/>
            <w:vAlign w:val="bottom"/>
            <w:tcBorders>
              <w:bottom w:val="single" w:sz="8" w:color="E6E7E8"/>
            </w:tcBorders>
          </w:tcPr>
          <w:p>
            <w:pPr>
              <w:jc w:val="right"/>
              <w:ind w:right="142"/>
              <w:spacing w:after="0"/>
              <w:rPr>
                <w:sz w:val="20"/>
                <w:szCs w:val="20"/>
                <w:color w:val="auto"/>
              </w:rPr>
            </w:pPr>
            <w:r>
              <w:rPr>
                <w:rFonts w:ascii="Arial" w:cs="Arial" w:eastAsia="Arial" w:hAnsi="Arial"/>
                <w:sz w:val="16"/>
                <w:szCs w:val="16"/>
                <w:color w:val="auto"/>
              </w:rPr>
              <w:t>1,186,555</w:t>
            </w:r>
          </w:p>
        </w:tc>
        <w:tc>
          <w:tcPr>
            <w:tcW w:w="1340" w:type="dxa"/>
            <w:vAlign w:val="bottom"/>
            <w:tcBorders>
              <w:bottom w:val="single" w:sz="8" w:color="E6E7E8"/>
            </w:tcBorders>
          </w:tcPr>
          <w:p>
            <w:pPr>
              <w:jc w:val="right"/>
              <w:ind w:right="21"/>
              <w:spacing w:after="0"/>
              <w:rPr>
                <w:sz w:val="20"/>
                <w:szCs w:val="20"/>
                <w:color w:val="auto"/>
              </w:rPr>
            </w:pPr>
            <w:r>
              <w:rPr>
                <w:rFonts w:ascii="Arial" w:cs="Arial" w:eastAsia="Arial" w:hAnsi="Arial"/>
                <w:sz w:val="16"/>
                <w:szCs w:val="16"/>
                <w:color w:val="auto"/>
              </w:rPr>
              <w:t>25.0%</w:t>
            </w:r>
          </w:p>
        </w:tc>
        <w:tc>
          <w:tcPr>
            <w:tcW w:w="1500" w:type="dxa"/>
            <w:vAlign w:val="bottom"/>
            <w:tcBorders>
              <w:bottom w:val="single" w:sz="8" w:color="E6E7E8"/>
            </w:tcBorders>
          </w:tcPr>
          <w:p>
            <w:pPr>
              <w:jc w:val="right"/>
              <w:ind w:right="242"/>
              <w:spacing w:after="0"/>
              <w:rPr>
                <w:sz w:val="20"/>
                <w:szCs w:val="20"/>
                <w:color w:val="auto"/>
              </w:rPr>
            </w:pPr>
            <w:r>
              <w:rPr>
                <w:rFonts w:ascii="Arial" w:cs="Arial" w:eastAsia="Arial" w:hAnsi="Arial"/>
                <w:sz w:val="16"/>
                <w:szCs w:val="16"/>
                <w:color w:val="auto"/>
              </w:rPr>
              <w:t>25.0%</w:t>
            </w:r>
          </w:p>
        </w:tc>
        <w:tc>
          <w:tcPr>
            <w:tcW w:w="94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50.0%</w:t>
            </w:r>
          </w:p>
        </w:tc>
        <w:tc>
          <w:tcPr>
            <w:tcW w:w="10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20.0%</w:t>
            </w:r>
          </w:p>
        </w:tc>
      </w:tr>
      <w:tr>
        <w:trPr>
          <w:trHeight w:val="264"/>
        </w:trPr>
        <w:tc>
          <w:tcPr>
            <w:tcW w:w="34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Alvise J. Munari</w:t>
            </w:r>
            <w:r>
              <w:rPr>
                <w:rFonts w:ascii="Arial" w:cs="Arial" w:eastAsia="Arial" w:hAnsi="Arial"/>
                <w:sz w:val="21"/>
                <w:szCs w:val="21"/>
                <w:b w:val="1"/>
                <w:bCs w:val="1"/>
                <w:color w:val="1A3FD6"/>
                <w:vertAlign w:val="superscript"/>
              </w:rPr>
              <w:t>(2)</w:t>
            </w:r>
          </w:p>
        </w:tc>
        <w:tc>
          <w:tcPr>
            <w:tcW w:w="2980" w:type="dxa"/>
            <w:vAlign w:val="bottom"/>
            <w:tcBorders>
              <w:bottom w:val="single" w:sz="8" w:color="E6E7E8"/>
            </w:tcBorders>
          </w:tcPr>
          <w:p>
            <w:pPr>
              <w:jc w:val="right"/>
              <w:ind w:right="142"/>
              <w:spacing w:after="0"/>
              <w:rPr>
                <w:sz w:val="20"/>
                <w:szCs w:val="20"/>
                <w:color w:val="auto"/>
              </w:rPr>
            </w:pPr>
            <w:r>
              <w:rPr>
                <w:rFonts w:ascii="Arial" w:cs="Arial" w:eastAsia="Arial" w:hAnsi="Arial"/>
                <w:sz w:val="16"/>
                <w:szCs w:val="16"/>
                <w:color w:val="auto"/>
              </w:rPr>
              <w:t>1,025,515</w:t>
            </w:r>
          </w:p>
        </w:tc>
        <w:tc>
          <w:tcPr>
            <w:tcW w:w="1340" w:type="dxa"/>
            <w:vAlign w:val="bottom"/>
            <w:tcBorders>
              <w:bottom w:val="single" w:sz="8" w:color="E6E7E8"/>
            </w:tcBorders>
          </w:tcPr>
          <w:p>
            <w:pPr>
              <w:jc w:val="right"/>
              <w:ind w:right="21"/>
              <w:spacing w:after="0"/>
              <w:rPr>
                <w:sz w:val="20"/>
                <w:szCs w:val="20"/>
                <w:color w:val="auto"/>
              </w:rPr>
            </w:pPr>
            <w:r>
              <w:rPr>
                <w:rFonts w:ascii="Arial" w:cs="Arial" w:eastAsia="Arial" w:hAnsi="Arial"/>
                <w:sz w:val="16"/>
                <w:szCs w:val="16"/>
                <w:color w:val="auto"/>
              </w:rPr>
              <w:t>25.0%</w:t>
            </w:r>
          </w:p>
        </w:tc>
        <w:tc>
          <w:tcPr>
            <w:tcW w:w="1500" w:type="dxa"/>
            <w:vAlign w:val="bottom"/>
            <w:tcBorders>
              <w:bottom w:val="single" w:sz="8" w:color="E6E7E8"/>
            </w:tcBorders>
          </w:tcPr>
          <w:p>
            <w:pPr>
              <w:jc w:val="right"/>
              <w:ind w:right="242"/>
              <w:spacing w:after="0"/>
              <w:rPr>
                <w:sz w:val="20"/>
                <w:szCs w:val="20"/>
                <w:color w:val="auto"/>
              </w:rPr>
            </w:pPr>
            <w:r>
              <w:rPr>
                <w:rFonts w:ascii="Arial" w:cs="Arial" w:eastAsia="Arial" w:hAnsi="Arial"/>
                <w:sz w:val="16"/>
                <w:szCs w:val="16"/>
                <w:color w:val="auto"/>
              </w:rPr>
              <w:t>25.0%</w:t>
            </w:r>
          </w:p>
        </w:tc>
        <w:tc>
          <w:tcPr>
            <w:tcW w:w="94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50.0%</w:t>
            </w:r>
          </w:p>
        </w:tc>
        <w:tc>
          <w:tcPr>
            <w:tcW w:w="10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20.0%</w:t>
            </w:r>
          </w:p>
        </w:tc>
      </w:tr>
      <w:tr>
        <w:trPr>
          <w:trHeight w:val="229"/>
        </w:trPr>
        <w:tc>
          <w:tcPr>
            <w:tcW w:w="342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2980" w:type="dxa"/>
            <w:vAlign w:val="bottom"/>
          </w:tcPr>
          <w:p>
            <w:pPr>
              <w:jc w:val="right"/>
              <w:ind w:right="142"/>
              <w:spacing w:after="0"/>
              <w:rPr>
                <w:sz w:val="20"/>
                <w:szCs w:val="20"/>
                <w:color w:val="auto"/>
              </w:rPr>
            </w:pPr>
            <w:r>
              <w:rPr>
                <w:rFonts w:ascii="Arial" w:cs="Arial" w:eastAsia="Arial" w:hAnsi="Arial"/>
                <w:sz w:val="16"/>
                <w:szCs w:val="16"/>
                <w:color w:val="auto"/>
              </w:rPr>
              <w:t>700,000</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25.0%</w:t>
            </w:r>
          </w:p>
        </w:tc>
        <w:tc>
          <w:tcPr>
            <w:tcW w:w="1500" w:type="dxa"/>
            <w:vAlign w:val="bottom"/>
          </w:tcPr>
          <w:p>
            <w:pPr>
              <w:jc w:val="right"/>
              <w:ind w:right="242"/>
              <w:spacing w:after="0"/>
              <w:rPr>
                <w:sz w:val="20"/>
                <w:szCs w:val="20"/>
                <w:color w:val="auto"/>
              </w:rPr>
            </w:pPr>
            <w:r>
              <w:rPr>
                <w:rFonts w:ascii="Arial" w:cs="Arial" w:eastAsia="Arial" w:hAnsi="Arial"/>
                <w:sz w:val="16"/>
                <w:szCs w:val="16"/>
                <w:color w:val="auto"/>
              </w:rPr>
              <w:t>25.0%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10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5"/>
        </w:trPr>
        <w:tc>
          <w:tcPr>
            <w:tcW w:w="3420" w:type="dxa"/>
            <w:vAlign w:val="bottom"/>
            <w:tcBorders>
              <w:bottom w:val="single" w:sz="8" w:color="1A3FD6"/>
            </w:tcBorders>
          </w:tcPr>
          <w:p>
            <w:pPr>
              <w:spacing w:after="0"/>
              <w:rPr>
                <w:sz w:val="3"/>
                <w:szCs w:val="3"/>
                <w:color w:val="auto"/>
              </w:rPr>
            </w:pPr>
          </w:p>
        </w:tc>
        <w:tc>
          <w:tcPr>
            <w:tcW w:w="2980" w:type="dxa"/>
            <w:vAlign w:val="bottom"/>
            <w:tcBorders>
              <w:bottom w:val="single" w:sz="8" w:color="1A3FD6"/>
            </w:tcBorders>
          </w:tcPr>
          <w:p>
            <w:pPr>
              <w:spacing w:after="0"/>
              <w:rPr>
                <w:sz w:val="3"/>
                <w:szCs w:val="3"/>
                <w:color w:val="auto"/>
              </w:rPr>
            </w:pPr>
          </w:p>
        </w:tc>
        <w:tc>
          <w:tcPr>
            <w:tcW w:w="1340" w:type="dxa"/>
            <w:vAlign w:val="bottom"/>
            <w:tcBorders>
              <w:bottom w:val="single" w:sz="8" w:color="1A3FD6"/>
            </w:tcBorders>
          </w:tcPr>
          <w:p>
            <w:pPr>
              <w:spacing w:after="0"/>
              <w:rPr>
                <w:sz w:val="3"/>
                <w:szCs w:val="3"/>
                <w:color w:val="auto"/>
              </w:rPr>
            </w:pPr>
          </w:p>
        </w:tc>
        <w:tc>
          <w:tcPr>
            <w:tcW w:w="1500" w:type="dxa"/>
            <w:vAlign w:val="bottom"/>
            <w:tcBorders>
              <w:bottom w:val="single" w:sz="8" w:color="1A3FD6"/>
            </w:tcBorders>
          </w:tcPr>
          <w:p>
            <w:pPr>
              <w:spacing w:after="0"/>
              <w:rPr>
                <w:sz w:val="3"/>
                <w:szCs w:val="3"/>
                <w:color w:val="auto"/>
              </w:rPr>
            </w:pPr>
          </w:p>
        </w:tc>
        <w:tc>
          <w:tcPr>
            <w:tcW w:w="940" w:type="dxa"/>
            <w:vAlign w:val="bottom"/>
            <w:tcBorders>
              <w:bottom w:val="single" w:sz="8" w:color="1A3FD6"/>
            </w:tcBorders>
          </w:tcPr>
          <w:p>
            <w:pPr>
              <w:spacing w:after="0"/>
              <w:rPr>
                <w:sz w:val="3"/>
                <w:szCs w:val="3"/>
                <w:color w:val="auto"/>
              </w:rPr>
            </w:pPr>
          </w:p>
        </w:tc>
        <w:tc>
          <w:tcPr>
            <w:tcW w:w="1060" w:type="dxa"/>
            <w:vAlign w:val="bottom"/>
            <w:tcBorders>
              <w:bottom w:val="single" w:sz="8" w:color="1A3FD6"/>
            </w:tcBorders>
          </w:tcPr>
          <w:p>
            <w:pPr>
              <w:spacing w:after="0"/>
              <w:rPr>
                <w:sz w:val="3"/>
                <w:szCs w:val="3"/>
                <w:color w:val="auto"/>
              </w:rPr>
            </w:pPr>
          </w:p>
        </w:tc>
      </w:tr>
    </w:tbl>
    <w:p>
      <w:pPr>
        <w:spacing w:after="0" w:line="153" w:lineRule="exact"/>
        <w:rPr>
          <w:sz w:val="20"/>
          <w:szCs w:val="20"/>
          <w:color w:val="auto"/>
        </w:rPr>
      </w:pPr>
    </w:p>
    <w:p>
      <w:pPr>
        <w:ind w:left="260" w:right="200" w:hanging="252"/>
        <w:spacing w:after="0" w:line="239" w:lineRule="auto"/>
        <w:tabs>
          <w:tab w:leader="none" w:pos="264"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2025 target annual cash incentive opportunity reflected in the table above for Mr. Pettit was converted from British pounds sterling to U.S. dollars using the fiscal year average of daily spot rates of £1 to $1.3184 for fiscal 2025. Mr. Pettit’s actual 2025 target cash incentive amount was £900,000.</w:t>
      </w:r>
    </w:p>
    <w:p>
      <w:pPr>
        <w:spacing w:after="0" w:line="67" w:lineRule="exact"/>
        <w:rPr>
          <w:rFonts w:ascii="Arial" w:cs="Arial" w:eastAsia="Arial" w:hAnsi="Arial"/>
          <w:sz w:val="19"/>
          <w:szCs w:val="19"/>
          <w:color w:val="auto"/>
          <w:vertAlign w:val="superscript"/>
        </w:rPr>
      </w:pPr>
    </w:p>
    <w:p>
      <w:pPr>
        <w:ind w:left="260" w:right="140" w:hanging="252"/>
        <w:spacing w:after="0" w:line="239" w:lineRule="auto"/>
        <w:tabs>
          <w:tab w:leader="none" w:pos="25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2025 target annual cash incentive opportunity reflected in the table above for Mr. Munari was converted from Swiss francs to U.S. dollars using the fiscal year average of daily spot rates of CHF 1 to $1.2065 for fiscal 2025. Mr. Munari’s actual 2025 target cash incentive amount was CHF 850,000.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 2026, the Compensation Committee did not make any changes to annual target cash incentive compensation for our NEOs compared to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Annual Incentive Plan: Achievement and Payout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88900</wp:posOffset>
            </wp:positionV>
            <wp:extent cx="2529205" cy="9944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29205" cy="99441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88900</wp:posOffset>
            </wp:positionV>
            <wp:extent cx="8890" cy="9944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994410"/>
                    </a:xfrm>
                    <a:prstGeom prst="rect">
                      <a:avLst/>
                    </a:prstGeom>
                    <a:noFill/>
                  </pic:spPr>
                </pic:pic>
              </a:graphicData>
            </a:graphic>
          </wp:anchor>
        </w:drawing>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920" w:type="dxa"/>
            <w:vAlign w:val="bottom"/>
          </w:tcPr>
          <w:p>
            <w:pPr>
              <w:spacing w:after="0"/>
              <w:rPr>
                <w:sz w:val="20"/>
                <w:szCs w:val="20"/>
                <w:color w:val="auto"/>
              </w:rPr>
            </w:pPr>
            <w:r>
              <w:rPr>
                <w:rFonts w:ascii="Arial" w:cs="Arial" w:eastAsia="Arial" w:hAnsi="Arial"/>
                <w:sz w:val="16"/>
                <w:szCs w:val="16"/>
                <w:b w:val="1"/>
                <w:bCs w:val="1"/>
                <w:color w:val="1A3FD6"/>
              </w:rPr>
              <w:t>Financial Component</w:t>
            </w:r>
          </w:p>
        </w:tc>
        <w:tc>
          <w:tcPr>
            <w:tcW w:w="3960" w:type="dxa"/>
            <w:vAlign w:val="bottom"/>
          </w:tcPr>
          <w:p>
            <w:pPr>
              <w:ind w:left="1260"/>
              <w:spacing w:after="0"/>
              <w:rPr>
                <w:sz w:val="20"/>
                <w:szCs w:val="20"/>
                <w:color w:val="auto"/>
              </w:rPr>
            </w:pPr>
            <w:r>
              <w:rPr>
                <w:rFonts w:ascii="Arial" w:cs="Arial" w:eastAsia="Arial" w:hAnsi="Arial"/>
                <w:sz w:val="16"/>
                <w:szCs w:val="16"/>
                <w:b w:val="1"/>
                <w:bCs w:val="1"/>
                <w:color w:val="1A3FD6"/>
              </w:rPr>
              <w:t>Culture and Leadership</w:t>
            </w:r>
          </w:p>
        </w:tc>
        <w:tc>
          <w:tcPr>
            <w:tcW w:w="2340" w:type="dxa"/>
            <w:vAlign w:val="bottom"/>
          </w:tcPr>
          <w:p>
            <w:pPr>
              <w:ind w:left="900"/>
              <w:spacing w:after="0"/>
              <w:rPr>
                <w:sz w:val="20"/>
                <w:szCs w:val="20"/>
                <w:color w:val="auto"/>
              </w:rPr>
            </w:pPr>
            <w:r>
              <w:rPr>
                <w:rFonts w:ascii="Arial" w:cs="Arial" w:eastAsia="Arial" w:hAnsi="Arial"/>
                <w:sz w:val="16"/>
                <w:szCs w:val="16"/>
                <w:b w:val="1"/>
                <w:bCs w:val="1"/>
                <w:color w:val="FFFFFF"/>
                <w:w w:val="99"/>
              </w:rPr>
              <w:t>Total Achievement</w:t>
            </w:r>
          </w:p>
        </w:tc>
      </w:tr>
    </w:tbl>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688"/>
        </w:trPr>
        <w:tc>
          <w:tcPr>
            <w:tcW w:w="1820" w:type="dxa"/>
            <w:vAlign w:val="bottom"/>
          </w:tcPr>
          <w:p>
            <w:pPr>
              <w:ind w:left="20"/>
              <w:spacing w:after="0"/>
              <w:rPr>
                <w:sz w:val="20"/>
                <w:szCs w:val="20"/>
                <w:color w:val="auto"/>
              </w:rPr>
            </w:pPr>
            <w:r>
              <w:rPr>
                <w:rFonts w:ascii="Arial" w:cs="Arial" w:eastAsia="Arial" w:hAnsi="Arial"/>
                <w:sz w:val="50"/>
                <w:szCs w:val="50"/>
                <w:b w:val="1"/>
                <w:bCs w:val="1"/>
                <w:color w:val="1A3FD6"/>
              </w:rPr>
              <w:t>95.26</w:t>
            </w: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7188EF"/>
              </w:rPr>
              <w:t>percent</w:t>
            </w:r>
          </w:p>
        </w:tc>
        <w:tc>
          <w:tcPr>
            <w:tcW w:w="460" w:type="dxa"/>
            <w:vAlign w:val="bottom"/>
          </w:tcPr>
          <w:p>
            <w:pPr>
              <w:spacing w:after="0"/>
              <w:rPr>
                <w:sz w:val="24"/>
                <w:szCs w:val="24"/>
                <w:color w:val="auto"/>
              </w:rPr>
            </w:pPr>
          </w:p>
        </w:tc>
        <w:tc>
          <w:tcPr>
            <w:tcW w:w="1660" w:type="dxa"/>
            <w:vAlign w:val="bottom"/>
            <w:gridSpan w:val="3"/>
          </w:tcPr>
          <w:p>
            <w:pPr>
              <w:ind w:left="800"/>
              <w:spacing w:after="0"/>
              <w:rPr>
                <w:sz w:val="20"/>
                <w:szCs w:val="20"/>
                <w:color w:val="auto"/>
              </w:rPr>
            </w:pPr>
            <w:r>
              <w:rPr>
                <w:rFonts w:ascii="Arial" w:cs="Arial" w:eastAsia="Arial" w:hAnsi="Arial"/>
                <w:sz w:val="50"/>
                <w:szCs w:val="50"/>
                <w:b w:val="1"/>
                <w:bCs w:val="1"/>
                <w:color w:val="1A3FD6"/>
              </w:rPr>
              <w:t>100</w:t>
            </w:r>
          </w:p>
        </w:tc>
        <w:tc>
          <w:tcPr>
            <w:tcW w:w="460" w:type="dxa"/>
            <w:vAlign w:val="bottom"/>
          </w:tcPr>
          <w:p>
            <w:pPr>
              <w:spacing w:after="0"/>
              <w:rPr>
                <w:sz w:val="24"/>
                <w:szCs w:val="24"/>
                <w:color w:val="auto"/>
              </w:rPr>
            </w:pPr>
          </w:p>
        </w:tc>
        <w:tc>
          <w:tcPr>
            <w:tcW w:w="1900" w:type="dxa"/>
            <w:vAlign w:val="bottom"/>
            <w:gridSpan w:val="3"/>
          </w:tcPr>
          <w:p>
            <w:pPr>
              <w:jc w:val="right"/>
              <w:ind w:right="1108"/>
              <w:spacing w:after="0"/>
              <w:rPr>
                <w:sz w:val="20"/>
                <w:szCs w:val="20"/>
                <w:color w:val="auto"/>
              </w:rPr>
            </w:pPr>
            <w:r>
              <w:rPr>
                <w:rFonts w:ascii="Arial" w:cs="Arial" w:eastAsia="Arial" w:hAnsi="Arial"/>
                <w:sz w:val="18"/>
                <w:szCs w:val="18"/>
                <w:b w:val="1"/>
                <w:bCs w:val="1"/>
                <w:color w:val="7188EF"/>
              </w:rPr>
              <w:t>percent</w:t>
            </w:r>
          </w:p>
        </w:tc>
        <w:tc>
          <w:tcPr>
            <w:tcW w:w="1900" w:type="dxa"/>
            <w:vAlign w:val="bottom"/>
            <w:gridSpan w:val="2"/>
          </w:tcPr>
          <w:p>
            <w:pPr>
              <w:jc w:val="center"/>
              <w:spacing w:after="0"/>
              <w:rPr>
                <w:sz w:val="20"/>
                <w:szCs w:val="20"/>
                <w:color w:val="auto"/>
              </w:rPr>
            </w:pPr>
            <w:r>
              <w:rPr>
                <w:rFonts w:ascii="Arial" w:cs="Arial" w:eastAsia="Arial" w:hAnsi="Arial"/>
                <w:sz w:val="50"/>
                <w:szCs w:val="50"/>
                <w:b w:val="1"/>
                <w:bCs w:val="1"/>
                <w:color w:val="FFFFFF"/>
              </w:rPr>
              <w:t>96.21</w:t>
            </w:r>
          </w:p>
        </w:tc>
        <w:tc>
          <w:tcPr>
            <w:tcW w:w="180" w:type="dxa"/>
            <w:vAlign w:val="bottom"/>
          </w:tcPr>
          <w:p>
            <w:pPr>
              <w:spacing w:after="0"/>
              <w:rPr>
                <w:sz w:val="24"/>
                <w:szCs w:val="24"/>
                <w:color w:val="auto"/>
              </w:rPr>
            </w:pPr>
          </w:p>
        </w:tc>
        <w:tc>
          <w:tcPr>
            <w:tcW w:w="1740" w:type="dxa"/>
            <w:vAlign w:val="bottom"/>
            <w:gridSpan w:val="2"/>
          </w:tcPr>
          <w:p>
            <w:pPr>
              <w:jc w:val="right"/>
              <w:ind w:right="788"/>
              <w:spacing w:after="0"/>
              <w:rPr>
                <w:sz w:val="20"/>
                <w:szCs w:val="20"/>
                <w:color w:val="auto"/>
              </w:rPr>
            </w:pPr>
            <w:r>
              <w:rPr>
                <w:rFonts w:ascii="Arial" w:cs="Arial" w:eastAsia="Arial" w:hAnsi="Arial"/>
                <w:sz w:val="18"/>
                <w:szCs w:val="18"/>
                <w:b w:val="1"/>
                <w:bCs w:val="1"/>
                <w:color w:val="FFFFFF"/>
              </w:rPr>
              <w:t>percent</w:t>
            </w:r>
          </w:p>
        </w:tc>
        <w:tc>
          <w:tcPr>
            <w:tcW w:w="0" w:type="dxa"/>
            <w:vAlign w:val="bottom"/>
          </w:tcPr>
          <w:p>
            <w:pPr>
              <w:spacing w:after="0"/>
              <w:rPr>
                <w:sz w:val="1"/>
                <w:szCs w:val="1"/>
                <w:color w:val="auto"/>
              </w:rPr>
            </w:pPr>
          </w:p>
        </w:tc>
      </w:tr>
      <w:tr>
        <w:trPr>
          <w:trHeight w:val="190"/>
        </w:trPr>
        <w:tc>
          <w:tcPr>
            <w:tcW w:w="1820" w:type="dxa"/>
            <w:vAlign w:val="bottom"/>
          </w:tcPr>
          <w:p>
            <w:pPr>
              <w:ind w:left="20"/>
              <w:spacing w:after="0"/>
              <w:rPr>
                <w:sz w:val="20"/>
                <w:szCs w:val="20"/>
                <w:color w:val="auto"/>
              </w:rPr>
            </w:pPr>
            <w:r>
              <w:rPr>
                <w:rFonts w:ascii="Arial" w:cs="Arial" w:eastAsia="Arial" w:hAnsi="Arial"/>
                <w:sz w:val="14"/>
                <w:szCs w:val="14"/>
                <w:color w:val="auto"/>
              </w:rPr>
              <w:t>of target (80% weight)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gridSpan w:val="5"/>
          </w:tcPr>
          <w:p>
            <w:pPr>
              <w:ind w:left="800"/>
              <w:spacing w:after="0"/>
              <w:rPr>
                <w:sz w:val="20"/>
                <w:szCs w:val="20"/>
                <w:color w:val="auto"/>
              </w:rPr>
            </w:pPr>
            <w:r>
              <w:rPr>
                <w:rFonts w:ascii="Arial" w:cs="Arial" w:eastAsia="Arial" w:hAnsi="Arial"/>
                <w:sz w:val="14"/>
                <w:szCs w:val="14"/>
                <w:color w:val="auto"/>
              </w:rPr>
              <w:t>of target (20% weight)</w:t>
            </w: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ind w:left="200"/>
              <w:spacing w:after="0"/>
              <w:rPr>
                <w:sz w:val="20"/>
                <w:szCs w:val="20"/>
                <w:color w:val="auto"/>
              </w:rPr>
            </w:pPr>
            <w:r>
              <w:rPr>
                <w:rFonts w:ascii="Arial" w:cs="Arial" w:eastAsia="Arial" w:hAnsi="Arial"/>
                <w:sz w:val="14"/>
                <w:szCs w:val="14"/>
                <w:color w:val="FFFFFF"/>
              </w:rPr>
              <w:t>of target bonus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AIP Components</w:t>
            </w:r>
          </w:p>
        </w:tc>
        <w:tc>
          <w:tcPr>
            <w:tcW w:w="260" w:type="dxa"/>
            <w:vAlign w:val="bottom"/>
          </w:tcPr>
          <w:p>
            <w:pPr>
              <w:spacing w:after="0"/>
              <w:rPr>
                <w:sz w:val="22"/>
                <w:szCs w:val="22"/>
                <w:color w:val="auto"/>
              </w:rPr>
            </w:pPr>
          </w:p>
        </w:tc>
        <w:tc>
          <w:tcPr>
            <w:tcW w:w="860" w:type="dxa"/>
            <w:vAlign w:val="bottom"/>
            <w:shd w:val="clear" w:color="auto" w:fill="1A3FD6"/>
          </w:tcPr>
          <w:p>
            <w:pPr>
              <w:spacing w:after="0"/>
              <w:rPr>
                <w:sz w:val="22"/>
                <w:szCs w:val="22"/>
                <w:color w:val="auto"/>
              </w:rPr>
            </w:pPr>
          </w:p>
        </w:tc>
        <w:tc>
          <w:tcPr>
            <w:tcW w:w="1460" w:type="dxa"/>
            <w:vAlign w:val="bottom"/>
            <w:gridSpan w:val="2"/>
            <w:shd w:val="clear" w:color="auto" w:fill="1A3FD6"/>
          </w:tcPr>
          <w:p>
            <w:pPr>
              <w:jc w:val="right"/>
              <w:spacing w:after="0"/>
              <w:rPr>
                <w:sz w:val="20"/>
                <w:szCs w:val="20"/>
                <w:color w:val="auto"/>
              </w:rPr>
            </w:pPr>
            <w:r>
              <w:rPr>
                <w:rFonts w:ascii="Arial" w:cs="Arial" w:eastAsia="Arial" w:hAnsi="Arial"/>
                <w:sz w:val="14"/>
                <w:szCs w:val="14"/>
                <w:b w:val="1"/>
                <w:bCs w:val="1"/>
                <w:color w:val="FFFFFF"/>
              </w:rPr>
              <w:t>Total Net Sales</w:t>
            </w:r>
            <w:r>
              <w:rPr>
                <w:rFonts w:ascii="Arial" w:cs="Arial" w:eastAsia="Arial" w:hAnsi="Arial"/>
                <w:sz w:val="18"/>
                <w:szCs w:val="18"/>
                <w:b w:val="1"/>
                <w:bCs w:val="1"/>
                <w:color w:val="FFFFFF"/>
                <w:vertAlign w:val="superscript"/>
              </w:rPr>
              <w:t>(1)</w:t>
            </w:r>
          </w:p>
        </w:tc>
        <w:tc>
          <w:tcPr>
            <w:tcW w:w="400" w:type="dxa"/>
            <w:vAlign w:val="bottom"/>
            <w:shd w:val="clear" w:color="auto" w:fill="1A3FD6"/>
          </w:tcPr>
          <w:p>
            <w:pPr>
              <w:spacing w:after="0"/>
              <w:rPr>
                <w:sz w:val="22"/>
                <w:szCs w:val="22"/>
                <w:color w:val="auto"/>
              </w:rPr>
            </w:pPr>
          </w:p>
        </w:tc>
        <w:tc>
          <w:tcPr>
            <w:tcW w:w="260" w:type="dxa"/>
            <w:vAlign w:val="bottom"/>
            <w:shd w:val="clear" w:color="auto" w:fill="1A3FD6"/>
          </w:tcPr>
          <w:p>
            <w:pPr>
              <w:spacing w:after="0"/>
              <w:rPr>
                <w:sz w:val="22"/>
                <w:szCs w:val="22"/>
                <w:color w:val="auto"/>
              </w:rPr>
            </w:pPr>
          </w:p>
        </w:tc>
        <w:tc>
          <w:tcPr>
            <w:tcW w:w="460" w:type="dxa"/>
            <w:vAlign w:val="bottom"/>
            <w:shd w:val="clear" w:color="auto" w:fill="1A3FD6"/>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shd w:val="clear" w:color="auto" w:fill="16A3B6"/>
          </w:tcPr>
          <w:p>
            <w:pPr>
              <w:spacing w:after="0"/>
              <w:rPr>
                <w:sz w:val="22"/>
                <w:szCs w:val="22"/>
                <w:color w:val="auto"/>
              </w:rPr>
            </w:pPr>
          </w:p>
        </w:tc>
        <w:tc>
          <w:tcPr>
            <w:tcW w:w="1260" w:type="dxa"/>
            <w:vAlign w:val="bottom"/>
            <w:shd w:val="clear" w:color="auto" w:fill="16A3B6"/>
          </w:tcPr>
          <w:p>
            <w:pPr>
              <w:jc w:val="right"/>
              <w:ind w:right="508"/>
              <w:spacing w:after="0"/>
              <w:rPr>
                <w:sz w:val="20"/>
                <w:szCs w:val="20"/>
                <w:color w:val="auto"/>
              </w:rPr>
            </w:pPr>
            <w:r>
              <w:rPr>
                <w:rFonts w:ascii="Arial" w:cs="Arial" w:eastAsia="Arial" w:hAnsi="Arial"/>
                <w:sz w:val="14"/>
                <w:szCs w:val="14"/>
                <w:b w:val="1"/>
                <w:bCs w:val="1"/>
                <w:color w:val="FFFFFF"/>
              </w:rPr>
              <w:t>Revenue</w:t>
            </w:r>
          </w:p>
        </w:tc>
        <w:tc>
          <w:tcPr>
            <w:tcW w:w="180" w:type="dxa"/>
            <w:vAlign w:val="bottom"/>
          </w:tcPr>
          <w:p>
            <w:pPr>
              <w:spacing w:after="0"/>
              <w:rPr>
                <w:sz w:val="22"/>
                <w:szCs w:val="22"/>
                <w:color w:val="auto"/>
              </w:rPr>
            </w:pPr>
          </w:p>
        </w:tc>
        <w:tc>
          <w:tcPr>
            <w:tcW w:w="1720" w:type="dxa"/>
            <w:vAlign w:val="bottom"/>
            <w:shd w:val="clear" w:color="auto" w:fill="529200"/>
          </w:tcPr>
          <w:p>
            <w:pPr>
              <w:jc w:val="center"/>
              <w:spacing w:after="0"/>
              <w:rPr>
                <w:sz w:val="20"/>
                <w:szCs w:val="20"/>
                <w:color w:val="auto"/>
              </w:rPr>
            </w:pPr>
            <w:r>
              <w:rPr>
                <w:rFonts w:ascii="Arial" w:cs="Arial" w:eastAsia="Arial" w:hAnsi="Arial"/>
                <w:sz w:val="14"/>
                <w:szCs w:val="14"/>
                <w:b w:val="1"/>
                <w:bCs w:val="1"/>
                <w:color w:val="FFFFFF"/>
              </w:rPr>
              <w:t>Adjusted EPS</w:t>
            </w:r>
          </w:p>
        </w:tc>
        <w:tc>
          <w:tcPr>
            <w:tcW w:w="180" w:type="dxa"/>
            <w:vAlign w:val="bottom"/>
          </w:tcPr>
          <w:p>
            <w:pPr>
              <w:spacing w:after="0"/>
              <w:rPr>
                <w:sz w:val="22"/>
                <w:szCs w:val="22"/>
                <w:color w:val="auto"/>
              </w:rPr>
            </w:pPr>
          </w:p>
        </w:tc>
        <w:tc>
          <w:tcPr>
            <w:tcW w:w="1740" w:type="dxa"/>
            <w:vAlign w:val="bottom"/>
            <w:gridSpan w:val="2"/>
            <w:shd w:val="clear" w:color="auto" w:fill="BCBEC0"/>
          </w:tcPr>
          <w:p>
            <w:pPr>
              <w:jc w:val="right"/>
              <w:ind w:right="8"/>
              <w:spacing w:after="0"/>
              <w:rPr>
                <w:sz w:val="20"/>
                <w:szCs w:val="20"/>
                <w:color w:val="auto"/>
              </w:rPr>
            </w:pPr>
            <w:r>
              <w:rPr>
                <w:rFonts w:ascii="Arial" w:cs="Arial" w:eastAsia="Arial" w:hAnsi="Arial"/>
                <w:sz w:val="14"/>
                <w:szCs w:val="14"/>
                <w:b w:val="1"/>
                <w:bCs w:val="1"/>
                <w:color w:val="auto"/>
              </w:rPr>
              <w:t>Culture and Leadership</w:t>
            </w:r>
          </w:p>
        </w:tc>
        <w:tc>
          <w:tcPr>
            <w:tcW w:w="0" w:type="dxa"/>
            <w:vAlign w:val="bottom"/>
          </w:tcPr>
          <w:p>
            <w:pPr>
              <w:spacing w:after="0"/>
              <w:rPr>
                <w:sz w:val="1"/>
                <w:szCs w:val="1"/>
                <w:color w:val="auto"/>
              </w:rPr>
            </w:pPr>
          </w:p>
        </w:tc>
      </w:tr>
      <w:tr>
        <w:trPr>
          <w:trHeight w:val="102"/>
        </w:trPr>
        <w:tc>
          <w:tcPr>
            <w:tcW w:w="18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shd w:val="clear" w:color="auto" w:fill="1A3FD6"/>
          </w:tcPr>
          <w:p>
            <w:pPr>
              <w:spacing w:after="0"/>
              <w:rPr>
                <w:sz w:val="8"/>
                <w:szCs w:val="8"/>
                <w:color w:val="auto"/>
              </w:rPr>
            </w:pPr>
          </w:p>
        </w:tc>
        <w:tc>
          <w:tcPr>
            <w:tcW w:w="460" w:type="dxa"/>
            <w:vAlign w:val="bottom"/>
            <w:shd w:val="clear" w:color="auto" w:fill="1A3FD6"/>
          </w:tcPr>
          <w:p>
            <w:pPr>
              <w:spacing w:after="0"/>
              <w:rPr>
                <w:sz w:val="8"/>
                <w:szCs w:val="8"/>
                <w:color w:val="auto"/>
              </w:rPr>
            </w:pPr>
          </w:p>
        </w:tc>
        <w:tc>
          <w:tcPr>
            <w:tcW w:w="1000" w:type="dxa"/>
            <w:vAlign w:val="bottom"/>
            <w:vMerge w:val="restart"/>
            <w:shd w:val="clear" w:color="auto" w:fill="1A3FD6"/>
          </w:tcPr>
          <w:p>
            <w:pPr>
              <w:jc w:val="right"/>
              <w:ind w:right="370"/>
              <w:spacing w:after="0"/>
              <w:rPr>
                <w:sz w:val="20"/>
                <w:szCs w:val="20"/>
                <w:color w:val="auto"/>
              </w:rPr>
            </w:pPr>
            <w:r>
              <w:rPr>
                <w:rFonts w:ascii="Arial" w:cs="Arial" w:eastAsia="Arial" w:hAnsi="Arial"/>
                <w:sz w:val="14"/>
                <w:szCs w:val="14"/>
                <w:b w:val="1"/>
                <w:bCs w:val="1"/>
                <w:color w:val="FFFFFF"/>
              </w:rPr>
              <w:t>40%</w:t>
            </w:r>
          </w:p>
        </w:tc>
        <w:tc>
          <w:tcPr>
            <w:tcW w:w="400" w:type="dxa"/>
            <w:vAlign w:val="bottom"/>
            <w:shd w:val="clear" w:color="auto" w:fill="1A3FD6"/>
          </w:tcPr>
          <w:p>
            <w:pPr>
              <w:spacing w:after="0"/>
              <w:rPr>
                <w:sz w:val="8"/>
                <w:szCs w:val="8"/>
                <w:color w:val="auto"/>
              </w:rPr>
            </w:pPr>
          </w:p>
        </w:tc>
        <w:tc>
          <w:tcPr>
            <w:tcW w:w="260" w:type="dxa"/>
            <w:vAlign w:val="bottom"/>
            <w:shd w:val="clear" w:color="auto" w:fill="1A3FD6"/>
          </w:tcPr>
          <w:p>
            <w:pPr>
              <w:spacing w:after="0"/>
              <w:rPr>
                <w:sz w:val="8"/>
                <w:szCs w:val="8"/>
                <w:color w:val="auto"/>
              </w:rPr>
            </w:pPr>
          </w:p>
        </w:tc>
        <w:tc>
          <w:tcPr>
            <w:tcW w:w="460" w:type="dxa"/>
            <w:vAlign w:val="bottom"/>
            <w:shd w:val="clear" w:color="auto" w:fill="1A3FD6"/>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shd w:val="clear" w:color="auto" w:fill="16A3B6"/>
          </w:tcPr>
          <w:p>
            <w:pPr>
              <w:spacing w:after="0"/>
              <w:rPr>
                <w:sz w:val="8"/>
                <w:szCs w:val="8"/>
                <w:color w:val="auto"/>
              </w:rPr>
            </w:pPr>
          </w:p>
        </w:tc>
        <w:tc>
          <w:tcPr>
            <w:tcW w:w="1260" w:type="dxa"/>
            <w:vAlign w:val="bottom"/>
            <w:vMerge w:val="restart"/>
            <w:shd w:val="clear" w:color="auto" w:fill="16A3B6"/>
          </w:tcPr>
          <w:p>
            <w:pPr>
              <w:jc w:val="right"/>
              <w:ind w:right="648"/>
              <w:spacing w:after="0"/>
              <w:rPr>
                <w:sz w:val="20"/>
                <w:szCs w:val="20"/>
                <w:color w:val="auto"/>
              </w:rPr>
            </w:pPr>
            <w:r>
              <w:rPr>
                <w:rFonts w:ascii="Arial" w:cs="Arial" w:eastAsia="Arial" w:hAnsi="Arial"/>
                <w:sz w:val="14"/>
                <w:szCs w:val="14"/>
                <w:b w:val="1"/>
                <w:bCs w:val="1"/>
                <w:color w:val="FFFFFF"/>
              </w:rPr>
              <w:t>20%</w:t>
            </w:r>
          </w:p>
        </w:tc>
        <w:tc>
          <w:tcPr>
            <w:tcW w:w="180" w:type="dxa"/>
            <w:vAlign w:val="bottom"/>
          </w:tcPr>
          <w:p>
            <w:pPr>
              <w:spacing w:after="0"/>
              <w:rPr>
                <w:sz w:val="8"/>
                <w:szCs w:val="8"/>
                <w:color w:val="auto"/>
              </w:rPr>
            </w:pPr>
          </w:p>
        </w:tc>
        <w:tc>
          <w:tcPr>
            <w:tcW w:w="1720" w:type="dxa"/>
            <w:vAlign w:val="bottom"/>
            <w:vMerge w:val="restart"/>
            <w:shd w:val="clear" w:color="auto" w:fill="529200"/>
          </w:tcPr>
          <w:p>
            <w:pPr>
              <w:jc w:val="center"/>
              <w:spacing w:after="0"/>
              <w:rPr>
                <w:sz w:val="20"/>
                <w:szCs w:val="20"/>
                <w:color w:val="auto"/>
              </w:rPr>
            </w:pPr>
            <w:r>
              <w:rPr>
                <w:rFonts w:ascii="Arial" w:cs="Arial" w:eastAsia="Arial" w:hAnsi="Arial"/>
                <w:sz w:val="14"/>
                <w:szCs w:val="14"/>
                <w:b w:val="1"/>
                <w:bCs w:val="1"/>
                <w:color w:val="FFFFFF"/>
                <w:w w:val="99"/>
              </w:rPr>
              <w:t>20%</w:t>
            </w:r>
          </w:p>
        </w:tc>
        <w:tc>
          <w:tcPr>
            <w:tcW w:w="180" w:type="dxa"/>
            <w:vAlign w:val="bottom"/>
          </w:tcPr>
          <w:p>
            <w:pPr>
              <w:spacing w:after="0"/>
              <w:rPr>
                <w:sz w:val="8"/>
                <w:szCs w:val="8"/>
                <w:color w:val="auto"/>
              </w:rPr>
            </w:pPr>
          </w:p>
        </w:tc>
        <w:tc>
          <w:tcPr>
            <w:tcW w:w="720" w:type="dxa"/>
            <w:vAlign w:val="bottom"/>
            <w:shd w:val="clear" w:color="auto" w:fill="BCBEC0"/>
          </w:tcPr>
          <w:p>
            <w:pPr>
              <w:spacing w:after="0"/>
              <w:rPr>
                <w:sz w:val="8"/>
                <w:szCs w:val="8"/>
                <w:color w:val="auto"/>
              </w:rPr>
            </w:pPr>
          </w:p>
        </w:tc>
        <w:tc>
          <w:tcPr>
            <w:tcW w:w="1020" w:type="dxa"/>
            <w:vAlign w:val="bottom"/>
            <w:vMerge w:val="restart"/>
            <w:shd w:val="clear" w:color="auto" w:fill="BCBEC0"/>
          </w:tcPr>
          <w:p>
            <w:pPr>
              <w:jc w:val="right"/>
              <w:ind w:right="648"/>
              <w:spacing w:after="0"/>
              <w:rPr>
                <w:sz w:val="20"/>
                <w:szCs w:val="20"/>
                <w:color w:val="auto"/>
              </w:rPr>
            </w:pPr>
            <w:r>
              <w:rPr>
                <w:rFonts w:ascii="Arial" w:cs="Arial" w:eastAsia="Arial" w:hAnsi="Arial"/>
                <w:sz w:val="14"/>
                <w:szCs w:val="14"/>
                <w:b w:val="1"/>
                <w:bCs w:val="1"/>
                <w:color w:val="auto"/>
                <w:w w:val="99"/>
              </w:rPr>
              <w:t>20%</w:t>
            </w:r>
          </w:p>
        </w:tc>
        <w:tc>
          <w:tcPr>
            <w:tcW w:w="0" w:type="dxa"/>
            <w:vAlign w:val="bottom"/>
          </w:tcPr>
          <w:p>
            <w:pPr>
              <w:spacing w:after="0"/>
              <w:rPr>
                <w:sz w:val="1"/>
                <w:szCs w:val="1"/>
                <w:color w:val="auto"/>
              </w:rPr>
            </w:pPr>
          </w:p>
        </w:tc>
      </w:tr>
      <w:tr>
        <w:trPr>
          <w:trHeight w:val="94"/>
        </w:trPr>
        <w:tc>
          <w:tcPr>
            <w:tcW w:w="1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shd w:val="clear" w:color="auto" w:fill="1A3FD6"/>
          </w:tcPr>
          <w:p>
            <w:pPr>
              <w:spacing w:after="0"/>
              <w:rPr>
                <w:sz w:val="8"/>
                <w:szCs w:val="8"/>
                <w:color w:val="auto"/>
              </w:rPr>
            </w:pPr>
          </w:p>
        </w:tc>
        <w:tc>
          <w:tcPr>
            <w:tcW w:w="460" w:type="dxa"/>
            <w:vAlign w:val="bottom"/>
            <w:shd w:val="clear" w:color="auto" w:fill="1A3FD6"/>
          </w:tcPr>
          <w:p>
            <w:pPr>
              <w:spacing w:after="0"/>
              <w:rPr>
                <w:sz w:val="8"/>
                <w:szCs w:val="8"/>
                <w:color w:val="auto"/>
              </w:rPr>
            </w:pPr>
          </w:p>
        </w:tc>
        <w:tc>
          <w:tcPr>
            <w:tcW w:w="1000" w:type="dxa"/>
            <w:vAlign w:val="bottom"/>
            <w:vMerge w:val="continue"/>
            <w:shd w:val="clear" w:color="auto" w:fill="1A3FD6"/>
          </w:tcPr>
          <w:p>
            <w:pPr>
              <w:spacing w:after="0"/>
              <w:rPr>
                <w:sz w:val="8"/>
                <w:szCs w:val="8"/>
                <w:color w:val="auto"/>
              </w:rPr>
            </w:pPr>
          </w:p>
        </w:tc>
        <w:tc>
          <w:tcPr>
            <w:tcW w:w="400" w:type="dxa"/>
            <w:vAlign w:val="bottom"/>
            <w:shd w:val="clear" w:color="auto" w:fill="1A3FD6"/>
          </w:tcPr>
          <w:p>
            <w:pPr>
              <w:spacing w:after="0"/>
              <w:rPr>
                <w:sz w:val="8"/>
                <w:szCs w:val="8"/>
                <w:color w:val="auto"/>
              </w:rPr>
            </w:pPr>
          </w:p>
        </w:tc>
        <w:tc>
          <w:tcPr>
            <w:tcW w:w="260" w:type="dxa"/>
            <w:vAlign w:val="bottom"/>
            <w:shd w:val="clear" w:color="auto" w:fill="1A3FD6"/>
          </w:tcPr>
          <w:p>
            <w:pPr>
              <w:spacing w:after="0"/>
              <w:rPr>
                <w:sz w:val="8"/>
                <w:szCs w:val="8"/>
                <w:color w:val="auto"/>
              </w:rPr>
            </w:pPr>
          </w:p>
        </w:tc>
        <w:tc>
          <w:tcPr>
            <w:tcW w:w="460" w:type="dxa"/>
            <w:vAlign w:val="bottom"/>
            <w:shd w:val="clear" w:color="auto" w:fill="1A3FD6"/>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shd w:val="clear" w:color="auto" w:fill="16A3B6"/>
          </w:tcPr>
          <w:p>
            <w:pPr>
              <w:spacing w:after="0"/>
              <w:rPr>
                <w:sz w:val="8"/>
                <w:szCs w:val="8"/>
                <w:color w:val="auto"/>
              </w:rPr>
            </w:pPr>
          </w:p>
        </w:tc>
        <w:tc>
          <w:tcPr>
            <w:tcW w:w="1260" w:type="dxa"/>
            <w:vAlign w:val="bottom"/>
            <w:vMerge w:val="continue"/>
            <w:shd w:val="clear" w:color="auto" w:fill="16A3B6"/>
          </w:tcPr>
          <w:p>
            <w:pPr>
              <w:spacing w:after="0"/>
              <w:rPr>
                <w:sz w:val="8"/>
                <w:szCs w:val="8"/>
                <w:color w:val="auto"/>
              </w:rPr>
            </w:pPr>
          </w:p>
        </w:tc>
        <w:tc>
          <w:tcPr>
            <w:tcW w:w="180" w:type="dxa"/>
            <w:vAlign w:val="bottom"/>
          </w:tcPr>
          <w:p>
            <w:pPr>
              <w:spacing w:after="0"/>
              <w:rPr>
                <w:sz w:val="8"/>
                <w:szCs w:val="8"/>
                <w:color w:val="auto"/>
              </w:rPr>
            </w:pPr>
          </w:p>
        </w:tc>
        <w:tc>
          <w:tcPr>
            <w:tcW w:w="1720" w:type="dxa"/>
            <w:vAlign w:val="bottom"/>
            <w:vMerge w:val="continue"/>
            <w:shd w:val="clear" w:color="auto" w:fill="529200"/>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shd w:val="clear" w:color="auto" w:fill="BCBEC0"/>
          </w:tcPr>
          <w:p>
            <w:pPr>
              <w:spacing w:after="0"/>
              <w:rPr>
                <w:sz w:val="8"/>
                <w:szCs w:val="8"/>
                <w:color w:val="auto"/>
              </w:rPr>
            </w:pPr>
          </w:p>
        </w:tc>
        <w:tc>
          <w:tcPr>
            <w:tcW w:w="1020" w:type="dxa"/>
            <w:vAlign w:val="bottom"/>
            <w:vMerge w:val="continue"/>
            <w:shd w:val="clear" w:color="auto" w:fill="BCBEC0"/>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shd w:val="clear" w:color="auto" w:fill="1A3FD6"/>
          </w:tcPr>
          <w:p>
            <w:pPr>
              <w:spacing w:after="0"/>
              <w:rPr>
                <w:sz w:val="7"/>
                <w:szCs w:val="7"/>
                <w:color w:val="auto"/>
              </w:rPr>
            </w:pPr>
          </w:p>
        </w:tc>
        <w:tc>
          <w:tcPr>
            <w:tcW w:w="460" w:type="dxa"/>
            <w:vAlign w:val="bottom"/>
            <w:shd w:val="clear" w:color="auto" w:fill="1A3FD6"/>
          </w:tcPr>
          <w:p>
            <w:pPr>
              <w:spacing w:after="0"/>
              <w:rPr>
                <w:sz w:val="7"/>
                <w:szCs w:val="7"/>
                <w:color w:val="auto"/>
              </w:rPr>
            </w:pPr>
          </w:p>
        </w:tc>
        <w:tc>
          <w:tcPr>
            <w:tcW w:w="1000" w:type="dxa"/>
            <w:vAlign w:val="bottom"/>
            <w:shd w:val="clear" w:color="auto" w:fill="1A3FD6"/>
          </w:tcPr>
          <w:p>
            <w:pPr>
              <w:spacing w:after="0"/>
              <w:rPr>
                <w:sz w:val="7"/>
                <w:szCs w:val="7"/>
                <w:color w:val="auto"/>
              </w:rPr>
            </w:pPr>
          </w:p>
        </w:tc>
        <w:tc>
          <w:tcPr>
            <w:tcW w:w="400" w:type="dxa"/>
            <w:vAlign w:val="bottom"/>
            <w:shd w:val="clear" w:color="auto" w:fill="1A3FD6"/>
          </w:tcPr>
          <w:p>
            <w:pPr>
              <w:spacing w:after="0"/>
              <w:rPr>
                <w:sz w:val="7"/>
                <w:szCs w:val="7"/>
                <w:color w:val="auto"/>
              </w:rPr>
            </w:pPr>
          </w:p>
        </w:tc>
        <w:tc>
          <w:tcPr>
            <w:tcW w:w="260" w:type="dxa"/>
            <w:vAlign w:val="bottom"/>
            <w:shd w:val="clear" w:color="auto" w:fill="1A3FD6"/>
          </w:tcPr>
          <w:p>
            <w:pPr>
              <w:spacing w:after="0"/>
              <w:rPr>
                <w:sz w:val="7"/>
                <w:szCs w:val="7"/>
                <w:color w:val="auto"/>
              </w:rPr>
            </w:pPr>
          </w:p>
        </w:tc>
        <w:tc>
          <w:tcPr>
            <w:tcW w:w="460" w:type="dxa"/>
            <w:vAlign w:val="bottom"/>
            <w:shd w:val="clear" w:color="auto" w:fill="1A3FD6"/>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2"/>
            <w:shd w:val="clear" w:color="auto" w:fill="16A3B6"/>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shd w:val="clear" w:color="auto" w:fill="529200"/>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shd w:val="clear" w:color="auto" w:fill="BCBEC0"/>
          </w:tcPr>
          <w:p>
            <w:pPr>
              <w:spacing w:after="0"/>
              <w:rPr>
                <w:sz w:val="7"/>
                <w:szCs w:val="7"/>
                <w:color w:val="auto"/>
              </w:rPr>
            </w:pPr>
          </w:p>
        </w:tc>
        <w:tc>
          <w:tcPr>
            <w:tcW w:w="1020" w:type="dxa"/>
            <w:vAlign w:val="bottom"/>
            <w:shd w:val="clear" w:color="auto" w:fill="BCBEC0"/>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16"/>
                <w:szCs w:val="16"/>
                <w:color w:val="auto"/>
              </w:rPr>
              <w:t>—</w:t>
            </w:r>
            <w:r>
              <w:rPr>
                <w:rFonts w:ascii="Arial" w:cs="Arial" w:eastAsia="Arial" w:hAnsi="Arial"/>
                <w:sz w:val="14"/>
                <w:szCs w:val="14"/>
                <w:b w:val="1"/>
                <w:bCs w:val="1"/>
                <w:color w:val="auto"/>
              </w:rPr>
              <w:t xml:space="preserve"> Culture</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Target</w:t>
            </w:r>
          </w:p>
        </w:tc>
        <w:tc>
          <w:tcPr>
            <w:tcW w:w="13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Actual</w:t>
            </w:r>
            <w:r>
              <w:rPr>
                <w:rFonts w:ascii="Arial" w:cs="Arial" w:eastAsia="Arial" w:hAnsi="Arial"/>
                <w:sz w:val="16"/>
                <w:szCs w:val="16"/>
                <w:color w:val="auto"/>
              </w:rPr>
              <w:t>—</w:t>
            </w:r>
            <w:r>
              <w:rPr>
                <w:rFonts w:ascii="Arial" w:cs="Arial" w:eastAsia="Arial" w:hAnsi="Arial"/>
                <w:sz w:val="14"/>
                <w:szCs w:val="14"/>
                <w:b w:val="1"/>
                <w:bCs w:val="1"/>
                <w:color w:val="auto"/>
              </w:rPr>
              <w:t>Financial</w:t>
            </w:r>
          </w:p>
        </w:tc>
        <w:tc>
          <w:tcPr>
            <w:tcW w:w="460" w:type="dxa"/>
            <w:vAlign w:val="bottom"/>
          </w:tcPr>
          <w:p>
            <w:pPr>
              <w:spacing w:after="0"/>
              <w:rPr>
                <w:sz w:val="16"/>
                <w:szCs w:val="16"/>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Leadership</w:t>
            </w: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260" w:type="dxa"/>
            <w:vAlign w:val="bottom"/>
            <w:tcBorders>
              <w:bottom w:val="single" w:sz="8" w:color="1A3FD6"/>
            </w:tcBorders>
          </w:tcPr>
          <w:p>
            <w:pPr>
              <w:spacing w:after="0"/>
              <w:rPr>
                <w:sz w:val="19"/>
                <w:szCs w:val="19"/>
                <w:color w:val="auto"/>
              </w:rPr>
            </w:pPr>
          </w:p>
        </w:tc>
        <w:tc>
          <w:tcPr>
            <w:tcW w:w="860" w:type="dxa"/>
            <w:vAlign w:val="bottom"/>
            <w:tcBorders>
              <w:bottom w:val="single" w:sz="8" w:color="1A3FD6"/>
            </w:tcBorders>
          </w:tcPr>
          <w:p>
            <w:pPr>
              <w:spacing w:after="0"/>
              <w:rPr>
                <w:sz w:val="19"/>
                <w:szCs w:val="19"/>
                <w:color w:val="auto"/>
              </w:rPr>
            </w:pPr>
          </w:p>
        </w:tc>
        <w:tc>
          <w:tcPr>
            <w:tcW w:w="460" w:type="dxa"/>
            <w:vAlign w:val="bottom"/>
            <w:tcBorders>
              <w:bottom w:val="single" w:sz="8" w:color="1A3FD6"/>
            </w:tcBorders>
          </w:tcPr>
          <w:p>
            <w:pPr>
              <w:spacing w:after="0"/>
              <w:rPr>
                <w:sz w:val="19"/>
                <w:szCs w:val="19"/>
                <w:color w:val="auto"/>
              </w:rPr>
            </w:pPr>
          </w:p>
        </w:tc>
        <w:tc>
          <w:tcPr>
            <w:tcW w:w="1000" w:type="dxa"/>
            <w:vAlign w:val="bottom"/>
            <w:tcBorders>
              <w:bottom w:val="single" w:sz="8" w:color="1A3FD6"/>
            </w:tcBorders>
          </w:tcPr>
          <w:p>
            <w:pPr>
              <w:jc w:val="right"/>
              <w:ind w:right="50"/>
              <w:spacing w:after="0"/>
              <w:rPr>
                <w:sz w:val="20"/>
                <w:szCs w:val="20"/>
                <w:color w:val="auto"/>
              </w:rPr>
            </w:pPr>
            <w:r>
              <w:rPr>
                <w:rFonts w:ascii="Arial" w:cs="Arial" w:eastAsia="Arial" w:hAnsi="Arial"/>
                <w:sz w:val="14"/>
                <w:szCs w:val="14"/>
                <w:b w:val="1"/>
                <w:bCs w:val="1"/>
                <w:color w:val="auto"/>
              </w:rPr>
              <w:t>Bonus</w:t>
            </w:r>
          </w:p>
        </w:tc>
        <w:tc>
          <w:tcPr>
            <w:tcW w:w="400" w:type="dxa"/>
            <w:vAlign w:val="bottom"/>
            <w:tcBorders>
              <w:bottom w:val="single" w:sz="8" w:color="1A3FD6"/>
            </w:tcBorders>
          </w:tcPr>
          <w:p>
            <w:pPr>
              <w:spacing w:after="0"/>
              <w:rPr>
                <w:sz w:val="19"/>
                <w:szCs w:val="19"/>
                <w:color w:val="auto"/>
              </w:rPr>
            </w:pPr>
          </w:p>
        </w:tc>
        <w:tc>
          <w:tcPr>
            <w:tcW w:w="260" w:type="dxa"/>
            <w:vAlign w:val="bottom"/>
            <w:tcBorders>
              <w:bottom w:val="single" w:sz="8" w:color="1A3FD6"/>
            </w:tcBorders>
          </w:tcPr>
          <w:p>
            <w:pPr>
              <w:spacing w:after="0"/>
              <w:rPr>
                <w:sz w:val="19"/>
                <w:szCs w:val="19"/>
                <w:color w:val="auto"/>
              </w:rPr>
            </w:pPr>
          </w:p>
        </w:tc>
        <w:tc>
          <w:tcPr>
            <w:tcW w:w="640" w:type="dxa"/>
            <w:vAlign w:val="bottom"/>
            <w:tcBorders>
              <w:bottom w:val="single" w:sz="8" w:color="1A3FD6"/>
            </w:tcBorders>
            <w:gridSpan w:val="2"/>
          </w:tcPr>
          <w:p>
            <w:pPr>
              <w:jc w:val="right"/>
              <w:spacing w:after="0"/>
              <w:rPr>
                <w:sz w:val="20"/>
                <w:szCs w:val="20"/>
                <w:color w:val="auto"/>
              </w:rPr>
            </w:pPr>
            <w:r>
              <w:rPr>
                <w:rFonts w:ascii="Arial" w:cs="Arial" w:eastAsia="Arial" w:hAnsi="Arial"/>
                <w:sz w:val="14"/>
                <w:szCs w:val="14"/>
                <w:b w:val="1"/>
                <w:bCs w:val="1"/>
                <w:color w:val="auto"/>
              </w:rPr>
              <w:t>(80%)</w:t>
            </w:r>
          </w:p>
        </w:tc>
        <w:tc>
          <w:tcPr>
            <w:tcW w:w="460" w:type="dxa"/>
            <w:vAlign w:val="bottom"/>
            <w:tcBorders>
              <w:bottom w:val="single" w:sz="8" w:color="1A3FD6"/>
            </w:tcBorders>
          </w:tcPr>
          <w:p>
            <w:pPr>
              <w:spacing w:after="0"/>
              <w:rPr>
                <w:sz w:val="19"/>
                <w:szCs w:val="19"/>
                <w:color w:val="auto"/>
              </w:rPr>
            </w:pPr>
          </w:p>
        </w:tc>
        <w:tc>
          <w:tcPr>
            <w:tcW w:w="1260" w:type="dxa"/>
            <w:vAlign w:val="bottom"/>
            <w:tcBorders>
              <w:bottom w:val="single" w:sz="8" w:color="1A3FD6"/>
            </w:tcBorders>
          </w:tcPr>
          <w:p>
            <w:pPr>
              <w:jc w:val="right"/>
              <w:ind w:right="388"/>
              <w:spacing w:after="0"/>
              <w:rPr>
                <w:sz w:val="20"/>
                <w:szCs w:val="20"/>
                <w:color w:val="auto"/>
              </w:rPr>
            </w:pPr>
            <w:r>
              <w:rPr>
                <w:rFonts w:ascii="Arial" w:cs="Arial" w:eastAsia="Arial" w:hAnsi="Arial"/>
                <w:sz w:val="14"/>
                <w:szCs w:val="14"/>
                <w:b w:val="1"/>
                <w:bCs w:val="1"/>
                <w:color w:val="auto"/>
              </w:rPr>
              <w:t>(20%)</w:t>
            </w:r>
          </w:p>
        </w:tc>
        <w:tc>
          <w:tcPr>
            <w:tcW w:w="180" w:type="dxa"/>
            <w:vAlign w:val="bottom"/>
            <w:tcBorders>
              <w:bottom w:val="single" w:sz="8" w:color="1A3FD6"/>
            </w:tcBorders>
          </w:tcPr>
          <w:p>
            <w:pPr>
              <w:spacing w:after="0"/>
              <w:rPr>
                <w:sz w:val="19"/>
                <w:szCs w:val="19"/>
                <w:color w:val="auto"/>
              </w:rPr>
            </w:pPr>
          </w:p>
        </w:tc>
        <w:tc>
          <w:tcPr>
            <w:tcW w:w="2620" w:type="dxa"/>
            <w:vAlign w:val="bottom"/>
            <w:tcBorders>
              <w:bottom w:val="single" w:sz="8" w:color="1A3FD6"/>
            </w:tcBorders>
            <w:gridSpan w:val="3"/>
          </w:tcPr>
          <w:p>
            <w:pPr>
              <w:jc w:val="right"/>
              <w:ind w:right="399"/>
              <w:spacing w:after="0"/>
              <w:rPr>
                <w:sz w:val="20"/>
                <w:szCs w:val="20"/>
                <w:color w:val="auto"/>
              </w:rPr>
            </w:pPr>
            <w:r>
              <w:rPr>
                <w:rFonts w:ascii="Arial" w:cs="Arial" w:eastAsia="Arial" w:hAnsi="Arial"/>
                <w:sz w:val="14"/>
                <w:szCs w:val="14"/>
                <w:b w:val="1"/>
                <w:bCs w:val="1"/>
                <w:color w:val="auto"/>
              </w:rPr>
              <w:t>Payout Breakdown</w:t>
            </w:r>
          </w:p>
        </w:tc>
        <w:tc>
          <w:tcPr>
            <w:tcW w:w="10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Actual Bonus</w:t>
            </w:r>
          </w:p>
        </w:tc>
        <w:tc>
          <w:tcPr>
            <w:tcW w:w="0" w:type="dxa"/>
            <w:vAlign w:val="bottom"/>
          </w:tcPr>
          <w:p>
            <w:pPr>
              <w:spacing w:after="0"/>
              <w:rPr>
                <w:sz w:val="1"/>
                <w:szCs w:val="1"/>
                <w:color w:val="auto"/>
              </w:rPr>
            </w:pPr>
          </w:p>
        </w:tc>
      </w:tr>
      <w:tr>
        <w:trPr>
          <w:trHeight w:val="214"/>
        </w:trPr>
        <w:tc>
          <w:tcPr>
            <w:tcW w:w="182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1,400,000</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10"/>
              <w:spacing w:after="0"/>
              <w:rPr>
                <w:sz w:val="20"/>
                <w:szCs w:val="20"/>
                <w:color w:val="auto"/>
              </w:rPr>
            </w:pPr>
            <w:r>
              <w:rPr>
                <w:rFonts w:ascii="Arial" w:cs="Arial" w:eastAsia="Arial" w:hAnsi="Arial"/>
                <w:sz w:val="14"/>
                <w:szCs w:val="14"/>
                <w:color w:val="auto"/>
              </w:rPr>
              <w:t>1,066,950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280,000</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1,346,950</w:t>
            </w:r>
          </w:p>
        </w:tc>
        <w:tc>
          <w:tcPr>
            <w:tcW w:w="0" w:type="dxa"/>
            <w:vAlign w:val="bottom"/>
          </w:tcPr>
          <w:p>
            <w:pPr>
              <w:spacing w:after="0"/>
              <w:rPr>
                <w:sz w:val="1"/>
                <w:szCs w:val="1"/>
                <w:color w:val="auto"/>
              </w:rPr>
            </w:pPr>
          </w:p>
        </w:tc>
      </w:tr>
      <w:tr>
        <w:trPr>
          <w:trHeight w:val="272"/>
        </w:trPr>
        <w:tc>
          <w:tcPr>
            <w:tcW w:w="1820" w:type="dxa"/>
            <w:vAlign w:val="bottom"/>
            <w:tcBorders>
              <w:bottom w:val="single" w:sz="8" w:color="E6E7EB"/>
            </w:tcBorders>
          </w:tcPr>
          <w:p>
            <w:pPr>
              <w:spacing w:after="0"/>
              <w:rPr>
                <w:sz w:val="23"/>
                <w:szCs w:val="23"/>
                <w:color w:val="auto"/>
              </w:rPr>
            </w:pPr>
          </w:p>
        </w:tc>
        <w:tc>
          <w:tcPr>
            <w:tcW w:w="260" w:type="dxa"/>
            <w:vAlign w:val="bottom"/>
            <w:tcBorders>
              <w:bottom w:val="single" w:sz="8" w:color="E6E7EB"/>
            </w:tcBorders>
          </w:tcPr>
          <w:p>
            <w:pPr>
              <w:spacing w:after="0"/>
              <w:rPr>
                <w:sz w:val="23"/>
                <w:szCs w:val="23"/>
                <w:color w:val="auto"/>
              </w:rPr>
            </w:pPr>
          </w:p>
        </w:tc>
        <w:tc>
          <w:tcPr>
            <w:tcW w:w="860" w:type="dxa"/>
            <w:vAlign w:val="bottom"/>
            <w:tcBorders>
              <w:bottom w:val="single" w:sz="8" w:color="E6E7EB"/>
            </w:tcBorders>
          </w:tcPr>
          <w:p>
            <w:pPr>
              <w:spacing w:after="0"/>
              <w:rPr>
                <w:sz w:val="23"/>
                <w:szCs w:val="23"/>
                <w:color w:val="auto"/>
              </w:rPr>
            </w:pPr>
          </w:p>
        </w:tc>
        <w:tc>
          <w:tcPr>
            <w:tcW w:w="460" w:type="dxa"/>
            <w:vAlign w:val="bottom"/>
            <w:tcBorders>
              <w:bottom w:val="single" w:sz="8" w:color="E6E7EB"/>
            </w:tcBorders>
          </w:tcPr>
          <w:p>
            <w:pPr>
              <w:spacing w:after="0"/>
              <w:rPr>
                <w:sz w:val="23"/>
                <w:szCs w:val="23"/>
                <w:color w:val="auto"/>
              </w:rPr>
            </w:pPr>
          </w:p>
        </w:tc>
        <w:tc>
          <w:tcPr>
            <w:tcW w:w="1000" w:type="dxa"/>
            <w:vAlign w:val="bottom"/>
            <w:tcBorders>
              <w:bottom w:val="single" w:sz="8" w:color="E6E7EB"/>
            </w:tcBorders>
          </w:tcPr>
          <w:p>
            <w:pPr>
              <w:spacing w:after="0"/>
              <w:rPr>
                <w:sz w:val="23"/>
                <w:szCs w:val="23"/>
                <w:color w:val="auto"/>
              </w:rPr>
            </w:pPr>
          </w:p>
        </w:tc>
        <w:tc>
          <w:tcPr>
            <w:tcW w:w="400" w:type="dxa"/>
            <w:vAlign w:val="bottom"/>
            <w:tcBorders>
              <w:bottom w:val="single" w:sz="8" w:color="E6E7EB"/>
            </w:tcBorders>
          </w:tcPr>
          <w:p>
            <w:pPr>
              <w:spacing w:after="0"/>
              <w:rPr>
                <w:sz w:val="23"/>
                <w:szCs w:val="23"/>
                <w:color w:val="auto"/>
              </w:rPr>
            </w:pPr>
          </w:p>
        </w:tc>
        <w:tc>
          <w:tcPr>
            <w:tcW w:w="260" w:type="dxa"/>
            <w:vAlign w:val="bottom"/>
            <w:tcBorders>
              <w:bottom w:val="single" w:sz="8" w:color="E6E7EB"/>
            </w:tcBorders>
          </w:tcPr>
          <w:p>
            <w:pPr>
              <w:spacing w:after="0"/>
              <w:rPr>
                <w:sz w:val="23"/>
                <w:szCs w:val="23"/>
                <w:color w:val="auto"/>
              </w:rPr>
            </w:pPr>
          </w:p>
        </w:tc>
        <w:tc>
          <w:tcPr>
            <w:tcW w:w="640" w:type="dxa"/>
            <w:vAlign w:val="bottom"/>
            <w:tcBorders>
              <w:bottom w:val="single" w:sz="8" w:color="E6E7EB"/>
            </w:tcBorders>
            <w:gridSpan w:val="2"/>
          </w:tcPr>
          <w:p>
            <w:pPr>
              <w:spacing w:after="0"/>
              <w:rPr>
                <w:sz w:val="23"/>
                <w:szCs w:val="23"/>
                <w:color w:val="auto"/>
              </w:rPr>
            </w:pPr>
          </w:p>
        </w:tc>
        <w:tc>
          <w:tcPr>
            <w:tcW w:w="460" w:type="dxa"/>
            <w:vAlign w:val="bottom"/>
            <w:tcBorders>
              <w:bottom w:val="single" w:sz="8" w:color="E6E7EB"/>
            </w:tcBorders>
          </w:tcPr>
          <w:p>
            <w:pPr>
              <w:spacing w:after="0"/>
              <w:rPr>
                <w:sz w:val="23"/>
                <w:szCs w:val="23"/>
                <w:color w:val="auto"/>
              </w:rPr>
            </w:pPr>
          </w:p>
        </w:tc>
        <w:tc>
          <w:tcPr>
            <w:tcW w:w="1260" w:type="dxa"/>
            <w:vAlign w:val="bottom"/>
            <w:tcBorders>
              <w:bottom w:val="single" w:sz="8" w:color="E6E7EB"/>
            </w:tcBorders>
          </w:tcPr>
          <w:p>
            <w:pPr>
              <w:spacing w:after="0"/>
              <w:rPr>
                <w:sz w:val="23"/>
                <w:szCs w:val="23"/>
                <w:color w:val="auto"/>
              </w:rPr>
            </w:pPr>
          </w:p>
        </w:tc>
        <w:tc>
          <w:tcPr>
            <w:tcW w:w="180" w:type="dxa"/>
            <w:vAlign w:val="bottom"/>
            <w:tcBorders>
              <w:bottom w:val="single" w:sz="8" w:color="E6E7EB"/>
            </w:tcBorders>
          </w:tcPr>
          <w:p>
            <w:pPr>
              <w:spacing w:after="0"/>
              <w:rPr>
                <w:sz w:val="23"/>
                <w:szCs w:val="23"/>
                <w:color w:val="auto"/>
              </w:rPr>
            </w:pPr>
          </w:p>
        </w:tc>
        <w:tc>
          <w:tcPr>
            <w:tcW w:w="1720" w:type="dxa"/>
            <w:vAlign w:val="bottom"/>
            <w:tcBorders>
              <w:bottom w:val="single" w:sz="8" w:color="E6E7EB"/>
            </w:tcBorders>
          </w:tcPr>
          <w:p>
            <w:pPr>
              <w:spacing w:after="0"/>
              <w:rPr>
                <w:sz w:val="23"/>
                <w:szCs w:val="23"/>
                <w:color w:val="auto"/>
              </w:rPr>
            </w:pPr>
          </w:p>
        </w:tc>
        <w:tc>
          <w:tcPr>
            <w:tcW w:w="900" w:type="dxa"/>
            <w:vAlign w:val="bottom"/>
            <w:tcBorders>
              <w:bottom w:val="single" w:sz="8" w:color="E6E7EB"/>
            </w:tcBorders>
            <w:gridSpan w:val="2"/>
          </w:tcPr>
          <w:p>
            <w:pPr>
              <w:spacing w:after="0"/>
              <w:rPr>
                <w:sz w:val="23"/>
                <w:szCs w:val="23"/>
                <w:color w:val="auto"/>
              </w:rPr>
            </w:pPr>
          </w:p>
        </w:tc>
        <w:tc>
          <w:tcPr>
            <w:tcW w:w="1020" w:type="dxa"/>
            <w:vAlign w:val="bottom"/>
            <w:tcBorders>
              <w:bottom w:val="single" w:sz="8" w:color="E6E7EB"/>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820" w:type="dxa"/>
            <w:vAlign w:val="bottom"/>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750,000</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color w:val="auto"/>
              </w:rPr>
              <w:t>571,580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150,000</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721,580</w:t>
            </w:r>
          </w:p>
        </w:tc>
        <w:tc>
          <w:tcPr>
            <w:tcW w:w="0" w:type="dxa"/>
            <w:vAlign w:val="bottom"/>
          </w:tcPr>
          <w:p>
            <w:pPr>
              <w:spacing w:after="0"/>
              <w:rPr>
                <w:sz w:val="1"/>
                <w:szCs w:val="1"/>
                <w:color w:val="auto"/>
              </w:rPr>
            </w:pPr>
          </w:p>
        </w:tc>
      </w:tr>
      <w:tr>
        <w:trPr>
          <w:trHeight w:val="272"/>
        </w:trPr>
        <w:tc>
          <w:tcPr>
            <w:tcW w:w="1820" w:type="dxa"/>
            <w:vAlign w:val="bottom"/>
            <w:tcBorders>
              <w:bottom w:val="single" w:sz="8" w:color="E6E7EB"/>
            </w:tcBorders>
          </w:tcPr>
          <w:p>
            <w:pPr>
              <w:spacing w:after="0"/>
              <w:rPr>
                <w:sz w:val="23"/>
                <w:szCs w:val="23"/>
                <w:color w:val="auto"/>
              </w:rPr>
            </w:pPr>
          </w:p>
        </w:tc>
        <w:tc>
          <w:tcPr>
            <w:tcW w:w="260" w:type="dxa"/>
            <w:vAlign w:val="bottom"/>
            <w:tcBorders>
              <w:bottom w:val="single" w:sz="8" w:color="E6E7EB"/>
            </w:tcBorders>
          </w:tcPr>
          <w:p>
            <w:pPr>
              <w:spacing w:after="0"/>
              <w:rPr>
                <w:sz w:val="23"/>
                <w:szCs w:val="23"/>
                <w:color w:val="auto"/>
              </w:rPr>
            </w:pPr>
          </w:p>
        </w:tc>
        <w:tc>
          <w:tcPr>
            <w:tcW w:w="860" w:type="dxa"/>
            <w:vAlign w:val="bottom"/>
            <w:tcBorders>
              <w:bottom w:val="single" w:sz="8" w:color="E6E7EB"/>
            </w:tcBorders>
          </w:tcPr>
          <w:p>
            <w:pPr>
              <w:spacing w:after="0"/>
              <w:rPr>
                <w:sz w:val="23"/>
                <w:szCs w:val="23"/>
                <w:color w:val="auto"/>
              </w:rPr>
            </w:pPr>
          </w:p>
        </w:tc>
        <w:tc>
          <w:tcPr>
            <w:tcW w:w="460" w:type="dxa"/>
            <w:vAlign w:val="bottom"/>
            <w:tcBorders>
              <w:bottom w:val="single" w:sz="8" w:color="E6E7EB"/>
            </w:tcBorders>
          </w:tcPr>
          <w:p>
            <w:pPr>
              <w:spacing w:after="0"/>
              <w:rPr>
                <w:sz w:val="23"/>
                <w:szCs w:val="23"/>
                <w:color w:val="auto"/>
              </w:rPr>
            </w:pPr>
          </w:p>
        </w:tc>
        <w:tc>
          <w:tcPr>
            <w:tcW w:w="1000" w:type="dxa"/>
            <w:vAlign w:val="bottom"/>
            <w:tcBorders>
              <w:bottom w:val="single" w:sz="8" w:color="E6E7EB"/>
            </w:tcBorders>
          </w:tcPr>
          <w:p>
            <w:pPr>
              <w:spacing w:after="0"/>
              <w:rPr>
                <w:sz w:val="23"/>
                <w:szCs w:val="23"/>
                <w:color w:val="auto"/>
              </w:rPr>
            </w:pPr>
          </w:p>
        </w:tc>
        <w:tc>
          <w:tcPr>
            <w:tcW w:w="400" w:type="dxa"/>
            <w:vAlign w:val="bottom"/>
            <w:tcBorders>
              <w:bottom w:val="single" w:sz="8" w:color="E6E7EB"/>
            </w:tcBorders>
          </w:tcPr>
          <w:p>
            <w:pPr>
              <w:spacing w:after="0"/>
              <w:rPr>
                <w:sz w:val="23"/>
                <w:szCs w:val="23"/>
                <w:color w:val="auto"/>
              </w:rPr>
            </w:pPr>
          </w:p>
        </w:tc>
        <w:tc>
          <w:tcPr>
            <w:tcW w:w="260" w:type="dxa"/>
            <w:vAlign w:val="bottom"/>
            <w:tcBorders>
              <w:bottom w:val="single" w:sz="8" w:color="E6E7EB"/>
            </w:tcBorders>
          </w:tcPr>
          <w:p>
            <w:pPr>
              <w:spacing w:after="0"/>
              <w:rPr>
                <w:sz w:val="23"/>
                <w:szCs w:val="23"/>
                <w:color w:val="auto"/>
              </w:rPr>
            </w:pPr>
          </w:p>
        </w:tc>
        <w:tc>
          <w:tcPr>
            <w:tcW w:w="640" w:type="dxa"/>
            <w:vAlign w:val="bottom"/>
            <w:tcBorders>
              <w:bottom w:val="single" w:sz="8" w:color="E6E7EB"/>
            </w:tcBorders>
            <w:gridSpan w:val="2"/>
          </w:tcPr>
          <w:p>
            <w:pPr>
              <w:spacing w:after="0"/>
              <w:rPr>
                <w:sz w:val="23"/>
                <w:szCs w:val="23"/>
                <w:color w:val="auto"/>
              </w:rPr>
            </w:pPr>
          </w:p>
        </w:tc>
        <w:tc>
          <w:tcPr>
            <w:tcW w:w="460" w:type="dxa"/>
            <w:vAlign w:val="bottom"/>
            <w:tcBorders>
              <w:bottom w:val="single" w:sz="8" w:color="E6E7EB"/>
            </w:tcBorders>
          </w:tcPr>
          <w:p>
            <w:pPr>
              <w:spacing w:after="0"/>
              <w:rPr>
                <w:sz w:val="23"/>
                <w:szCs w:val="23"/>
                <w:color w:val="auto"/>
              </w:rPr>
            </w:pPr>
          </w:p>
        </w:tc>
        <w:tc>
          <w:tcPr>
            <w:tcW w:w="1260" w:type="dxa"/>
            <w:vAlign w:val="bottom"/>
            <w:tcBorders>
              <w:bottom w:val="single" w:sz="8" w:color="E6E7EB"/>
            </w:tcBorders>
          </w:tcPr>
          <w:p>
            <w:pPr>
              <w:spacing w:after="0"/>
              <w:rPr>
                <w:sz w:val="23"/>
                <w:szCs w:val="23"/>
                <w:color w:val="auto"/>
              </w:rPr>
            </w:pPr>
          </w:p>
        </w:tc>
        <w:tc>
          <w:tcPr>
            <w:tcW w:w="180" w:type="dxa"/>
            <w:vAlign w:val="bottom"/>
            <w:tcBorders>
              <w:bottom w:val="single" w:sz="8" w:color="E6E7EB"/>
            </w:tcBorders>
          </w:tcPr>
          <w:p>
            <w:pPr>
              <w:spacing w:after="0"/>
              <w:rPr>
                <w:sz w:val="23"/>
                <w:szCs w:val="23"/>
                <w:color w:val="auto"/>
              </w:rPr>
            </w:pPr>
          </w:p>
        </w:tc>
        <w:tc>
          <w:tcPr>
            <w:tcW w:w="1720" w:type="dxa"/>
            <w:vAlign w:val="bottom"/>
            <w:tcBorders>
              <w:bottom w:val="single" w:sz="8" w:color="E6E7EB"/>
            </w:tcBorders>
          </w:tcPr>
          <w:p>
            <w:pPr>
              <w:spacing w:after="0"/>
              <w:rPr>
                <w:sz w:val="23"/>
                <w:szCs w:val="23"/>
                <w:color w:val="auto"/>
              </w:rPr>
            </w:pPr>
          </w:p>
        </w:tc>
        <w:tc>
          <w:tcPr>
            <w:tcW w:w="900" w:type="dxa"/>
            <w:vAlign w:val="bottom"/>
            <w:tcBorders>
              <w:bottom w:val="single" w:sz="8" w:color="E6E7EB"/>
            </w:tcBorders>
            <w:gridSpan w:val="2"/>
          </w:tcPr>
          <w:p>
            <w:pPr>
              <w:spacing w:after="0"/>
              <w:rPr>
                <w:sz w:val="23"/>
                <w:szCs w:val="23"/>
                <w:color w:val="auto"/>
              </w:rPr>
            </w:pPr>
          </w:p>
        </w:tc>
        <w:tc>
          <w:tcPr>
            <w:tcW w:w="1020" w:type="dxa"/>
            <w:vAlign w:val="bottom"/>
            <w:tcBorders>
              <w:bottom w:val="single" w:sz="8" w:color="E6E7EB"/>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2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r>
              <w:rPr>
                <w:rFonts w:ascii="Arial" w:cs="Arial" w:eastAsia="Arial" w:hAnsi="Arial"/>
                <w:sz w:val="21"/>
                <w:szCs w:val="21"/>
                <w:b w:val="1"/>
                <w:bCs w:val="1"/>
                <w:color w:val="1A3FD6"/>
                <w:vertAlign w:val="superscript"/>
              </w:rPr>
              <w:t>(2)</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1,186,555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color w:val="auto"/>
              </w:rPr>
              <w:t>904,287</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237,311</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1,141,598</w:t>
            </w:r>
          </w:p>
        </w:tc>
        <w:tc>
          <w:tcPr>
            <w:tcW w:w="0" w:type="dxa"/>
            <w:vAlign w:val="bottom"/>
          </w:tcPr>
          <w:p>
            <w:pPr>
              <w:spacing w:after="0"/>
              <w:rPr>
                <w:sz w:val="1"/>
                <w:szCs w:val="1"/>
                <w:color w:val="auto"/>
              </w:rPr>
            </w:pPr>
          </w:p>
        </w:tc>
      </w:tr>
      <w:tr>
        <w:trPr>
          <w:trHeight w:val="197"/>
        </w:trPr>
        <w:tc>
          <w:tcPr>
            <w:tcW w:w="1820" w:type="dxa"/>
            <w:vAlign w:val="bottom"/>
            <w:tcBorders>
              <w:bottom w:val="single" w:sz="8" w:color="E6E7EB"/>
            </w:tcBorders>
          </w:tcPr>
          <w:p>
            <w:pPr>
              <w:spacing w:after="0"/>
              <w:rPr>
                <w:sz w:val="17"/>
                <w:szCs w:val="17"/>
                <w:color w:val="auto"/>
              </w:rPr>
            </w:pPr>
          </w:p>
        </w:tc>
        <w:tc>
          <w:tcPr>
            <w:tcW w:w="260" w:type="dxa"/>
            <w:vAlign w:val="bottom"/>
            <w:tcBorders>
              <w:bottom w:val="single" w:sz="8" w:color="E6E7EB"/>
            </w:tcBorders>
          </w:tcPr>
          <w:p>
            <w:pPr>
              <w:spacing w:after="0"/>
              <w:rPr>
                <w:sz w:val="17"/>
                <w:szCs w:val="17"/>
                <w:color w:val="auto"/>
              </w:rPr>
            </w:pPr>
          </w:p>
        </w:tc>
        <w:tc>
          <w:tcPr>
            <w:tcW w:w="860" w:type="dxa"/>
            <w:vAlign w:val="bottom"/>
            <w:tcBorders>
              <w:bottom w:val="single" w:sz="8" w:color="E6E7EB"/>
            </w:tcBorders>
          </w:tcPr>
          <w:p>
            <w:pPr>
              <w:spacing w:after="0"/>
              <w:rPr>
                <w:sz w:val="17"/>
                <w:szCs w:val="17"/>
                <w:color w:val="auto"/>
              </w:rPr>
            </w:pPr>
          </w:p>
        </w:tc>
        <w:tc>
          <w:tcPr>
            <w:tcW w:w="460" w:type="dxa"/>
            <w:vAlign w:val="bottom"/>
            <w:tcBorders>
              <w:bottom w:val="single" w:sz="8" w:color="E6E7EB"/>
            </w:tcBorders>
          </w:tcPr>
          <w:p>
            <w:pPr>
              <w:spacing w:after="0"/>
              <w:rPr>
                <w:sz w:val="17"/>
                <w:szCs w:val="17"/>
                <w:color w:val="auto"/>
              </w:rPr>
            </w:pPr>
          </w:p>
        </w:tc>
        <w:tc>
          <w:tcPr>
            <w:tcW w:w="1000" w:type="dxa"/>
            <w:vAlign w:val="bottom"/>
            <w:tcBorders>
              <w:bottom w:val="single" w:sz="8" w:color="E6E7EB"/>
            </w:tcBorders>
          </w:tcPr>
          <w:p>
            <w:pPr>
              <w:spacing w:after="0"/>
              <w:rPr>
                <w:sz w:val="17"/>
                <w:szCs w:val="17"/>
                <w:color w:val="auto"/>
              </w:rPr>
            </w:pPr>
          </w:p>
        </w:tc>
        <w:tc>
          <w:tcPr>
            <w:tcW w:w="400" w:type="dxa"/>
            <w:vAlign w:val="bottom"/>
            <w:tcBorders>
              <w:bottom w:val="single" w:sz="8" w:color="E6E7EB"/>
            </w:tcBorders>
          </w:tcPr>
          <w:p>
            <w:pPr>
              <w:spacing w:after="0"/>
              <w:rPr>
                <w:sz w:val="17"/>
                <w:szCs w:val="17"/>
                <w:color w:val="auto"/>
              </w:rPr>
            </w:pPr>
          </w:p>
        </w:tc>
        <w:tc>
          <w:tcPr>
            <w:tcW w:w="260" w:type="dxa"/>
            <w:vAlign w:val="bottom"/>
            <w:tcBorders>
              <w:bottom w:val="single" w:sz="8" w:color="E6E7EB"/>
            </w:tcBorders>
          </w:tcPr>
          <w:p>
            <w:pPr>
              <w:spacing w:after="0"/>
              <w:rPr>
                <w:sz w:val="17"/>
                <w:szCs w:val="17"/>
                <w:color w:val="auto"/>
              </w:rPr>
            </w:pPr>
          </w:p>
        </w:tc>
        <w:tc>
          <w:tcPr>
            <w:tcW w:w="640" w:type="dxa"/>
            <w:vAlign w:val="bottom"/>
            <w:tcBorders>
              <w:bottom w:val="single" w:sz="8" w:color="E6E7EB"/>
            </w:tcBorders>
            <w:gridSpan w:val="2"/>
          </w:tcPr>
          <w:p>
            <w:pPr>
              <w:spacing w:after="0"/>
              <w:rPr>
                <w:sz w:val="17"/>
                <w:szCs w:val="17"/>
                <w:color w:val="auto"/>
              </w:rPr>
            </w:pPr>
          </w:p>
        </w:tc>
        <w:tc>
          <w:tcPr>
            <w:tcW w:w="460" w:type="dxa"/>
            <w:vAlign w:val="bottom"/>
            <w:tcBorders>
              <w:bottom w:val="single" w:sz="8" w:color="E6E7EB"/>
            </w:tcBorders>
          </w:tcPr>
          <w:p>
            <w:pPr>
              <w:spacing w:after="0"/>
              <w:rPr>
                <w:sz w:val="17"/>
                <w:szCs w:val="17"/>
                <w:color w:val="auto"/>
              </w:rPr>
            </w:pPr>
          </w:p>
        </w:tc>
        <w:tc>
          <w:tcPr>
            <w:tcW w:w="1260" w:type="dxa"/>
            <w:vAlign w:val="bottom"/>
            <w:tcBorders>
              <w:bottom w:val="single" w:sz="8" w:color="E6E7EB"/>
            </w:tcBorders>
          </w:tcPr>
          <w:p>
            <w:pPr>
              <w:spacing w:after="0"/>
              <w:rPr>
                <w:sz w:val="17"/>
                <w:szCs w:val="17"/>
                <w:color w:val="auto"/>
              </w:rPr>
            </w:pPr>
          </w:p>
        </w:tc>
        <w:tc>
          <w:tcPr>
            <w:tcW w:w="180" w:type="dxa"/>
            <w:vAlign w:val="bottom"/>
            <w:tcBorders>
              <w:bottom w:val="single" w:sz="8" w:color="E6E7EB"/>
            </w:tcBorders>
          </w:tcPr>
          <w:p>
            <w:pPr>
              <w:spacing w:after="0"/>
              <w:rPr>
                <w:sz w:val="17"/>
                <w:szCs w:val="17"/>
                <w:color w:val="auto"/>
              </w:rPr>
            </w:pPr>
          </w:p>
        </w:tc>
        <w:tc>
          <w:tcPr>
            <w:tcW w:w="1720" w:type="dxa"/>
            <w:vAlign w:val="bottom"/>
            <w:tcBorders>
              <w:bottom w:val="single" w:sz="8" w:color="E6E7EB"/>
            </w:tcBorders>
          </w:tcPr>
          <w:p>
            <w:pPr>
              <w:spacing w:after="0"/>
              <w:rPr>
                <w:sz w:val="17"/>
                <w:szCs w:val="17"/>
                <w:color w:val="auto"/>
              </w:rPr>
            </w:pPr>
          </w:p>
        </w:tc>
        <w:tc>
          <w:tcPr>
            <w:tcW w:w="900" w:type="dxa"/>
            <w:vAlign w:val="bottom"/>
            <w:tcBorders>
              <w:bottom w:val="single" w:sz="8" w:color="E6E7EB"/>
            </w:tcBorders>
            <w:gridSpan w:val="2"/>
          </w:tcPr>
          <w:p>
            <w:pPr>
              <w:spacing w:after="0"/>
              <w:rPr>
                <w:sz w:val="17"/>
                <w:szCs w:val="17"/>
                <w:color w:val="auto"/>
              </w:rPr>
            </w:pPr>
          </w:p>
        </w:tc>
        <w:tc>
          <w:tcPr>
            <w:tcW w:w="1020" w:type="dxa"/>
            <w:vAlign w:val="bottom"/>
            <w:tcBorders>
              <w:bottom w:val="single" w:sz="8" w:color="E6E7EB"/>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820" w:type="dxa"/>
            <w:vAlign w:val="bottom"/>
          </w:tcPr>
          <w:p>
            <w:pPr>
              <w:ind w:left="20"/>
              <w:spacing w:after="0"/>
              <w:rPr>
                <w:sz w:val="20"/>
                <w:szCs w:val="20"/>
                <w:color w:val="auto"/>
              </w:rPr>
            </w:pPr>
            <w:r>
              <w:rPr>
                <w:rFonts w:ascii="Arial" w:cs="Arial" w:eastAsia="Arial" w:hAnsi="Arial"/>
                <w:sz w:val="14"/>
                <w:szCs w:val="14"/>
                <w:b w:val="1"/>
                <w:bCs w:val="1"/>
                <w:color w:val="1A3FD6"/>
              </w:rPr>
              <w:t>Alvise J. Munari</w:t>
            </w:r>
            <w:r>
              <w:rPr>
                <w:rFonts w:ascii="Arial" w:cs="Arial" w:eastAsia="Arial" w:hAnsi="Arial"/>
                <w:sz w:val="21"/>
                <w:szCs w:val="21"/>
                <w:b w:val="1"/>
                <w:bCs w:val="1"/>
                <w:color w:val="1A3FD6"/>
                <w:vertAlign w:val="superscript"/>
              </w:rPr>
              <w:t>(3)</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1,025,515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color w:val="auto"/>
              </w:rPr>
              <w:t>781,551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205,103</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986,654</w:t>
            </w:r>
          </w:p>
        </w:tc>
        <w:tc>
          <w:tcPr>
            <w:tcW w:w="0" w:type="dxa"/>
            <w:vAlign w:val="bottom"/>
          </w:tcPr>
          <w:p>
            <w:pPr>
              <w:spacing w:after="0"/>
              <w:rPr>
                <w:sz w:val="1"/>
                <w:szCs w:val="1"/>
                <w:color w:val="auto"/>
              </w:rPr>
            </w:pPr>
          </w:p>
        </w:tc>
      </w:tr>
      <w:tr>
        <w:trPr>
          <w:trHeight w:val="197"/>
        </w:trPr>
        <w:tc>
          <w:tcPr>
            <w:tcW w:w="1820" w:type="dxa"/>
            <w:vAlign w:val="bottom"/>
            <w:tcBorders>
              <w:bottom w:val="single" w:sz="8" w:color="E6E7EB"/>
            </w:tcBorders>
          </w:tcPr>
          <w:p>
            <w:pPr>
              <w:spacing w:after="0"/>
              <w:rPr>
                <w:sz w:val="17"/>
                <w:szCs w:val="17"/>
                <w:color w:val="auto"/>
              </w:rPr>
            </w:pPr>
          </w:p>
        </w:tc>
        <w:tc>
          <w:tcPr>
            <w:tcW w:w="260" w:type="dxa"/>
            <w:vAlign w:val="bottom"/>
            <w:tcBorders>
              <w:bottom w:val="single" w:sz="8" w:color="E6E7EB"/>
            </w:tcBorders>
          </w:tcPr>
          <w:p>
            <w:pPr>
              <w:spacing w:after="0"/>
              <w:rPr>
                <w:sz w:val="17"/>
                <w:szCs w:val="17"/>
                <w:color w:val="auto"/>
              </w:rPr>
            </w:pPr>
          </w:p>
        </w:tc>
        <w:tc>
          <w:tcPr>
            <w:tcW w:w="860" w:type="dxa"/>
            <w:vAlign w:val="bottom"/>
            <w:tcBorders>
              <w:bottom w:val="single" w:sz="8" w:color="E6E7EB"/>
            </w:tcBorders>
          </w:tcPr>
          <w:p>
            <w:pPr>
              <w:spacing w:after="0"/>
              <w:rPr>
                <w:sz w:val="17"/>
                <w:szCs w:val="17"/>
                <w:color w:val="auto"/>
              </w:rPr>
            </w:pPr>
          </w:p>
        </w:tc>
        <w:tc>
          <w:tcPr>
            <w:tcW w:w="460" w:type="dxa"/>
            <w:vAlign w:val="bottom"/>
            <w:tcBorders>
              <w:bottom w:val="single" w:sz="8" w:color="E6E7EB"/>
            </w:tcBorders>
          </w:tcPr>
          <w:p>
            <w:pPr>
              <w:spacing w:after="0"/>
              <w:rPr>
                <w:sz w:val="17"/>
                <w:szCs w:val="17"/>
                <w:color w:val="auto"/>
              </w:rPr>
            </w:pPr>
          </w:p>
        </w:tc>
        <w:tc>
          <w:tcPr>
            <w:tcW w:w="1000" w:type="dxa"/>
            <w:vAlign w:val="bottom"/>
            <w:tcBorders>
              <w:bottom w:val="single" w:sz="8" w:color="E6E7EB"/>
            </w:tcBorders>
          </w:tcPr>
          <w:p>
            <w:pPr>
              <w:spacing w:after="0"/>
              <w:rPr>
                <w:sz w:val="17"/>
                <w:szCs w:val="17"/>
                <w:color w:val="auto"/>
              </w:rPr>
            </w:pPr>
          </w:p>
        </w:tc>
        <w:tc>
          <w:tcPr>
            <w:tcW w:w="400" w:type="dxa"/>
            <w:vAlign w:val="bottom"/>
            <w:tcBorders>
              <w:bottom w:val="single" w:sz="8" w:color="E6E7EB"/>
            </w:tcBorders>
          </w:tcPr>
          <w:p>
            <w:pPr>
              <w:spacing w:after="0"/>
              <w:rPr>
                <w:sz w:val="17"/>
                <w:szCs w:val="17"/>
                <w:color w:val="auto"/>
              </w:rPr>
            </w:pPr>
          </w:p>
        </w:tc>
        <w:tc>
          <w:tcPr>
            <w:tcW w:w="260" w:type="dxa"/>
            <w:vAlign w:val="bottom"/>
            <w:tcBorders>
              <w:bottom w:val="single" w:sz="8" w:color="E6E7EB"/>
            </w:tcBorders>
          </w:tcPr>
          <w:p>
            <w:pPr>
              <w:spacing w:after="0"/>
              <w:rPr>
                <w:sz w:val="17"/>
                <w:szCs w:val="17"/>
                <w:color w:val="auto"/>
              </w:rPr>
            </w:pPr>
          </w:p>
        </w:tc>
        <w:tc>
          <w:tcPr>
            <w:tcW w:w="640" w:type="dxa"/>
            <w:vAlign w:val="bottom"/>
            <w:tcBorders>
              <w:bottom w:val="single" w:sz="8" w:color="E6E7EB"/>
            </w:tcBorders>
            <w:gridSpan w:val="2"/>
          </w:tcPr>
          <w:p>
            <w:pPr>
              <w:spacing w:after="0"/>
              <w:rPr>
                <w:sz w:val="17"/>
                <w:szCs w:val="17"/>
                <w:color w:val="auto"/>
              </w:rPr>
            </w:pPr>
          </w:p>
        </w:tc>
        <w:tc>
          <w:tcPr>
            <w:tcW w:w="460" w:type="dxa"/>
            <w:vAlign w:val="bottom"/>
            <w:tcBorders>
              <w:bottom w:val="single" w:sz="8" w:color="E6E7EB"/>
            </w:tcBorders>
          </w:tcPr>
          <w:p>
            <w:pPr>
              <w:spacing w:after="0"/>
              <w:rPr>
                <w:sz w:val="17"/>
                <w:szCs w:val="17"/>
                <w:color w:val="auto"/>
              </w:rPr>
            </w:pPr>
          </w:p>
        </w:tc>
        <w:tc>
          <w:tcPr>
            <w:tcW w:w="1260" w:type="dxa"/>
            <w:vAlign w:val="bottom"/>
            <w:tcBorders>
              <w:bottom w:val="single" w:sz="8" w:color="E6E7EB"/>
            </w:tcBorders>
          </w:tcPr>
          <w:p>
            <w:pPr>
              <w:spacing w:after="0"/>
              <w:rPr>
                <w:sz w:val="17"/>
                <w:szCs w:val="17"/>
                <w:color w:val="auto"/>
              </w:rPr>
            </w:pPr>
          </w:p>
        </w:tc>
        <w:tc>
          <w:tcPr>
            <w:tcW w:w="180" w:type="dxa"/>
            <w:vAlign w:val="bottom"/>
            <w:tcBorders>
              <w:bottom w:val="single" w:sz="8" w:color="E6E7EB"/>
            </w:tcBorders>
          </w:tcPr>
          <w:p>
            <w:pPr>
              <w:spacing w:after="0"/>
              <w:rPr>
                <w:sz w:val="17"/>
                <w:szCs w:val="17"/>
                <w:color w:val="auto"/>
              </w:rPr>
            </w:pPr>
          </w:p>
        </w:tc>
        <w:tc>
          <w:tcPr>
            <w:tcW w:w="1720" w:type="dxa"/>
            <w:vAlign w:val="bottom"/>
            <w:tcBorders>
              <w:bottom w:val="single" w:sz="8" w:color="E6E7EB"/>
            </w:tcBorders>
          </w:tcPr>
          <w:p>
            <w:pPr>
              <w:spacing w:after="0"/>
              <w:rPr>
                <w:sz w:val="17"/>
                <w:szCs w:val="17"/>
                <w:color w:val="auto"/>
              </w:rPr>
            </w:pPr>
          </w:p>
        </w:tc>
        <w:tc>
          <w:tcPr>
            <w:tcW w:w="900" w:type="dxa"/>
            <w:vAlign w:val="bottom"/>
            <w:tcBorders>
              <w:bottom w:val="single" w:sz="8" w:color="E6E7EB"/>
            </w:tcBorders>
            <w:gridSpan w:val="2"/>
          </w:tcPr>
          <w:p>
            <w:pPr>
              <w:spacing w:after="0"/>
              <w:rPr>
                <w:sz w:val="17"/>
                <w:szCs w:val="17"/>
                <w:color w:val="auto"/>
              </w:rPr>
            </w:pPr>
          </w:p>
        </w:tc>
        <w:tc>
          <w:tcPr>
            <w:tcW w:w="1020" w:type="dxa"/>
            <w:vAlign w:val="bottom"/>
            <w:tcBorders>
              <w:bottom w:val="single" w:sz="8" w:color="E6E7EB"/>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820" w:type="dxa"/>
            <w:vAlign w:val="bottom"/>
          </w:tcPr>
          <w:p>
            <w:pPr>
              <w:ind w:left="20"/>
              <w:spacing w:after="0"/>
              <w:rPr>
                <w:sz w:val="20"/>
                <w:szCs w:val="20"/>
                <w:color w:val="auto"/>
              </w:rPr>
            </w:pPr>
            <w:r>
              <w:rPr>
                <w:rFonts w:ascii="Arial" w:cs="Arial" w:eastAsia="Arial" w:hAnsi="Arial"/>
                <w:sz w:val="14"/>
                <w:szCs w:val="14"/>
                <w:b w:val="1"/>
                <w:bCs w:val="1"/>
                <w:color w:val="1A3FD6"/>
              </w:rPr>
              <w:t>Scott A. Crum</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700,000</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color w:val="auto"/>
              </w:rPr>
              <w:t>533,480</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140,000</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673,480</w:t>
            </w:r>
          </w:p>
        </w:tc>
        <w:tc>
          <w:tcPr>
            <w:tcW w:w="0" w:type="dxa"/>
            <w:vAlign w:val="bottom"/>
          </w:tcPr>
          <w:p>
            <w:pPr>
              <w:spacing w:after="0"/>
              <w:rPr>
                <w:sz w:val="1"/>
                <w:szCs w:val="1"/>
                <w:color w:val="auto"/>
              </w:rPr>
            </w:pPr>
          </w:p>
        </w:tc>
      </w:tr>
      <w:tr>
        <w:trPr>
          <w:trHeight w:val="272"/>
        </w:trPr>
        <w:tc>
          <w:tcPr>
            <w:tcW w:w="6160" w:type="dxa"/>
            <w:vAlign w:val="bottom"/>
            <w:tcBorders>
              <w:bottom w:val="single" w:sz="8" w:color="1A3FD6"/>
            </w:tcBorders>
            <w:gridSpan w:val="10"/>
          </w:tcPr>
          <w:p>
            <w:pPr>
              <w:spacing w:after="0"/>
              <w:rPr>
                <w:sz w:val="23"/>
                <w:szCs w:val="23"/>
                <w:color w:val="auto"/>
              </w:rPr>
            </w:pPr>
          </w:p>
        </w:tc>
        <w:tc>
          <w:tcPr>
            <w:tcW w:w="1260" w:type="dxa"/>
            <w:vAlign w:val="bottom"/>
            <w:tcBorders>
              <w:bottom w:val="single" w:sz="8" w:color="1A3FD6"/>
            </w:tcBorders>
          </w:tcPr>
          <w:p>
            <w:pPr>
              <w:spacing w:after="0"/>
              <w:rPr>
                <w:sz w:val="23"/>
                <w:szCs w:val="23"/>
                <w:color w:val="auto"/>
              </w:rPr>
            </w:pPr>
          </w:p>
        </w:tc>
        <w:tc>
          <w:tcPr>
            <w:tcW w:w="180" w:type="dxa"/>
            <w:vAlign w:val="bottom"/>
            <w:tcBorders>
              <w:bottom w:val="single" w:sz="8" w:color="1A3FD6"/>
            </w:tcBorders>
          </w:tcPr>
          <w:p>
            <w:pPr>
              <w:spacing w:after="0"/>
              <w:rPr>
                <w:sz w:val="23"/>
                <w:szCs w:val="23"/>
                <w:color w:val="auto"/>
              </w:rPr>
            </w:pPr>
          </w:p>
        </w:tc>
        <w:tc>
          <w:tcPr>
            <w:tcW w:w="2620" w:type="dxa"/>
            <w:vAlign w:val="bottom"/>
            <w:tcBorders>
              <w:bottom w:val="single" w:sz="8" w:color="1A3FD6"/>
            </w:tcBorders>
            <w:gridSpan w:val="3"/>
          </w:tcPr>
          <w:p>
            <w:pPr>
              <w:spacing w:after="0"/>
              <w:rPr>
                <w:sz w:val="23"/>
                <w:szCs w:val="23"/>
                <w:color w:val="auto"/>
              </w:rPr>
            </w:pPr>
          </w:p>
        </w:tc>
        <w:tc>
          <w:tcPr>
            <w:tcW w:w="1020" w:type="dxa"/>
            <w:vAlign w:val="bottom"/>
            <w:tcBorders>
              <w:bottom w:val="single" w:sz="8" w:color="1A3FD6"/>
            </w:tcBorders>
          </w:tcPr>
          <w:p>
            <w:pPr>
              <w:spacing w:after="0"/>
              <w:rPr>
                <w:sz w:val="23"/>
                <w:szCs w:val="23"/>
                <w:color w:val="auto"/>
              </w:rPr>
            </w:pPr>
          </w:p>
        </w:tc>
        <w:tc>
          <w:tcPr>
            <w:tcW w:w="0" w:type="dxa"/>
            <w:vAlign w:val="bottom"/>
          </w:tcPr>
          <w:p>
            <w:pPr>
              <w:spacing w:after="0"/>
              <w:rPr>
                <w:sz w:val="1"/>
                <w:szCs w:val="1"/>
                <w:color w:val="auto"/>
              </w:rPr>
            </w:pPr>
          </w:p>
        </w:tc>
      </w:tr>
      <w:tr>
        <w:trPr>
          <w:trHeight w:val="371"/>
        </w:trPr>
        <w:tc>
          <w:tcPr>
            <w:tcW w:w="6160" w:type="dxa"/>
            <w:vAlign w:val="bottom"/>
            <w:gridSpan w:val="10"/>
          </w:tcPr>
          <w:p>
            <w:pPr>
              <w:ind w:left="480"/>
              <w:spacing w:after="0"/>
              <w:rPr>
                <w:sz w:val="20"/>
                <w:szCs w:val="20"/>
                <w:color w:val="auto"/>
              </w:rPr>
            </w:pPr>
            <w:r>
              <w:rPr>
                <w:rFonts w:ascii="Wingdings" w:cs="Wingdings" w:eastAsia="Wingdings" w:hAnsi="Wingdings"/>
                <w:sz w:val="20"/>
                <w:szCs w:val="20"/>
                <w:b w:val="1"/>
                <w:bCs w:val="1"/>
                <w:color w:val="00A798"/>
              </w:rPr>
              <w:t xml:space="preserve">l </w:t>
            </w:r>
            <w:r>
              <w:rPr>
                <w:rFonts w:ascii="Arial" w:cs="Arial" w:eastAsia="Arial" w:hAnsi="Arial"/>
                <w:sz w:val="14"/>
                <w:szCs w:val="14"/>
                <w:color w:val="000000"/>
              </w:rPr>
              <w:t>Financial Component (80%): Total Net Sales 40% + Revenue 20% + Adj. EPS 20%</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3"/>
          </w:tcPr>
          <w:p>
            <w:pPr>
              <w:jc w:val="right"/>
              <w:spacing w:after="0"/>
              <w:rPr>
                <w:sz w:val="20"/>
                <w:szCs w:val="20"/>
                <w:color w:val="auto"/>
              </w:rPr>
            </w:pPr>
            <w:r>
              <w:rPr>
                <w:rFonts w:ascii="Wingdings" w:cs="Wingdings" w:eastAsia="Wingdings" w:hAnsi="Wingdings"/>
                <w:sz w:val="20"/>
                <w:szCs w:val="20"/>
                <w:b w:val="1"/>
                <w:bCs w:val="1"/>
                <w:color w:val="BCBEC0"/>
              </w:rPr>
              <w:t xml:space="preserve">l </w:t>
            </w:r>
            <w:r>
              <w:rPr>
                <w:rFonts w:ascii="Arial" w:cs="Arial" w:eastAsia="Arial" w:hAnsi="Arial"/>
                <w:sz w:val="14"/>
                <w:szCs w:val="14"/>
                <w:color w:val="000000"/>
              </w:rPr>
              <w:t>Culture &amp; Leadership (20%)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-1798955</wp:posOffset>
            </wp:positionV>
            <wp:extent cx="1268730"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68730" cy="1460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-1482090</wp:posOffset>
            </wp:positionV>
            <wp:extent cx="1268730" cy="145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68730" cy="1454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-1164590</wp:posOffset>
            </wp:positionV>
            <wp:extent cx="1268730" cy="146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68730" cy="1460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-847725</wp:posOffset>
            </wp:positionV>
            <wp:extent cx="1268730" cy="1454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68730" cy="1454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-530225</wp:posOffset>
            </wp:positionV>
            <wp:extent cx="1268730" cy="146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68730" cy="146050"/>
                    </a:xfrm>
                    <a:prstGeom prst="rect">
                      <a:avLst/>
                    </a:prstGeom>
                    <a:noFill/>
                  </pic:spPr>
                </pic:pic>
              </a:graphicData>
            </a:graphic>
          </wp:anchor>
        </w:drawing>
      </w:r>
    </w:p>
    <w:p>
      <w:pPr>
        <w:spacing w:after="0" w:line="255" w:lineRule="exact"/>
        <w:rPr>
          <w:sz w:val="20"/>
          <w:szCs w:val="20"/>
          <w:color w:val="auto"/>
        </w:rPr>
      </w:pPr>
    </w:p>
    <w:p>
      <w:pPr>
        <w:ind w:left="280" w:hanging="272"/>
        <w:spacing w:after="0"/>
        <w:tabs>
          <w:tab w:leader="none" w:pos="280" w:val="left"/>
        </w:tabs>
        <w:numPr>
          <w:ilvl w:val="0"/>
          <w:numId w:val="88"/>
        </w:numPr>
        <w:rPr>
          <w:rFonts w:ascii="Arial" w:cs="Arial" w:eastAsia="Arial" w:hAnsi="Arial"/>
          <w:sz w:val="9"/>
          <w:szCs w:val="9"/>
          <w:color w:val="auto"/>
        </w:rPr>
      </w:pPr>
      <w:r>
        <w:rPr>
          <w:rFonts w:ascii="Arial" w:cs="Arial" w:eastAsia="Arial" w:hAnsi="Arial"/>
          <w:sz w:val="14"/>
          <w:szCs w:val="14"/>
          <w:color w:val="auto"/>
        </w:rPr>
        <w:t>For purposes of the AIP, Total Net Sales reflects net new recurring subscription sales plus non-recurring sales weighted at 75%.</w:t>
      </w:r>
    </w:p>
    <w:p>
      <w:pPr>
        <w:spacing w:after="0" w:line="109" w:lineRule="exact"/>
        <w:rPr>
          <w:rFonts w:ascii="Arial" w:cs="Arial" w:eastAsia="Arial" w:hAnsi="Arial"/>
          <w:sz w:val="9"/>
          <w:szCs w:val="9"/>
          <w:color w:val="auto"/>
        </w:rPr>
      </w:pPr>
    </w:p>
    <w:p>
      <w:pPr>
        <w:ind w:left="260" w:right="100" w:hanging="252"/>
        <w:spacing w:after="0" w:line="231" w:lineRule="auto"/>
        <w:tabs>
          <w:tab w:leader="none" w:pos="25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actual cash incentive bonus amount reflected in the table above for Mr. Pettit was converted from British pounds sterling to U.S. dollars using the fiscal year average of daily spot rates of £1 to $1.3184. Mr. Pettit’s actual 2025 target cash incentive amount was £900,000.</w:t>
      </w:r>
    </w:p>
    <w:p>
      <w:pPr>
        <w:spacing w:after="0" w:line="80" w:lineRule="exact"/>
        <w:rPr>
          <w:rFonts w:ascii="Arial" w:cs="Arial" w:eastAsia="Arial" w:hAnsi="Arial"/>
          <w:sz w:val="19"/>
          <w:szCs w:val="19"/>
          <w:color w:val="auto"/>
          <w:vertAlign w:val="superscript"/>
        </w:rPr>
      </w:pPr>
    </w:p>
    <w:p>
      <w:pPr>
        <w:ind w:left="260" w:right="260" w:hanging="252"/>
        <w:spacing w:after="0" w:line="239" w:lineRule="auto"/>
        <w:tabs>
          <w:tab w:leader="none" w:pos="25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actual cash incentive bonus amount reflected in the table above for Mr. Munari was converted from Swiss francs to U.S. dollars using the fiscal year average of daily spot rates of CHF 1 to $1.2065 for fiscal 2025. Mr. Munari’s actual 2025 target cash incentive amount was CHF 850,000.</w:t>
      </w:r>
    </w:p>
    <w:p>
      <w:pPr>
        <w:spacing w:after="0" w:line="13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Beginning in 2026, AIP payouts will be determined entirely by achievement against four financial metrics: Recurring Net New Sales (50% weight), Non-Recurring Sales (10%), Revenue (20%) and Adjusted EPS (20%). Recurring Net New Sales and Non-Recurring Sales will be measured on a quarterly basis, with the final achievement calculated as the average of quarterly results, to reinforce consistent sales execution throughout the year. Payouts for Recurring Net New Sales and Non-Recurring Sales will scale based on performance relative to goals established by the Compensation Committee, with no payout earned for performance below a minimum threshold, and will be measured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419735</wp:posOffset>
            </wp:positionV>
            <wp:extent cx="556895"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Component</w:t>
      </w:r>
    </w:p>
    <w:p>
      <w:pPr>
        <w:spacing w:after="0" w:line="99"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threshold, target and maximum for each financial component making up the AIP, as well as the actual results attained for 2025, are included in the table set forth below. The combined actual performance achievement for all metrics under the financial component of the AIP for 2025 was 95.26% of target.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gridSpan w:val="3"/>
          </w:tcPr>
          <w:p>
            <w:pPr>
              <w:ind w:left="700"/>
              <w:spacing w:after="0"/>
              <w:rPr>
                <w:sz w:val="20"/>
                <w:szCs w:val="20"/>
                <w:color w:val="auto"/>
              </w:rPr>
            </w:pPr>
            <w:r>
              <w:rPr>
                <w:rFonts w:ascii="Arial" w:cs="Arial" w:eastAsia="Arial" w:hAnsi="Arial"/>
                <w:sz w:val="13"/>
                <w:szCs w:val="13"/>
                <w:b w:val="1"/>
                <w:bCs w:val="1"/>
                <w:color w:val="auto"/>
              </w:rPr>
              <w:t>Threshold</w:t>
            </w:r>
          </w:p>
        </w:tc>
        <w:tc>
          <w:tcPr>
            <w:tcW w:w="74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Target</w:t>
            </w:r>
          </w:p>
        </w:tc>
        <w:tc>
          <w:tcPr>
            <w:tcW w:w="2080" w:type="dxa"/>
            <w:vAlign w:val="bottom"/>
            <w:gridSpan w:val="3"/>
          </w:tcPr>
          <w:p>
            <w:pPr>
              <w:ind w:left="680"/>
              <w:spacing w:after="0"/>
              <w:rPr>
                <w:sz w:val="20"/>
                <w:szCs w:val="20"/>
                <w:color w:val="auto"/>
              </w:rPr>
            </w:pPr>
            <w:r>
              <w:rPr>
                <w:rFonts w:ascii="Arial" w:cs="Arial" w:eastAsia="Arial" w:hAnsi="Arial"/>
                <w:sz w:val="13"/>
                <w:szCs w:val="13"/>
                <w:b w:val="1"/>
                <w:bCs w:val="1"/>
                <w:color w:val="auto"/>
              </w:rPr>
              <w:t>Maximum</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Actual</w:t>
            </w:r>
          </w:p>
        </w:tc>
        <w:tc>
          <w:tcPr>
            <w:tcW w:w="860" w:type="dxa"/>
            <w:vAlign w:val="bottom"/>
          </w:tcPr>
          <w:p>
            <w:pPr>
              <w:spacing w:after="0"/>
              <w:rPr>
                <w:sz w:val="14"/>
                <w:szCs w:val="14"/>
                <w:color w:val="auto"/>
              </w:rPr>
            </w:pPr>
          </w:p>
        </w:tc>
      </w:tr>
      <w:tr>
        <w:trPr>
          <w:trHeight w:val="22"/>
        </w:trPr>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bottom w:val="single" w:sz="8" w:color="1A3FD6"/>
            </w:tcBorders>
          </w:tcPr>
          <w:p>
            <w:pPr>
              <w:spacing w:after="0" w:line="20" w:lineRule="exact"/>
              <w:rPr>
                <w:sz w:val="1"/>
                <w:szCs w:val="1"/>
                <w:color w:val="auto"/>
              </w:rPr>
            </w:pPr>
          </w:p>
        </w:tc>
        <w:tc>
          <w:tcPr>
            <w:tcW w:w="1040" w:type="dxa"/>
            <w:vAlign w:val="bottom"/>
            <w:tcBorders>
              <w:bottom w:val="single" w:sz="8" w:color="1A3FD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1A3FD6"/>
            </w:tcBorders>
          </w:tcPr>
          <w:p>
            <w:pPr>
              <w:spacing w:after="0" w:line="20" w:lineRule="exact"/>
              <w:rPr>
                <w:sz w:val="1"/>
                <w:szCs w:val="1"/>
                <w:color w:val="auto"/>
              </w:rPr>
            </w:pPr>
          </w:p>
        </w:tc>
        <w:tc>
          <w:tcPr>
            <w:tcW w:w="1220" w:type="dxa"/>
            <w:vAlign w:val="bottom"/>
            <w:tcBorders>
              <w:bottom w:val="single" w:sz="8" w:color="1A3FD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1A3FD6"/>
            </w:tcBorders>
          </w:tcPr>
          <w:p>
            <w:pPr>
              <w:spacing w:after="0" w:line="20" w:lineRule="exact"/>
              <w:rPr>
                <w:sz w:val="1"/>
                <w:szCs w:val="1"/>
                <w:color w:val="auto"/>
              </w:rPr>
            </w:pPr>
          </w:p>
        </w:tc>
        <w:tc>
          <w:tcPr>
            <w:tcW w:w="1020" w:type="dxa"/>
            <w:vAlign w:val="bottom"/>
            <w:tcBorders>
              <w:bottom w:val="single" w:sz="8" w:color="1A3FD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1A3FD6"/>
            </w:tcBorders>
          </w:tcPr>
          <w:p>
            <w:pPr>
              <w:spacing w:after="0" w:line="20" w:lineRule="exact"/>
              <w:rPr>
                <w:sz w:val="1"/>
                <w:szCs w:val="1"/>
                <w:color w:val="auto"/>
              </w:rPr>
            </w:pPr>
          </w:p>
        </w:tc>
        <w:tc>
          <w:tcPr>
            <w:tcW w:w="860" w:type="dxa"/>
            <w:vAlign w:val="bottom"/>
            <w:tcBorders>
              <w:bottom w:val="single" w:sz="8" w:color="1A3FD6"/>
            </w:tcBorders>
          </w:tcPr>
          <w:p>
            <w:pPr>
              <w:spacing w:after="0" w:line="20" w:lineRule="exact"/>
              <w:rPr>
                <w:sz w:val="1"/>
                <w:szCs w:val="1"/>
                <w:color w:val="auto"/>
              </w:rPr>
            </w:pPr>
          </w:p>
        </w:tc>
      </w:tr>
      <w:tr>
        <w:trPr>
          <w:trHeight w:val="178"/>
        </w:trPr>
        <w:tc>
          <w:tcPr>
            <w:tcW w:w="172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3"/>
                <w:szCs w:val="13"/>
                <w:b w:val="1"/>
                <w:bCs w:val="1"/>
                <w:color w:val="auto"/>
              </w:rPr>
              <w:t>Target</w:t>
            </w:r>
          </w:p>
        </w:tc>
        <w:tc>
          <w:tcPr>
            <w:tcW w:w="960" w:type="dxa"/>
            <w:vAlign w:val="bottom"/>
          </w:tcPr>
          <w:p>
            <w:pPr>
              <w:jc w:val="right"/>
              <w:ind w:right="148"/>
              <w:spacing w:after="0"/>
              <w:rPr>
                <w:sz w:val="20"/>
                <w:szCs w:val="20"/>
                <w:color w:val="auto"/>
              </w:rPr>
            </w:pPr>
            <w:r>
              <w:rPr>
                <w:rFonts w:ascii="Arial" w:cs="Arial" w:eastAsia="Arial" w:hAnsi="Arial"/>
                <w:sz w:val="13"/>
                <w:szCs w:val="13"/>
                <w:b w:val="1"/>
                <w:bCs w:val="1"/>
                <w:color w:val="auto"/>
              </w:rPr>
              <w:t>% Of</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Payout (% Of</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 Of</w:t>
            </w:r>
          </w:p>
        </w:tc>
        <w:tc>
          <w:tcPr>
            <w:tcW w:w="13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Payout (% Of</w:t>
            </w:r>
          </w:p>
        </w:tc>
        <w:tc>
          <w:tcPr>
            <w:tcW w:w="920" w:type="dxa"/>
            <w:vAlign w:val="bottom"/>
          </w:tcPr>
          <w:p>
            <w:pPr>
              <w:jc w:val="right"/>
              <w:ind w:right="148"/>
              <w:spacing w:after="0"/>
              <w:rPr>
                <w:sz w:val="20"/>
                <w:szCs w:val="20"/>
                <w:color w:val="auto"/>
              </w:rPr>
            </w:pPr>
            <w:r>
              <w:rPr>
                <w:rFonts w:ascii="Arial" w:cs="Arial" w:eastAsia="Arial" w:hAnsi="Arial"/>
                <w:sz w:val="13"/>
                <w:szCs w:val="13"/>
                <w:b w:val="1"/>
                <w:bCs w:val="1"/>
                <w:color w:val="auto"/>
              </w:rPr>
              <w:t>% Of</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Payout (% Of</w:t>
            </w:r>
          </w:p>
        </w:tc>
        <w:tc>
          <w:tcPr>
            <w:tcW w:w="1360" w:type="dxa"/>
            <w:vAlign w:val="bottom"/>
          </w:tcPr>
          <w:p>
            <w:pPr>
              <w:jc w:val="right"/>
              <w:ind w:right="348"/>
              <w:spacing w:after="0"/>
              <w:rPr>
                <w:sz w:val="20"/>
                <w:szCs w:val="20"/>
                <w:color w:val="auto"/>
              </w:rPr>
            </w:pPr>
            <w:r>
              <w:rPr>
                <w:rFonts w:ascii="Arial" w:cs="Arial" w:eastAsia="Arial" w:hAnsi="Arial"/>
                <w:sz w:val="13"/>
                <w:szCs w:val="13"/>
                <w:b w:val="1"/>
                <w:bCs w:val="1"/>
                <w:color w:val="auto"/>
              </w:rPr>
              <w:t>% Of</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Payout (% Of</w:t>
            </w:r>
          </w:p>
        </w:tc>
      </w:tr>
      <w:tr>
        <w:trPr>
          <w:trHeight w:val="193"/>
        </w:trPr>
        <w:tc>
          <w:tcPr>
            <w:tcW w:w="1720" w:type="dxa"/>
            <w:vAlign w:val="bottom"/>
            <w:tcBorders>
              <w:bottom w:val="single" w:sz="8" w:color="1A3FD6"/>
            </w:tcBorders>
          </w:tcPr>
          <w:p>
            <w:pPr>
              <w:ind w:left="20"/>
              <w:spacing w:after="0"/>
              <w:rPr>
                <w:sz w:val="20"/>
                <w:szCs w:val="20"/>
                <w:color w:val="auto"/>
              </w:rPr>
            </w:pPr>
            <w:r>
              <w:rPr>
                <w:rFonts w:ascii="Arial" w:cs="Arial" w:eastAsia="Arial" w:hAnsi="Arial"/>
                <w:sz w:val="13"/>
                <w:szCs w:val="13"/>
                <w:b w:val="1"/>
                <w:bCs w:val="1"/>
                <w:color w:val="auto"/>
              </w:rPr>
              <w:t>Metrics</w:t>
            </w:r>
          </w:p>
        </w:tc>
        <w:tc>
          <w:tcPr>
            <w:tcW w:w="980" w:type="dxa"/>
            <w:vAlign w:val="bottom"/>
            <w:tcBorders>
              <w:bottom w:val="single" w:sz="8" w:color="1A3FD6"/>
            </w:tcBorders>
          </w:tcPr>
          <w:p>
            <w:pPr>
              <w:jc w:val="right"/>
              <w:ind w:right="86"/>
              <w:spacing w:after="0"/>
              <w:rPr>
                <w:sz w:val="20"/>
                <w:szCs w:val="20"/>
                <w:color w:val="auto"/>
              </w:rPr>
            </w:pPr>
            <w:r>
              <w:rPr>
                <w:rFonts w:ascii="Arial" w:cs="Arial" w:eastAsia="Arial" w:hAnsi="Arial"/>
                <w:sz w:val="13"/>
                <w:szCs w:val="13"/>
                <w:b w:val="1"/>
                <w:bCs w:val="1"/>
                <w:color w:val="auto"/>
              </w:rPr>
              <w:t>$mm</w:t>
            </w:r>
            <w:r>
              <w:rPr>
                <w:rFonts w:ascii="Arial" w:cs="Arial" w:eastAsia="Arial" w:hAnsi="Arial"/>
                <w:sz w:val="16"/>
                <w:szCs w:val="16"/>
                <w:b w:val="1"/>
                <w:bCs w:val="1"/>
                <w:color w:val="auto"/>
                <w:vertAlign w:val="superscript"/>
              </w:rPr>
              <w:t>(1)</w:t>
            </w:r>
          </w:p>
        </w:tc>
        <w:tc>
          <w:tcPr>
            <w:tcW w:w="960" w:type="dxa"/>
            <w:vAlign w:val="bottom"/>
            <w:tcBorders>
              <w:bottom w:val="single" w:sz="8" w:color="1A3FD6"/>
            </w:tcBorders>
          </w:tcPr>
          <w:p>
            <w:pPr>
              <w:jc w:val="right"/>
              <w:ind w:right="148"/>
              <w:spacing w:after="0"/>
              <w:rPr>
                <w:sz w:val="20"/>
                <w:szCs w:val="20"/>
                <w:color w:val="auto"/>
              </w:rPr>
            </w:pPr>
            <w:r>
              <w:rPr>
                <w:rFonts w:ascii="Arial" w:cs="Arial" w:eastAsia="Arial" w:hAnsi="Arial"/>
                <w:sz w:val="13"/>
                <w:szCs w:val="13"/>
                <w:b w:val="1"/>
                <w:bCs w:val="1"/>
                <w:color w:val="auto"/>
              </w:rPr>
              <w:t>Target</w:t>
            </w:r>
          </w:p>
        </w:tc>
        <w:tc>
          <w:tcPr>
            <w:tcW w:w="1180" w:type="dxa"/>
            <w:vAlign w:val="bottom"/>
            <w:tcBorders>
              <w:bottom w:val="single" w:sz="8" w:color="1A3FD6"/>
            </w:tcBorders>
            <w:gridSpan w:val="2"/>
          </w:tcPr>
          <w:p>
            <w:pPr>
              <w:jc w:val="right"/>
              <w:ind w:right="160"/>
              <w:spacing w:after="0"/>
              <w:rPr>
                <w:sz w:val="20"/>
                <w:szCs w:val="20"/>
                <w:color w:val="auto"/>
              </w:rPr>
            </w:pPr>
            <w:r>
              <w:rPr>
                <w:rFonts w:ascii="Arial" w:cs="Arial" w:eastAsia="Arial" w:hAnsi="Arial"/>
                <w:sz w:val="13"/>
                <w:szCs w:val="13"/>
                <w:b w:val="1"/>
                <w:bCs w:val="1"/>
                <w:color w:val="auto"/>
              </w:rPr>
              <w:t>Opportunity)</w:t>
            </w:r>
          </w:p>
        </w:tc>
        <w:tc>
          <w:tcPr>
            <w:tcW w:w="740" w:type="dxa"/>
            <w:vAlign w:val="bottom"/>
            <w:tcBorders>
              <w:bottom w:val="single" w:sz="8" w:color="1A3FD6"/>
            </w:tcBorders>
          </w:tcPr>
          <w:p>
            <w:pPr>
              <w:jc w:val="right"/>
              <w:spacing w:after="0"/>
              <w:rPr>
                <w:sz w:val="20"/>
                <w:szCs w:val="20"/>
                <w:color w:val="auto"/>
              </w:rPr>
            </w:pPr>
            <w:r>
              <w:rPr>
                <w:rFonts w:ascii="Arial" w:cs="Arial" w:eastAsia="Arial" w:hAnsi="Arial"/>
                <w:sz w:val="13"/>
                <w:szCs w:val="13"/>
                <w:b w:val="1"/>
                <w:bCs w:val="1"/>
                <w:color w:val="auto"/>
              </w:rPr>
              <w:t>Target</w:t>
            </w:r>
          </w:p>
        </w:tc>
        <w:tc>
          <w:tcPr>
            <w:tcW w:w="1360" w:type="dxa"/>
            <w:vAlign w:val="bottom"/>
            <w:tcBorders>
              <w:bottom w:val="single" w:sz="8" w:color="1A3FD6"/>
            </w:tcBorders>
            <w:gridSpan w:val="2"/>
          </w:tcPr>
          <w:p>
            <w:pPr>
              <w:jc w:val="right"/>
              <w:ind w:right="160"/>
              <w:spacing w:after="0"/>
              <w:rPr>
                <w:sz w:val="20"/>
                <w:szCs w:val="20"/>
                <w:color w:val="auto"/>
              </w:rPr>
            </w:pPr>
            <w:r>
              <w:rPr>
                <w:rFonts w:ascii="Arial" w:cs="Arial" w:eastAsia="Arial" w:hAnsi="Arial"/>
                <w:sz w:val="13"/>
                <w:szCs w:val="13"/>
                <w:b w:val="1"/>
                <w:bCs w:val="1"/>
                <w:color w:val="auto"/>
              </w:rPr>
              <w:t>Opportunity)</w:t>
            </w:r>
          </w:p>
        </w:tc>
        <w:tc>
          <w:tcPr>
            <w:tcW w:w="920" w:type="dxa"/>
            <w:vAlign w:val="bottom"/>
            <w:tcBorders>
              <w:bottom w:val="single" w:sz="8" w:color="1A3FD6"/>
            </w:tcBorders>
          </w:tcPr>
          <w:p>
            <w:pPr>
              <w:jc w:val="right"/>
              <w:ind w:right="148"/>
              <w:spacing w:after="0"/>
              <w:rPr>
                <w:sz w:val="20"/>
                <w:szCs w:val="20"/>
                <w:color w:val="auto"/>
              </w:rPr>
            </w:pPr>
            <w:r>
              <w:rPr>
                <w:rFonts w:ascii="Arial" w:cs="Arial" w:eastAsia="Arial" w:hAnsi="Arial"/>
                <w:sz w:val="13"/>
                <w:szCs w:val="13"/>
                <w:b w:val="1"/>
                <w:bCs w:val="1"/>
                <w:color w:val="auto"/>
              </w:rPr>
              <w:t>Target</w:t>
            </w:r>
          </w:p>
        </w:tc>
        <w:tc>
          <w:tcPr>
            <w:tcW w:w="1160" w:type="dxa"/>
            <w:vAlign w:val="bottom"/>
            <w:tcBorders>
              <w:bottom w:val="single" w:sz="8" w:color="1A3FD6"/>
            </w:tcBorders>
            <w:gridSpan w:val="2"/>
          </w:tcPr>
          <w:p>
            <w:pPr>
              <w:jc w:val="right"/>
              <w:ind w:right="160"/>
              <w:spacing w:after="0"/>
              <w:rPr>
                <w:sz w:val="20"/>
                <w:szCs w:val="20"/>
                <w:color w:val="auto"/>
              </w:rPr>
            </w:pPr>
            <w:r>
              <w:rPr>
                <w:rFonts w:ascii="Arial" w:cs="Arial" w:eastAsia="Arial" w:hAnsi="Arial"/>
                <w:sz w:val="13"/>
                <w:szCs w:val="13"/>
                <w:b w:val="1"/>
                <w:bCs w:val="1"/>
                <w:color w:val="auto"/>
              </w:rPr>
              <w:t>Opportunity)</w:t>
            </w:r>
          </w:p>
        </w:tc>
        <w:tc>
          <w:tcPr>
            <w:tcW w:w="1360" w:type="dxa"/>
            <w:vAlign w:val="bottom"/>
            <w:tcBorders>
              <w:bottom w:val="single" w:sz="8" w:color="1A3FD6"/>
            </w:tcBorders>
          </w:tcPr>
          <w:p>
            <w:pPr>
              <w:jc w:val="right"/>
              <w:ind w:right="348"/>
              <w:spacing w:after="0"/>
              <w:rPr>
                <w:sz w:val="20"/>
                <w:szCs w:val="20"/>
                <w:color w:val="auto"/>
              </w:rPr>
            </w:pPr>
            <w:r>
              <w:rPr>
                <w:rFonts w:ascii="Arial" w:cs="Arial" w:eastAsia="Arial" w:hAnsi="Arial"/>
                <w:sz w:val="13"/>
                <w:szCs w:val="13"/>
                <w:b w:val="1"/>
                <w:bCs w:val="1"/>
                <w:color w:val="auto"/>
              </w:rPr>
              <w:t>Target</w:t>
            </w:r>
          </w:p>
        </w:tc>
        <w:tc>
          <w:tcPr>
            <w:tcW w:w="860" w:type="dxa"/>
            <w:vAlign w:val="bottom"/>
            <w:tcBorders>
              <w:bottom w:val="single" w:sz="8" w:color="1A3FD6"/>
            </w:tcBorders>
          </w:tcPr>
          <w:p>
            <w:pPr>
              <w:jc w:val="right"/>
              <w:spacing w:after="0"/>
              <w:rPr>
                <w:sz w:val="20"/>
                <w:szCs w:val="20"/>
                <w:color w:val="auto"/>
              </w:rPr>
            </w:pPr>
            <w:r>
              <w:rPr>
                <w:rFonts w:ascii="Arial" w:cs="Arial" w:eastAsia="Arial" w:hAnsi="Arial"/>
                <w:sz w:val="13"/>
                <w:szCs w:val="13"/>
                <w:b w:val="1"/>
                <w:bCs w:val="1"/>
                <w:color w:val="auto"/>
              </w:rPr>
              <w:t>Opportunity)</w:t>
            </w:r>
          </w:p>
        </w:tc>
      </w:tr>
      <w:tr>
        <w:trPr>
          <w:trHeight w:val="221"/>
        </w:trPr>
        <w:tc>
          <w:tcPr>
            <w:tcW w:w="1720" w:type="dxa"/>
            <w:vAlign w:val="bottom"/>
          </w:tcPr>
          <w:p>
            <w:pPr>
              <w:ind w:left="20"/>
              <w:spacing w:after="0"/>
              <w:rPr>
                <w:sz w:val="20"/>
                <w:szCs w:val="20"/>
                <w:color w:val="auto"/>
              </w:rPr>
            </w:pPr>
            <w:r>
              <w:rPr>
                <w:rFonts w:ascii="Arial" w:cs="Arial" w:eastAsia="Arial" w:hAnsi="Arial"/>
                <w:sz w:val="16"/>
                <w:szCs w:val="16"/>
                <w:color w:val="auto"/>
              </w:rPr>
              <w:t>MSCI Revenue</w:t>
            </w:r>
          </w:p>
        </w:tc>
        <w:tc>
          <w:tcPr>
            <w:tcW w:w="980" w:type="dxa"/>
            <w:vAlign w:val="bottom"/>
          </w:tcPr>
          <w:p>
            <w:pPr>
              <w:jc w:val="right"/>
              <w:ind w:right="146"/>
              <w:spacing w:after="0"/>
              <w:rPr>
                <w:sz w:val="20"/>
                <w:szCs w:val="20"/>
                <w:color w:val="auto"/>
              </w:rPr>
            </w:pPr>
            <w:r>
              <w:rPr>
                <w:rFonts w:ascii="Arial" w:cs="Arial" w:eastAsia="Arial" w:hAnsi="Arial"/>
                <w:sz w:val="16"/>
                <w:szCs w:val="16"/>
                <w:color w:val="auto"/>
              </w:rPr>
              <w:t>3,121.5</w:t>
            </w:r>
          </w:p>
        </w:tc>
        <w:tc>
          <w:tcPr>
            <w:tcW w:w="960" w:type="dxa"/>
            <w:vAlign w:val="bottom"/>
          </w:tcPr>
          <w:p>
            <w:pPr>
              <w:jc w:val="right"/>
              <w:ind w:right="148"/>
              <w:spacing w:after="0"/>
              <w:rPr>
                <w:sz w:val="20"/>
                <w:szCs w:val="20"/>
                <w:color w:val="auto"/>
              </w:rPr>
            </w:pPr>
            <w:r>
              <w:rPr>
                <w:rFonts w:ascii="Arial" w:cs="Arial" w:eastAsia="Arial" w:hAnsi="Arial"/>
                <w:sz w:val="16"/>
                <w:szCs w:val="16"/>
                <w:color w:val="auto"/>
              </w:rPr>
              <w:t>95%</w:t>
            </w: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9"/>
                <w:szCs w:val="19"/>
                <w:color w:val="auto"/>
              </w:rPr>
            </w:pPr>
          </w:p>
        </w:tc>
        <w:tc>
          <w:tcPr>
            <w:tcW w:w="920" w:type="dxa"/>
            <w:vAlign w:val="bottom"/>
          </w:tcPr>
          <w:p>
            <w:pPr>
              <w:jc w:val="right"/>
              <w:ind w:right="148"/>
              <w:spacing w:after="0"/>
              <w:rPr>
                <w:sz w:val="20"/>
                <w:szCs w:val="20"/>
                <w:color w:val="auto"/>
              </w:rPr>
            </w:pPr>
            <w:r>
              <w:rPr>
                <w:rFonts w:ascii="Arial" w:cs="Arial" w:eastAsia="Arial" w:hAnsi="Arial"/>
                <w:sz w:val="16"/>
                <w:szCs w:val="16"/>
                <w:color w:val="auto"/>
              </w:rPr>
              <w:t>105%</w:t>
            </w: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9"/>
                <w:szCs w:val="19"/>
                <w:color w:val="auto"/>
              </w:rPr>
            </w:pPr>
          </w:p>
        </w:tc>
        <w:tc>
          <w:tcPr>
            <w:tcW w:w="1360" w:type="dxa"/>
            <w:vAlign w:val="bottom"/>
          </w:tcPr>
          <w:p>
            <w:pPr>
              <w:jc w:val="right"/>
              <w:ind w:right="348"/>
              <w:spacing w:after="0"/>
              <w:rPr>
                <w:sz w:val="20"/>
                <w:szCs w:val="20"/>
                <w:color w:val="auto"/>
              </w:rPr>
            </w:pPr>
            <w:r>
              <w:rPr>
                <w:rFonts w:ascii="Arial" w:cs="Arial" w:eastAsia="Arial" w:hAnsi="Arial"/>
                <w:sz w:val="16"/>
                <w:szCs w:val="16"/>
                <w:color w:val="auto"/>
              </w:rPr>
              <w:t>100.4%</w:t>
            </w:r>
          </w:p>
        </w:tc>
        <w:tc>
          <w:tcPr>
            <w:tcW w:w="86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43"/>
        </w:trPr>
        <w:tc>
          <w:tcPr>
            <w:tcW w:w="1720" w:type="dxa"/>
            <w:vAlign w:val="bottom"/>
            <w:tcBorders>
              <w:bottom w:val="single" w:sz="8" w:color="E6E7E8"/>
            </w:tcBorders>
          </w:tcPr>
          <w:p>
            <w:pPr>
              <w:spacing w:after="0"/>
              <w:rPr>
                <w:sz w:val="3"/>
                <w:szCs w:val="3"/>
                <w:color w:val="auto"/>
              </w:rPr>
            </w:pPr>
          </w:p>
        </w:tc>
        <w:tc>
          <w:tcPr>
            <w:tcW w:w="98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c>
          <w:tcPr>
            <w:tcW w:w="140" w:type="dxa"/>
            <w:vAlign w:val="bottom"/>
            <w:tcBorders>
              <w:bottom w:val="single" w:sz="8" w:color="E6E7E8"/>
            </w:tcBorders>
          </w:tcPr>
          <w:p>
            <w:pPr>
              <w:spacing w:after="0"/>
              <w:rPr>
                <w:sz w:val="3"/>
                <w:szCs w:val="3"/>
                <w:color w:val="auto"/>
              </w:rPr>
            </w:pPr>
          </w:p>
        </w:tc>
        <w:tc>
          <w:tcPr>
            <w:tcW w:w="74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140" w:type="dxa"/>
            <w:vAlign w:val="bottom"/>
            <w:tcBorders>
              <w:bottom w:val="single" w:sz="8" w:color="E6E7E8"/>
            </w:tcBorders>
          </w:tcPr>
          <w:p>
            <w:pPr>
              <w:spacing w:after="0"/>
              <w:rPr>
                <w:sz w:val="3"/>
                <w:szCs w:val="3"/>
                <w:color w:val="auto"/>
              </w:rPr>
            </w:pPr>
          </w:p>
        </w:tc>
        <w:tc>
          <w:tcPr>
            <w:tcW w:w="92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1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c>
          <w:tcPr>
            <w:tcW w:w="860" w:type="dxa"/>
            <w:vAlign w:val="bottom"/>
            <w:tcBorders>
              <w:bottom w:val="single" w:sz="8" w:color="E6E7E8"/>
            </w:tcBorders>
          </w:tcPr>
          <w:p>
            <w:pPr>
              <w:spacing w:after="0"/>
              <w:rPr>
                <w:sz w:val="3"/>
                <w:szCs w:val="3"/>
                <w:color w:val="auto"/>
              </w:rPr>
            </w:pPr>
          </w:p>
        </w:tc>
      </w:tr>
      <w:tr>
        <w:trPr>
          <w:trHeight w:val="221"/>
        </w:trPr>
        <w:tc>
          <w:tcPr>
            <w:tcW w:w="1720" w:type="dxa"/>
            <w:vAlign w:val="bottom"/>
          </w:tcPr>
          <w:p>
            <w:pPr>
              <w:ind w:left="20"/>
              <w:spacing w:after="0"/>
              <w:rPr>
                <w:sz w:val="20"/>
                <w:szCs w:val="20"/>
                <w:color w:val="auto"/>
              </w:rPr>
            </w:pPr>
            <w:r>
              <w:rPr>
                <w:rFonts w:ascii="Arial" w:cs="Arial" w:eastAsia="Arial" w:hAnsi="Arial"/>
                <w:sz w:val="16"/>
                <w:szCs w:val="16"/>
                <w:color w:val="auto"/>
              </w:rPr>
              <w:t>MSCI Adjusted EPS</w:t>
            </w:r>
          </w:p>
        </w:tc>
        <w:tc>
          <w:tcPr>
            <w:tcW w:w="980" w:type="dxa"/>
            <w:vAlign w:val="bottom"/>
          </w:tcPr>
          <w:p>
            <w:pPr>
              <w:jc w:val="right"/>
              <w:ind w:right="146"/>
              <w:spacing w:after="0"/>
              <w:rPr>
                <w:sz w:val="20"/>
                <w:szCs w:val="20"/>
                <w:color w:val="auto"/>
              </w:rPr>
            </w:pPr>
            <w:r>
              <w:rPr>
                <w:rFonts w:ascii="Arial" w:cs="Arial" w:eastAsia="Arial" w:hAnsi="Arial"/>
                <w:sz w:val="16"/>
                <w:szCs w:val="16"/>
                <w:color w:val="auto"/>
              </w:rPr>
              <w:t>16.88</w:t>
            </w:r>
          </w:p>
        </w:tc>
        <w:tc>
          <w:tcPr>
            <w:tcW w:w="960" w:type="dxa"/>
            <w:vAlign w:val="bottom"/>
          </w:tcPr>
          <w:p>
            <w:pPr>
              <w:jc w:val="right"/>
              <w:ind w:right="148"/>
              <w:spacing w:after="0"/>
              <w:rPr>
                <w:sz w:val="20"/>
                <w:szCs w:val="20"/>
                <w:color w:val="auto"/>
              </w:rPr>
            </w:pPr>
            <w:r>
              <w:rPr>
                <w:rFonts w:ascii="Arial" w:cs="Arial" w:eastAsia="Arial" w:hAnsi="Arial"/>
                <w:sz w:val="16"/>
                <w:szCs w:val="16"/>
                <w:color w:val="auto"/>
              </w:rPr>
              <w:t>90%</w:t>
            </w: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9"/>
                <w:szCs w:val="19"/>
                <w:color w:val="auto"/>
              </w:rPr>
            </w:pPr>
          </w:p>
        </w:tc>
        <w:tc>
          <w:tcPr>
            <w:tcW w:w="920" w:type="dxa"/>
            <w:vAlign w:val="bottom"/>
          </w:tcPr>
          <w:p>
            <w:pPr>
              <w:jc w:val="right"/>
              <w:ind w:right="148"/>
              <w:spacing w:after="0"/>
              <w:rPr>
                <w:sz w:val="20"/>
                <w:szCs w:val="20"/>
                <w:color w:val="auto"/>
              </w:rPr>
            </w:pPr>
            <w:r>
              <w:rPr>
                <w:rFonts w:ascii="Arial" w:cs="Arial" w:eastAsia="Arial" w:hAnsi="Arial"/>
                <w:sz w:val="16"/>
                <w:szCs w:val="16"/>
                <w:color w:val="auto"/>
              </w:rPr>
              <w:t>110%</w:t>
            </w: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9"/>
                <w:szCs w:val="19"/>
                <w:color w:val="auto"/>
              </w:rPr>
            </w:pPr>
          </w:p>
        </w:tc>
        <w:tc>
          <w:tcPr>
            <w:tcW w:w="1360" w:type="dxa"/>
            <w:vAlign w:val="bottom"/>
          </w:tcPr>
          <w:p>
            <w:pPr>
              <w:jc w:val="right"/>
              <w:ind w:right="348"/>
              <w:spacing w:after="0"/>
              <w:rPr>
                <w:sz w:val="20"/>
                <w:szCs w:val="20"/>
                <w:color w:val="auto"/>
              </w:rPr>
            </w:pPr>
            <w:r>
              <w:rPr>
                <w:rFonts w:ascii="Arial" w:cs="Arial" w:eastAsia="Arial" w:hAnsi="Arial"/>
                <w:sz w:val="16"/>
                <w:szCs w:val="16"/>
                <w:color w:val="auto"/>
              </w:rPr>
              <w:t>102.4%</w:t>
            </w:r>
          </w:p>
        </w:tc>
        <w:tc>
          <w:tcPr>
            <w:tcW w:w="86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43"/>
        </w:trPr>
        <w:tc>
          <w:tcPr>
            <w:tcW w:w="1720" w:type="dxa"/>
            <w:vAlign w:val="bottom"/>
            <w:tcBorders>
              <w:bottom w:val="single" w:sz="8" w:color="E6E7E8"/>
            </w:tcBorders>
          </w:tcPr>
          <w:p>
            <w:pPr>
              <w:spacing w:after="0"/>
              <w:rPr>
                <w:sz w:val="3"/>
                <w:szCs w:val="3"/>
                <w:color w:val="auto"/>
              </w:rPr>
            </w:pPr>
          </w:p>
        </w:tc>
        <w:tc>
          <w:tcPr>
            <w:tcW w:w="980" w:type="dxa"/>
            <w:vAlign w:val="bottom"/>
            <w:tcBorders>
              <w:bottom w:val="single" w:sz="8" w:color="E6E7E8"/>
            </w:tcBorders>
          </w:tcPr>
          <w:p>
            <w:pPr>
              <w:spacing w:after="0"/>
              <w:rPr>
                <w:sz w:val="3"/>
                <w:szCs w:val="3"/>
                <w:color w:val="auto"/>
              </w:rPr>
            </w:pPr>
          </w:p>
        </w:tc>
        <w:tc>
          <w:tcPr>
            <w:tcW w:w="96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c>
          <w:tcPr>
            <w:tcW w:w="140" w:type="dxa"/>
            <w:vAlign w:val="bottom"/>
            <w:tcBorders>
              <w:bottom w:val="single" w:sz="8" w:color="E6E7E8"/>
            </w:tcBorders>
          </w:tcPr>
          <w:p>
            <w:pPr>
              <w:spacing w:after="0"/>
              <w:rPr>
                <w:sz w:val="3"/>
                <w:szCs w:val="3"/>
                <w:color w:val="auto"/>
              </w:rPr>
            </w:pPr>
          </w:p>
        </w:tc>
        <w:tc>
          <w:tcPr>
            <w:tcW w:w="74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140" w:type="dxa"/>
            <w:vAlign w:val="bottom"/>
            <w:tcBorders>
              <w:bottom w:val="single" w:sz="8" w:color="E6E7E8"/>
            </w:tcBorders>
          </w:tcPr>
          <w:p>
            <w:pPr>
              <w:spacing w:after="0"/>
              <w:rPr>
                <w:sz w:val="3"/>
                <w:szCs w:val="3"/>
                <w:color w:val="auto"/>
              </w:rPr>
            </w:pPr>
          </w:p>
        </w:tc>
        <w:tc>
          <w:tcPr>
            <w:tcW w:w="92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1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c>
          <w:tcPr>
            <w:tcW w:w="860" w:type="dxa"/>
            <w:vAlign w:val="bottom"/>
            <w:tcBorders>
              <w:bottom w:val="single" w:sz="8" w:color="E6E7E8"/>
            </w:tcBorders>
          </w:tcPr>
          <w:p>
            <w:pPr>
              <w:spacing w:after="0"/>
              <w:rPr>
                <w:sz w:val="3"/>
                <w:szCs w:val="3"/>
                <w:color w:val="auto"/>
              </w:rPr>
            </w:pPr>
          </w:p>
        </w:tc>
      </w:tr>
      <w:tr>
        <w:trPr>
          <w:trHeight w:val="209"/>
        </w:trPr>
        <w:tc>
          <w:tcPr>
            <w:tcW w:w="1720" w:type="dxa"/>
            <w:vAlign w:val="bottom"/>
          </w:tcPr>
          <w:p>
            <w:pPr>
              <w:ind w:left="20"/>
              <w:spacing w:after="0"/>
              <w:rPr>
                <w:sz w:val="20"/>
                <w:szCs w:val="20"/>
                <w:color w:val="auto"/>
              </w:rPr>
            </w:pPr>
            <w:r>
              <w:rPr>
                <w:rFonts w:ascii="Arial" w:cs="Arial" w:eastAsia="Arial" w:hAnsi="Arial"/>
                <w:sz w:val="16"/>
                <w:szCs w:val="16"/>
                <w:color w:val="auto"/>
              </w:rPr>
              <w:t>MSCI Total</w:t>
            </w:r>
          </w:p>
        </w:tc>
        <w:tc>
          <w:tcPr>
            <w:tcW w:w="980" w:type="dxa"/>
            <w:vAlign w:val="bottom"/>
          </w:tcPr>
          <w:p>
            <w:pPr>
              <w:jc w:val="right"/>
              <w:ind w:right="146"/>
              <w:spacing w:after="0"/>
              <w:rPr>
                <w:sz w:val="20"/>
                <w:szCs w:val="20"/>
                <w:color w:val="auto"/>
              </w:rPr>
            </w:pPr>
            <w:r>
              <w:rPr>
                <w:rFonts w:ascii="Arial" w:cs="Arial" w:eastAsia="Arial" w:hAnsi="Arial"/>
                <w:sz w:val="16"/>
                <w:szCs w:val="16"/>
                <w:color w:val="auto"/>
              </w:rPr>
              <w:t>290.5</w:t>
            </w:r>
          </w:p>
        </w:tc>
        <w:tc>
          <w:tcPr>
            <w:tcW w:w="960" w:type="dxa"/>
            <w:vAlign w:val="bottom"/>
          </w:tcPr>
          <w:p>
            <w:pPr>
              <w:jc w:val="right"/>
              <w:ind w:right="148"/>
              <w:spacing w:after="0"/>
              <w:rPr>
                <w:sz w:val="20"/>
                <w:szCs w:val="20"/>
                <w:color w:val="auto"/>
              </w:rPr>
            </w:pPr>
            <w:r>
              <w:rPr>
                <w:rFonts w:ascii="Arial" w:cs="Arial" w:eastAsia="Arial" w:hAnsi="Arial"/>
                <w:sz w:val="16"/>
                <w:szCs w:val="16"/>
                <w:color w:val="auto"/>
              </w:rPr>
              <w:t>50%</w:t>
            </w:r>
          </w:p>
        </w:tc>
        <w:tc>
          <w:tcPr>
            <w:tcW w:w="104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6"/>
                <w:szCs w:val="16"/>
                <w:color w:val="auto"/>
              </w:rPr>
              <w:t>110%</w:t>
            </w: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1360" w:type="dxa"/>
            <w:vAlign w:val="bottom"/>
          </w:tcPr>
          <w:p>
            <w:pPr>
              <w:jc w:val="right"/>
              <w:ind w:right="348"/>
              <w:spacing w:after="0"/>
              <w:rPr>
                <w:sz w:val="20"/>
                <w:szCs w:val="20"/>
                <w:color w:val="auto"/>
              </w:rPr>
            </w:pPr>
            <w:r>
              <w:rPr>
                <w:rFonts w:ascii="Arial" w:cs="Arial" w:eastAsia="Arial" w:hAnsi="Arial"/>
                <w:sz w:val="16"/>
                <w:szCs w:val="16"/>
                <w:color w:val="auto"/>
              </w:rPr>
              <w:t>82.5%</w:t>
            </w:r>
          </w:p>
        </w:tc>
        <w:tc>
          <w:tcPr>
            <w:tcW w:w="86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257"/>
        </w:trPr>
        <w:tc>
          <w:tcPr>
            <w:tcW w:w="1720" w:type="dxa"/>
            <w:vAlign w:val="bottom"/>
            <w:tcBorders>
              <w:bottom w:val="single" w:sz="8" w:color="1A3FD6"/>
            </w:tcBorders>
          </w:tcPr>
          <w:p>
            <w:pPr>
              <w:ind w:left="20"/>
              <w:spacing w:after="0"/>
              <w:rPr>
                <w:sz w:val="20"/>
                <w:szCs w:val="20"/>
                <w:color w:val="auto"/>
              </w:rPr>
            </w:pPr>
            <w:r>
              <w:rPr>
                <w:rFonts w:ascii="Arial" w:cs="Arial" w:eastAsia="Arial" w:hAnsi="Arial"/>
                <w:sz w:val="16"/>
                <w:szCs w:val="16"/>
                <w:color w:val="auto"/>
              </w:rPr>
              <w:t>Net Sales</w:t>
            </w:r>
            <w:r>
              <w:rPr>
                <w:rFonts w:ascii="Arial" w:cs="Arial" w:eastAsia="Arial" w:hAnsi="Arial"/>
                <w:sz w:val="21"/>
                <w:szCs w:val="21"/>
                <w:color w:val="auto"/>
                <w:vertAlign w:val="superscript"/>
              </w:rPr>
              <w:t>(2)</w:t>
            </w:r>
          </w:p>
        </w:tc>
        <w:tc>
          <w:tcPr>
            <w:tcW w:w="980" w:type="dxa"/>
            <w:vAlign w:val="bottom"/>
            <w:tcBorders>
              <w:bottom w:val="single" w:sz="8" w:color="1A3FD6"/>
            </w:tcBorders>
          </w:tcPr>
          <w:p>
            <w:pPr>
              <w:spacing w:after="0"/>
              <w:rPr>
                <w:sz w:val="22"/>
                <w:szCs w:val="22"/>
                <w:color w:val="auto"/>
              </w:rPr>
            </w:pPr>
          </w:p>
        </w:tc>
        <w:tc>
          <w:tcPr>
            <w:tcW w:w="960" w:type="dxa"/>
            <w:vAlign w:val="bottom"/>
            <w:tcBorders>
              <w:bottom w:val="single" w:sz="8" w:color="1A3FD6"/>
            </w:tcBorders>
          </w:tcPr>
          <w:p>
            <w:pPr>
              <w:spacing w:after="0"/>
              <w:rPr>
                <w:sz w:val="22"/>
                <w:szCs w:val="22"/>
                <w:color w:val="auto"/>
              </w:rPr>
            </w:pPr>
          </w:p>
        </w:tc>
        <w:tc>
          <w:tcPr>
            <w:tcW w:w="1040" w:type="dxa"/>
            <w:vAlign w:val="bottom"/>
            <w:tcBorders>
              <w:bottom w:val="single" w:sz="8" w:color="1A3FD6"/>
            </w:tcBorders>
          </w:tcPr>
          <w:p>
            <w:pPr>
              <w:spacing w:after="0"/>
              <w:rPr>
                <w:sz w:val="22"/>
                <w:szCs w:val="22"/>
                <w:color w:val="auto"/>
              </w:rPr>
            </w:pPr>
          </w:p>
        </w:tc>
        <w:tc>
          <w:tcPr>
            <w:tcW w:w="140" w:type="dxa"/>
            <w:vAlign w:val="bottom"/>
            <w:tcBorders>
              <w:bottom w:val="single" w:sz="8" w:color="1A3FD6"/>
            </w:tcBorders>
          </w:tcPr>
          <w:p>
            <w:pPr>
              <w:spacing w:after="0"/>
              <w:rPr>
                <w:sz w:val="22"/>
                <w:szCs w:val="22"/>
                <w:color w:val="auto"/>
              </w:rPr>
            </w:pPr>
          </w:p>
        </w:tc>
        <w:tc>
          <w:tcPr>
            <w:tcW w:w="740" w:type="dxa"/>
            <w:vAlign w:val="bottom"/>
            <w:tcBorders>
              <w:bottom w:val="single" w:sz="8" w:color="1A3FD6"/>
            </w:tcBorders>
          </w:tcPr>
          <w:p>
            <w:pPr>
              <w:spacing w:after="0"/>
              <w:rPr>
                <w:sz w:val="22"/>
                <w:szCs w:val="22"/>
                <w:color w:val="auto"/>
              </w:rPr>
            </w:pPr>
          </w:p>
        </w:tc>
        <w:tc>
          <w:tcPr>
            <w:tcW w:w="1220" w:type="dxa"/>
            <w:vAlign w:val="bottom"/>
            <w:tcBorders>
              <w:bottom w:val="single" w:sz="8" w:color="1A3FD6"/>
            </w:tcBorders>
          </w:tcPr>
          <w:p>
            <w:pPr>
              <w:spacing w:after="0"/>
              <w:rPr>
                <w:sz w:val="22"/>
                <w:szCs w:val="22"/>
                <w:color w:val="auto"/>
              </w:rPr>
            </w:pPr>
          </w:p>
        </w:tc>
        <w:tc>
          <w:tcPr>
            <w:tcW w:w="140" w:type="dxa"/>
            <w:vAlign w:val="bottom"/>
            <w:tcBorders>
              <w:bottom w:val="single" w:sz="8" w:color="1A3FD6"/>
            </w:tcBorders>
          </w:tcPr>
          <w:p>
            <w:pPr>
              <w:spacing w:after="0"/>
              <w:rPr>
                <w:sz w:val="22"/>
                <w:szCs w:val="22"/>
                <w:color w:val="auto"/>
              </w:rPr>
            </w:pPr>
          </w:p>
        </w:tc>
        <w:tc>
          <w:tcPr>
            <w:tcW w:w="920" w:type="dxa"/>
            <w:vAlign w:val="bottom"/>
            <w:tcBorders>
              <w:bottom w:val="single" w:sz="8" w:color="1A3FD6"/>
            </w:tcBorders>
          </w:tcPr>
          <w:p>
            <w:pPr>
              <w:spacing w:after="0"/>
              <w:rPr>
                <w:sz w:val="22"/>
                <w:szCs w:val="22"/>
                <w:color w:val="auto"/>
              </w:rPr>
            </w:pPr>
          </w:p>
        </w:tc>
        <w:tc>
          <w:tcPr>
            <w:tcW w:w="1020" w:type="dxa"/>
            <w:vAlign w:val="bottom"/>
            <w:tcBorders>
              <w:bottom w:val="single" w:sz="8" w:color="1A3FD6"/>
            </w:tcBorders>
          </w:tcPr>
          <w:p>
            <w:pPr>
              <w:spacing w:after="0"/>
              <w:rPr>
                <w:sz w:val="22"/>
                <w:szCs w:val="22"/>
                <w:color w:val="auto"/>
              </w:rPr>
            </w:pPr>
          </w:p>
        </w:tc>
        <w:tc>
          <w:tcPr>
            <w:tcW w:w="140" w:type="dxa"/>
            <w:vAlign w:val="bottom"/>
            <w:tcBorders>
              <w:bottom w:val="single" w:sz="8" w:color="1A3FD6"/>
            </w:tcBorders>
          </w:tcPr>
          <w:p>
            <w:pPr>
              <w:spacing w:after="0"/>
              <w:rPr>
                <w:sz w:val="22"/>
                <w:szCs w:val="22"/>
                <w:color w:val="auto"/>
              </w:rPr>
            </w:pPr>
          </w:p>
        </w:tc>
        <w:tc>
          <w:tcPr>
            <w:tcW w:w="1360" w:type="dxa"/>
            <w:vAlign w:val="bottom"/>
            <w:tcBorders>
              <w:bottom w:val="single" w:sz="8" w:color="1A3FD6"/>
            </w:tcBorders>
          </w:tcPr>
          <w:p>
            <w:pPr>
              <w:spacing w:after="0"/>
              <w:rPr>
                <w:sz w:val="22"/>
                <w:szCs w:val="22"/>
                <w:color w:val="auto"/>
              </w:rPr>
            </w:pPr>
          </w:p>
        </w:tc>
        <w:tc>
          <w:tcPr>
            <w:tcW w:w="860" w:type="dxa"/>
            <w:vAlign w:val="bottom"/>
            <w:tcBorders>
              <w:bottom w:val="single" w:sz="8" w:color="1A3FD6"/>
            </w:tcBorders>
          </w:tcPr>
          <w:p>
            <w:pPr>
              <w:spacing w:after="0"/>
              <w:rPr>
                <w:sz w:val="22"/>
                <w:szCs w:val="22"/>
                <w:color w:val="auto"/>
              </w:rPr>
            </w:pPr>
          </w:p>
        </w:tc>
      </w:tr>
    </w:tbl>
    <w:p>
      <w:pPr>
        <w:spacing w:after="0" w:line="125"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Except adjusted EPS, which is not stated in millions.</w:t>
      </w:r>
    </w:p>
    <w:p>
      <w:pPr>
        <w:spacing w:after="0" w:line="66" w:lineRule="exact"/>
        <w:rPr>
          <w:rFonts w:ascii="Arial" w:cs="Arial" w:eastAsia="Arial" w:hAnsi="Arial"/>
          <w:sz w:val="19"/>
          <w:szCs w:val="19"/>
          <w:color w:val="auto"/>
          <w:vertAlign w:val="superscript"/>
        </w:rPr>
      </w:pPr>
    </w:p>
    <w:p>
      <w:pPr>
        <w:ind w:left="260" w:right="20" w:hanging="252"/>
        <w:spacing w:after="0" w:line="273" w:lineRule="auto"/>
        <w:tabs>
          <w:tab w:leader="none" w:pos="25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For purposes of the AIP, Total Net Sales reflects net new recurring subscription sales plus non-recurring sales weighted at 75%, with annual achievement calculated based on the average of quarterly achievement percentages against a quarterly goal (each quarter’s actual Total Net Sales as a percentage of its quarterly goal). The cumulative annual Total Net Sales target was $290.5 million. The average of the four quarterly achievement percentages resulted in a combined achievement of 82.5% of target. The quarterly goals were derived from the Board-approved annual operating plan and were set at levels the Compensation Committee considered rigorous. The Company has omitted the individual quarterly target goals and achievement percentages underlying this calculation, because this information is competitively and commercially sensitive and the Company believes that disclosure of such information would result in competitive and commercial harm. The quarterly performance goals are used only for internal purposes and we do not otherwise publicly disclose such targets on a quarterly basis. Disclosure of such quarterly targets would reveal detailed information about the Company’s anticipated sales pipeline and operating plan at a level of specificity beyond what we otherwise report externally that could, in turn, provide competitors insight into our business strategy and operations and our approach to forecasting. As a result, competitors could adjust their own operational objectives or take other competitive measures in light of such information. In addition, disclosure of quarterly target levels and achievement rates is commercially sensitive, as clients engaged in pricing and renewal discussion could use such information to infer the Company’s internal sales expectations and related incentive structures. Accordingly, in an effort to balance providing our shareholders with greater visibility into our performance metrics under the AIP with the competitive and commercial concerns noted above, we have presented information regarding our Total Net Sales targets and actual achievement percentages on an annual basis, consistent with the cumulative performance period under the AIP.</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Individual Goals Component</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The Compensation Committee regularly assesses the individual, non-financial components of the AIP, their weighting and relevant shareholder feedback. For 2025, the Compensation Committee refined the individual goals component for Managing Directors, including our NEOs, to strengthen accountability and provide a more structured approach to assessment. The weighting of financial metrics increased to 80% of the target annual cash bonus (from 70% in 2024), while the individual performance component decreased to 20% (from 30% in 2024, which had been split between individual KPIs (20%) and sustainability goals (10%)).</w:t>
      </w:r>
    </w:p>
    <w:p>
      <w:pPr>
        <w:spacing w:after="0" w:line="10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Compensation Committee eliminated the standalone sustainability goals component and refocused the remaining individual performance component for members of the Management Committee, including our NEOs, on culture and leadership effectiveness, including cross-functional collaboration and contributions to company culture, modeling cultural values, talent development and demonstration of leadership behaviors. The individual performance component was assessed through the Company’s Executive Accountability Framework. This change was designed to provide a more holistic assessment of each executive’s qualitative contributions.</w:t>
      </w:r>
    </w:p>
    <w:p>
      <w:pPr>
        <w:spacing w:after="0" w:line="107"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In 2025, the Compensation Committee based its assessment of each of our NEOs on its evaluation of the Company’s performance and the individual performance of each NEO relating to the following culture and leadership contributions: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514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Henry A. Fernandez</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925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80" w:right="20"/>
        <w:spacing w:after="0" w:line="265" w:lineRule="auto"/>
        <w:rPr>
          <w:sz w:val="20"/>
          <w:szCs w:val="20"/>
          <w:color w:val="auto"/>
        </w:rPr>
      </w:pPr>
      <w:r>
        <w:rPr>
          <w:rFonts w:ascii="Arial" w:cs="Arial" w:eastAsia="Arial" w:hAnsi="Arial"/>
          <w:sz w:val="16"/>
          <w:szCs w:val="16"/>
          <w:color w:val="auto"/>
        </w:rPr>
        <w:t>Mr. Fernandez set the leadership tone across the organization by deepening senior client engagement, driving enterprise-wide organizational simplification and AI adoption, and advancing leadership development through key senior hires, enhanced executive accountability and active sponsorship of employee engagement initiatives. Mr. Fernandez also amplified MSCI’s external credibility through strategic partnerships, industry leadership and global forums while sustaining high levels of employee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514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Andrew C. Wiechmann</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925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390" w:lineRule="exact"/>
        <w:rPr>
          <w:sz w:val="20"/>
          <w:szCs w:val="20"/>
          <w:color w:val="auto"/>
        </w:rPr>
      </w:pPr>
    </w:p>
    <w:p>
      <w:pPr>
        <w:ind w:left="480"/>
        <w:spacing w:after="0" w:line="265" w:lineRule="auto"/>
        <w:rPr>
          <w:sz w:val="20"/>
          <w:szCs w:val="20"/>
          <w:color w:val="auto"/>
        </w:rPr>
      </w:pPr>
      <w:r>
        <w:rPr>
          <w:rFonts w:ascii="Arial" w:cs="Arial" w:eastAsia="Arial" w:hAnsi="Arial"/>
          <w:sz w:val="16"/>
          <w:szCs w:val="16"/>
          <w:color w:val="auto"/>
        </w:rPr>
        <w:t>Mr. Wiechmann fostered a high-performance culture across Finance through organizational actions that strengthened execution, leadership development and succession planning, including the establishment of a Finance Process &amp; Innovation Office to drive continuous improvement and AI transformation, while achieving strong talent retention outcomes, stretch leadership opportunities and expanding mentorship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514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C.D. Baer Pettit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Former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7543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pacing w:after="0" w:line="361" w:lineRule="exact"/>
        <w:rPr>
          <w:sz w:val="20"/>
          <w:szCs w:val="20"/>
          <w:color w:val="auto"/>
        </w:rPr>
      </w:pPr>
    </w:p>
    <w:p>
      <w:pPr>
        <w:jc w:val="both"/>
        <w:ind w:left="480" w:right="440"/>
        <w:spacing w:after="0" w:line="266" w:lineRule="auto"/>
        <w:rPr>
          <w:sz w:val="20"/>
          <w:szCs w:val="20"/>
          <w:color w:val="auto"/>
        </w:rPr>
      </w:pPr>
      <w:r>
        <w:rPr>
          <w:rFonts w:ascii="Arial" w:cs="Arial" w:eastAsia="Arial" w:hAnsi="Arial"/>
          <w:sz w:val="16"/>
          <w:szCs w:val="16"/>
          <w:color w:val="auto"/>
        </w:rPr>
        <w:t>Mr. Pettit drove operational excellence by strengthening resilience, quality standards and scalability across MSCI’s operations, including through AI integration across operational workflows and the establishment of enterprise data standards, while visibly supporting MSCI’s employee engagement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514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Alvise J. Munari</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Chief Product Officer and Head of Client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058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80" w:right="20"/>
        <w:spacing w:after="0" w:line="275" w:lineRule="auto"/>
        <w:rPr>
          <w:sz w:val="20"/>
          <w:szCs w:val="20"/>
          <w:color w:val="auto"/>
        </w:rPr>
      </w:pPr>
      <w:r>
        <w:rPr>
          <w:rFonts w:ascii="Arial" w:cs="Arial" w:eastAsia="Arial" w:hAnsi="Arial"/>
          <w:sz w:val="16"/>
          <w:szCs w:val="16"/>
          <w:color w:val="auto"/>
        </w:rPr>
        <w:t>Mr. Munari supported an inclusive leadership culture by driving promotion and succession decisions that reflected global talent and appointing key leaders into critical roles across product functions to strengthen succession depth and business continuity. Mr. Munari also strengthened MSCI’s external profile through industry speaking engagements and participation in global forums.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514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FFFFFF"/>
        </w:rPr>
        <w:t>Scott A. Crum</w:t>
      </w:r>
    </w:p>
    <w:p>
      <w:pPr>
        <w:spacing w:after="0" w:line="61"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925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390" w:lineRule="exact"/>
        <w:rPr>
          <w:sz w:val="20"/>
          <w:szCs w:val="20"/>
          <w:color w:val="auto"/>
        </w:rPr>
      </w:pPr>
    </w:p>
    <w:p>
      <w:pPr>
        <w:ind w:left="480" w:right="100"/>
        <w:spacing w:after="0" w:line="265" w:lineRule="auto"/>
        <w:rPr>
          <w:sz w:val="20"/>
          <w:szCs w:val="20"/>
          <w:color w:val="auto"/>
        </w:rPr>
      </w:pPr>
      <w:r>
        <w:rPr>
          <w:rFonts w:ascii="Arial" w:cs="Arial" w:eastAsia="Arial" w:hAnsi="Arial"/>
          <w:sz w:val="16"/>
          <w:szCs w:val="16"/>
          <w:color w:val="auto"/>
        </w:rPr>
        <w:t>Mr. Crum led a firmwide organizational transformation, including a redesign of levels and titles that significantly improved spans, layers and accountability. Mr. Crum managed programs that advanced AI adoption and ways of working through a refreshed Future of Work policy and company-wide initiatives. He also managed programs that strengthened the MSCI senior leadership team and leadership pipeline across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641350</wp:posOffset>
            </wp:positionV>
            <wp:extent cx="556895"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30" w:right="9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Actual cash incentives paid in respect of 2025 performance were based on actual performance against the financial and individual performance targets under the AIP as set forth in the table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20" w:type="dxa"/>
            <w:vAlign w:val="bottom"/>
          </w:tcPr>
          <w:p>
            <w:pPr>
              <w:jc w:val="center"/>
              <w:ind w:left="524"/>
              <w:spacing w:after="0"/>
              <w:rPr>
                <w:sz w:val="20"/>
                <w:szCs w:val="20"/>
                <w:color w:val="auto"/>
              </w:rPr>
            </w:pPr>
            <w:r>
              <w:rPr>
                <w:rFonts w:ascii="Arial" w:cs="Arial" w:eastAsia="Arial" w:hAnsi="Arial"/>
                <w:sz w:val="14"/>
                <w:szCs w:val="14"/>
                <w:b w:val="1"/>
                <w:bCs w:val="1"/>
                <w:color w:val="auto"/>
              </w:rPr>
              <w:t>2025 Financial</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2025 Individual Performance</w:t>
            </w:r>
          </w:p>
        </w:tc>
        <w:tc>
          <w:tcPr>
            <w:tcW w:w="1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20" w:type="dxa"/>
            <w:vAlign w:val="bottom"/>
          </w:tcPr>
          <w:p>
            <w:pPr>
              <w:jc w:val="center"/>
              <w:ind w:left="524"/>
              <w:spacing w:after="0"/>
              <w:rPr>
                <w:sz w:val="20"/>
                <w:szCs w:val="20"/>
                <w:color w:val="auto"/>
              </w:rPr>
            </w:pPr>
            <w:r>
              <w:rPr>
                <w:rFonts w:ascii="Arial" w:cs="Arial" w:eastAsia="Arial" w:hAnsi="Arial"/>
                <w:sz w:val="14"/>
                <w:szCs w:val="14"/>
                <w:b w:val="1"/>
                <w:bCs w:val="1"/>
                <w:color w:val="auto"/>
              </w:rPr>
              <w:t>Payout (80%</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left="524"/>
              <w:spacing w:after="0"/>
              <w:rPr>
                <w:sz w:val="20"/>
                <w:szCs w:val="20"/>
                <w:color w:val="auto"/>
              </w:rPr>
            </w:pPr>
            <w:r>
              <w:rPr>
                <w:rFonts w:ascii="Arial" w:cs="Arial" w:eastAsia="Arial" w:hAnsi="Arial"/>
                <w:sz w:val="14"/>
                <w:szCs w:val="14"/>
                <w:b w:val="1"/>
                <w:bCs w:val="1"/>
                <w:color w:val="auto"/>
              </w:rPr>
              <w:t>Payout (20%</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2"/>
          </w:tcPr>
          <w:p>
            <w:pPr>
              <w:jc w:val="right"/>
              <w:ind w:right="462"/>
              <w:spacing w:after="0"/>
              <w:rPr>
                <w:sz w:val="20"/>
                <w:szCs w:val="20"/>
                <w:color w:val="auto"/>
              </w:rPr>
            </w:pPr>
            <w:r>
              <w:rPr>
                <w:rFonts w:ascii="Arial" w:cs="Arial" w:eastAsia="Arial" w:hAnsi="Arial"/>
                <w:sz w:val="14"/>
                <w:szCs w:val="14"/>
                <w:b w:val="1"/>
                <w:bCs w:val="1"/>
                <w:color w:val="auto"/>
              </w:rPr>
              <w:t>2025 Total Actual</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84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2025 Target</w:t>
            </w:r>
          </w:p>
        </w:tc>
        <w:tc>
          <w:tcPr>
            <w:tcW w:w="2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Weighting at Target)</w:t>
            </w:r>
          </w:p>
        </w:tc>
        <w:tc>
          <w:tcPr>
            <w:tcW w:w="2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Weighting at Target)</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Cash Incentive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620" w:type="dxa"/>
            <w:vAlign w:val="bottom"/>
            <w:tcBorders>
              <w:bottom w:val="single" w:sz="8" w:color="1A3FD6"/>
            </w:tcBorders>
          </w:tcPr>
          <w:p>
            <w:pPr>
              <w:spacing w:after="0"/>
              <w:rPr>
                <w:sz w:val="2"/>
                <w:szCs w:val="2"/>
                <w:color w:val="auto"/>
              </w:rPr>
            </w:pPr>
          </w:p>
        </w:tc>
        <w:tc>
          <w:tcPr>
            <w:tcW w:w="600" w:type="dxa"/>
            <w:vAlign w:val="bottom"/>
            <w:tcBorders>
              <w:bottom w:val="single" w:sz="8" w:color="1A3FD6"/>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1A3FD6"/>
            </w:tcBorders>
          </w:tcPr>
          <w:p>
            <w:pPr>
              <w:spacing w:after="0"/>
              <w:rPr>
                <w:sz w:val="2"/>
                <w:szCs w:val="2"/>
                <w:color w:val="auto"/>
              </w:rPr>
            </w:pPr>
          </w:p>
        </w:tc>
        <w:tc>
          <w:tcPr>
            <w:tcW w:w="600" w:type="dxa"/>
            <w:vAlign w:val="bottom"/>
            <w:tcBorders>
              <w:bottom w:val="single" w:sz="8" w:color="1A3FD6"/>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1A3FD6"/>
            </w:tcBorders>
          </w:tcPr>
          <w:p>
            <w:pPr>
              <w:spacing w:after="0"/>
              <w:rPr>
                <w:sz w:val="2"/>
                <w:szCs w:val="2"/>
                <w:color w:val="auto"/>
              </w:rPr>
            </w:pPr>
          </w:p>
        </w:tc>
        <w:tc>
          <w:tcPr>
            <w:tcW w:w="60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840" w:type="dxa"/>
            <w:vAlign w:val="bottom"/>
          </w:tcPr>
          <w:p>
            <w:pPr>
              <w:jc w:val="right"/>
              <w:ind w:right="142"/>
              <w:spacing w:after="0"/>
              <w:rPr>
                <w:sz w:val="20"/>
                <w:szCs w:val="20"/>
                <w:color w:val="auto"/>
              </w:rPr>
            </w:pPr>
            <w:r>
              <w:rPr>
                <w:rFonts w:ascii="Arial" w:cs="Arial" w:eastAsia="Arial" w:hAnsi="Arial"/>
                <w:sz w:val="14"/>
                <w:szCs w:val="14"/>
                <w:b w:val="1"/>
                <w:bCs w:val="1"/>
                <w:color w:val="auto"/>
              </w:rPr>
              <w:t>Cash Incentive</w:t>
            </w:r>
          </w:p>
        </w:tc>
        <w:tc>
          <w:tcPr>
            <w:tcW w:w="1620" w:type="dxa"/>
            <w:vAlign w:val="bottom"/>
          </w:tcPr>
          <w:p>
            <w:pPr>
              <w:jc w:val="right"/>
              <w:ind w:right="464"/>
              <w:spacing w:after="0"/>
              <w:rPr>
                <w:sz w:val="20"/>
                <w:szCs w:val="20"/>
                <w:color w:val="auto"/>
              </w:rPr>
            </w:pPr>
            <w:r>
              <w:rPr>
                <w:rFonts w:ascii="Arial" w:cs="Arial" w:eastAsia="Arial" w:hAnsi="Arial"/>
                <w:sz w:val="14"/>
                <w:szCs w:val="14"/>
                <w:b w:val="1"/>
                <w:bCs w:val="1"/>
                <w:color w:val="auto"/>
              </w:rPr>
              <w:t>Value</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 of</w:t>
            </w:r>
          </w:p>
        </w:tc>
        <w:tc>
          <w:tcPr>
            <w:tcW w:w="1540" w:type="dxa"/>
            <w:vAlign w:val="bottom"/>
          </w:tcPr>
          <w:p>
            <w:pPr>
              <w:jc w:val="right"/>
              <w:ind w:right="464"/>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 of</w:t>
            </w:r>
          </w:p>
        </w:tc>
        <w:tc>
          <w:tcPr>
            <w:tcW w:w="1660" w:type="dxa"/>
            <w:vAlign w:val="bottom"/>
          </w:tcPr>
          <w:p>
            <w:pPr>
              <w:jc w:val="right"/>
              <w:ind w:right="483"/>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As % of</w:t>
            </w: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84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Target</w:t>
            </w:r>
          </w:p>
        </w:tc>
        <w:tc>
          <w:tcPr>
            <w:tcW w:w="1540" w:type="dxa"/>
            <w:vAlign w:val="bottom"/>
          </w:tcPr>
          <w:p>
            <w:pPr>
              <w:jc w:val="right"/>
              <w:ind w:right="464"/>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Target</w:t>
            </w:r>
          </w:p>
        </w:tc>
        <w:tc>
          <w:tcPr>
            <w:tcW w:w="1660" w:type="dxa"/>
            <w:vAlign w:val="bottom"/>
          </w:tcPr>
          <w:p>
            <w:pPr>
              <w:jc w:val="right"/>
              <w:ind w:right="483"/>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9"/>
        </w:trPr>
        <w:tc>
          <w:tcPr>
            <w:tcW w:w="2360" w:type="dxa"/>
            <w:vAlign w:val="bottom"/>
            <w:tcBorders>
              <w:bottom w:val="single" w:sz="8" w:color="1A3FD6"/>
            </w:tcBorders>
          </w:tcPr>
          <w:p>
            <w:pPr>
              <w:spacing w:after="0"/>
              <w:rPr>
                <w:sz w:val="2"/>
                <w:szCs w:val="2"/>
                <w:color w:val="auto"/>
              </w:rPr>
            </w:pPr>
          </w:p>
        </w:tc>
        <w:tc>
          <w:tcPr>
            <w:tcW w:w="1840" w:type="dxa"/>
            <w:vAlign w:val="bottom"/>
            <w:tcBorders>
              <w:bottom w:val="single" w:sz="8" w:color="1A3FD6"/>
            </w:tcBorders>
          </w:tcPr>
          <w:p>
            <w:pPr>
              <w:spacing w:after="0"/>
              <w:rPr>
                <w:sz w:val="2"/>
                <w:szCs w:val="2"/>
                <w:color w:val="auto"/>
              </w:rPr>
            </w:pPr>
          </w:p>
        </w:tc>
        <w:tc>
          <w:tcPr>
            <w:tcW w:w="1620" w:type="dxa"/>
            <w:vAlign w:val="bottom"/>
            <w:tcBorders>
              <w:bottom w:val="single" w:sz="8" w:color="1A3FD6"/>
            </w:tcBorders>
          </w:tcPr>
          <w:p>
            <w:pPr>
              <w:spacing w:after="0"/>
              <w:rPr>
                <w:sz w:val="2"/>
                <w:szCs w:val="2"/>
                <w:color w:val="auto"/>
              </w:rPr>
            </w:pPr>
          </w:p>
        </w:tc>
        <w:tc>
          <w:tcPr>
            <w:tcW w:w="600" w:type="dxa"/>
            <w:vAlign w:val="bottom"/>
            <w:tcBorders>
              <w:bottom w:val="single" w:sz="8" w:color="1A3FD6"/>
            </w:tcBorders>
          </w:tcPr>
          <w:p>
            <w:pPr>
              <w:spacing w:after="0"/>
              <w:rPr>
                <w:sz w:val="2"/>
                <w:szCs w:val="2"/>
                <w:color w:val="auto"/>
              </w:rPr>
            </w:pPr>
          </w:p>
        </w:tc>
        <w:tc>
          <w:tcPr>
            <w:tcW w:w="200" w:type="dxa"/>
            <w:vAlign w:val="bottom"/>
            <w:tcBorders>
              <w:bottom w:val="single" w:sz="8" w:color="1A3FD6"/>
            </w:tcBorders>
          </w:tcPr>
          <w:p>
            <w:pPr>
              <w:spacing w:after="0"/>
              <w:rPr>
                <w:sz w:val="2"/>
                <w:szCs w:val="2"/>
                <w:color w:val="auto"/>
              </w:rPr>
            </w:pPr>
          </w:p>
        </w:tc>
        <w:tc>
          <w:tcPr>
            <w:tcW w:w="1540" w:type="dxa"/>
            <w:vAlign w:val="bottom"/>
            <w:tcBorders>
              <w:bottom w:val="single" w:sz="8" w:color="1A3FD6"/>
            </w:tcBorders>
          </w:tcPr>
          <w:p>
            <w:pPr>
              <w:spacing w:after="0"/>
              <w:rPr>
                <w:sz w:val="2"/>
                <w:szCs w:val="2"/>
                <w:color w:val="auto"/>
              </w:rPr>
            </w:pPr>
          </w:p>
        </w:tc>
        <w:tc>
          <w:tcPr>
            <w:tcW w:w="60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660" w:type="dxa"/>
            <w:vAlign w:val="bottom"/>
            <w:tcBorders>
              <w:bottom w:val="single" w:sz="8" w:color="1A3FD6"/>
            </w:tcBorders>
          </w:tcPr>
          <w:p>
            <w:pPr>
              <w:spacing w:after="0"/>
              <w:rPr>
                <w:sz w:val="2"/>
                <w:szCs w:val="2"/>
                <w:color w:val="auto"/>
              </w:rPr>
            </w:pPr>
          </w:p>
        </w:tc>
        <w:tc>
          <w:tcPr>
            <w:tcW w:w="60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840" w:type="dxa"/>
            <w:vAlign w:val="bottom"/>
          </w:tcPr>
          <w:p>
            <w:pPr>
              <w:jc w:val="right"/>
              <w:ind w:right="202"/>
              <w:spacing w:after="0"/>
              <w:rPr>
                <w:sz w:val="20"/>
                <w:szCs w:val="20"/>
                <w:color w:val="auto"/>
              </w:rPr>
            </w:pPr>
            <w:r>
              <w:rPr>
                <w:rFonts w:ascii="Arial" w:cs="Arial" w:eastAsia="Arial" w:hAnsi="Arial"/>
                <w:sz w:val="16"/>
                <w:szCs w:val="16"/>
                <w:color w:val="auto"/>
              </w:rPr>
              <w:t>1,400,000</w:t>
            </w:r>
          </w:p>
        </w:tc>
        <w:tc>
          <w:tcPr>
            <w:tcW w:w="1620" w:type="dxa"/>
            <w:vAlign w:val="bottom"/>
          </w:tcPr>
          <w:p>
            <w:pPr>
              <w:jc w:val="right"/>
              <w:ind w:right="524"/>
              <w:spacing w:after="0"/>
              <w:rPr>
                <w:sz w:val="20"/>
                <w:szCs w:val="20"/>
                <w:color w:val="auto"/>
              </w:rPr>
            </w:pPr>
            <w:r>
              <w:rPr>
                <w:rFonts w:ascii="Arial" w:cs="Arial" w:eastAsia="Arial" w:hAnsi="Arial"/>
                <w:sz w:val="16"/>
                <w:szCs w:val="16"/>
                <w:color w:val="auto"/>
              </w:rPr>
              <w:t>1,066,950</w:t>
            </w:r>
          </w:p>
        </w:tc>
        <w:tc>
          <w:tcPr>
            <w:tcW w:w="600" w:type="dxa"/>
            <w:vAlign w:val="bottom"/>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Pr>
          <w:p>
            <w:pPr>
              <w:spacing w:after="0"/>
              <w:rPr>
                <w:sz w:val="19"/>
                <w:szCs w:val="19"/>
                <w:color w:val="auto"/>
              </w:rPr>
            </w:pPr>
          </w:p>
        </w:tc>
        <w:tc>
          <w:tcPr>
            <w:tcW w:w="1540" w:type="dxa"/>
            <w:vAlign w:val="bottom"/>
          </w:tcPr>
          <w:p>
            <w:pPr>
              <w:jc w:val="right"/>
              <w:ind w:right="524"/>
              <w:spacing w:after="0"/>
              <w:rPr>
                <w:sz w:val="20"/>
                <w:szCs w:val="20"/>
                <w:color w:val="auto"/>
              </w:rPr>
            </w:pPr>
            <w:r>
              <w:rPr>
                <w:rFonts w:ascii="Arial" w:cs="Arial" w:eastAsia="Arial" w:hAnsi="Arial"/>
                <w:sz w:val="16"/>
                <w:szCs w:val="16"/>
                <w:color w:val="auto"/>
              </w:rPr>
              <w:t>280,000</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1660" w:type="dxa"/>
            <w:vAlign w:val="bottom"/>
          </w:tcPr>
          <w:p>
            <w:pPr>
              <w:jc w:val="right"/>
              <w:ind w:right="523"/>
              <w:spacing w:after="0"/>
              <w:rPr>
                <w:sz w:val="20"/>
                <w:szCs w:val="20"/>
                <w:color w:val="auto"/>
              </w:rPr>
            </w:pPr>
            <w:r>
              <w:rPr>
                <w:rFonts w:ascii="Arial" w:cs="Arial" w:eastAsia="Arial" w:hAnsi="Arial"/>
                <w:sz w:val="16"/>
                <w:szCs w:val="16"/>
                <w:color w:val="auto"/>
              </w:rPr>
              <w:t>1,346,950</w:t>
            </w:r>
          </w:p>
        </w:tc>
        <w:tc>
          <w:tcPr>
            <w:tcW w:w="600" w:type="dxa"/>
            <w:vAlign w:val="bottom"/>
          </w:tcPr>
          <w:p>
            <w:pPr>
              <w:jc w:val="right"/>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34"/>
        </w:trPr>
        <w:tc>
          <w:tcPr>
            <w:tcW w:w="2360" w:type="dxa"/>
            <w:vAlign w:val="bottom"/>
            <w:tcBorders>
              <w:bottom w:val="single" w:sz="8" w:color="E6E7E8"/>
            </w:tcBorders>
          </w:tcPr>
          <w:p>
            <w:pPr>
              <w:spacing w:after="0"/>
              <w:rPr>
                <w:sz w:val="3"/>
                <w:szCs w:val="3"/>
                <w:color w:val="auto"/>
              </w:rPr>
            </w:pPr>
          </w:p>
        </w:tc>
        <w:tc>
          <w:tcPr>
            <w:tcW w:w="1840" w:type="dxa"/>
            <w:vAlign w:val="bottom"/>
            <w:tcBorders>
              <w:bottom w:val="single" w:sz="8" w:color="E6E7E8"/>
            </w:tcBorders>
          </w:tcPr>
          <w:p>
            <w:pPr>
              <w:spacing w:after="0"/>
              <w:rPr>
                <w:sz w:val="3"/>
                <w:szCs w:val="3"/>
                <w:color w:val="auto"/>
              </w:rPr>
            </w:pPr>
          </w:p>
        </w:tc>
        <w:tc>
          <w:tcPr>
            <w:tcW w:w="1620" w:type="dxa"/>
            <w:vAlign w:val="bottom"/>
            <w:tcBorders>
              <w:bottom w:val="single" w:sz="8" w:color="E6E7E8"/>
            </w:tcBorders>
          </w:tcPr>
          <w:p>
            <w:pPr>
              <w:spacing w:after="0"/>
              <w:rPr>
                <w:sz w:val="3"/>
                <w:szCs w:val="3"/>
                <w:color w:val="auto"/>
              </w:rPr>
            </w:pPr>
          </w:p>
        </w:tc>
        <w:tc>
          <w:tcPr>
            <w:tcW w:w="600" w:type="dxa"/>
            <w:vAlign w:val="bottom"/>
            <w:tcBorders>
              <w:bottom w:val="single" w:sz="8" w:color="E6E7E8"/>
            </w:tcBorders>
          </w:tcPr>
          <w:p>
            <w:pPr>
              <w:spacing w:after="0"/>
              <w:rPr>
                <w:sz w:val="3"/>
                <w:szCs w:val="3"/>
                <w:color w:val="auto"/>
              </w:rPr>
            </w:pPr>
          </w:p>
        </w:tc>
        <w:tc>
          <w:tcPr>
            <w:tcW w:w="200" w:type="dxa"/>
            <w:vAlign w:val="bottom"/>
            <w:tcBorders>
              <w:bottom w:val="single" w:sz="8" w:color="E6E7E8"/>
            </w:tcBorders>
          </w:tcPr>
          <w:p>
            <w:pPr>
              <w:spacing w:after="0"/>
              <w:rPr>
                <w:sz w:val="3"/>
                <w:szCs w:val="3"/>
                <w:color w:val="auto"/>
              </w:rPr>
            </w:pPr>
          </w:p>
        </w:tc>
        <w:tc>
          <w:tcPr>
            <w:tcW w:w="1540" w:type="dxa"/>
            <w:vAlign w:val="bottom"/>
            <w:tcBorders>
              <w:bottom w:val="single" w:sz="8" w:color="E6E7E8"/>
            </w:tcBorders>
          </w:tcPr>
          <w:p>
            <w:pPr>
              <w:spacing w:after="0"/>
              <w:rPr>
                <w:sz w:val="3"/>
                <w:szCs w:val="3"/>
                <w:color w:val="auto"/>
              </w:rPr>
            </w:pPr>
          </w:p>
        </w:tc>
        <w:tc>
          <w:tcPr>
            <w:tcW w:w="60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660" w:type="dxa"/>
            <w:vAlign w:val="bottom"/>
            <w:tcBorders>
              <w:bottom w:val="single" w:sz="8" w:color="E6E7E8"/>
            </w:tcBorders>
          </w:tcPr>
          <w:p>
            <w:pPr>
              <w:spacing w:after="0"/>
              <w:rPr>
                <w:sz w:val="3"/>
                <w:szCs w:val="3"/>
                <w:color w:val="auto"/>
              </w:rPr>
            </w:pPr>
          </w:p>
        </w:tc>
        <w:tc>
          <w:tcPr>
            <w:tcW w:w="60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840" w:type="dxa"/>
            <w:vAlign w:val="bottom"/>
          </w:tcPr>
          <w:p>
            <w:pPr>
              <w:jc w:val="right"/>
              <w:ind w:right="202"/>
              <w:spacing w:after="0"/>
              <w:rPr>
                <w:sz w:val="20"/>
                <w:szCs w:val="20"/>
                <w:color w:val="auto"/>
              </w:rPr>
            </w:pPr>
            <w:r>
              <w:rPr>
                <w:rFonts w:ascii="Arial" w:cs="Arial" w:eastAsia="Arial" w:hAnsi="Arial"/>
                <w:sz w:val="16"/>
                <w:szCs w:val="16"/>
                <w:color w:val="auto"/>
              </w:rPr>
              <w:t>750,000</w:t>
            </w:r>
          </w:p>
        </w:tc>
        <w:tc>
          <w:tcPr>
            <w:tcW w:w="1620" w:type="dxa"/>
            <w:vAlign w:val="bottom"/>
          </w:tcPr>
          <w:p>
            <w:pPr>
              <w:jc w:val="right"/>
              <w:ind w:right="524"/>
              <w:spacing w:after="0"/>
              <w:rPr>
                <w:sz w:val="20"/>
                <w:szCs w:val="20"/>
                <w:color w:val="auto"/>
              </w:rPr>
            </w:pPr>
            <w:r>
              <w:rPr>
                <w:rFonts w:ascii="Arial" w:cs="Arial" w:eastAsia="Arial" w:hAnsi="Arial"/>
                <w:sz w:val="16"/>
                <w:szCs w:val="16"/>
                <w:color w:val="auto"/>
              </w:rPr>
              <w:t>571,580</w:t>
            </w:r>
          </w:p>
        </w:tc>
        <w:tc>
          <w:tcPr>
            <w:tcW w:w="600" w:type="dxa"/>
            <w:vAlign w:val="bottom"/>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Pr>
          <w:p>
            <w:pPr>
              <w:spacing w:after="0"/>
              <w:rPr>
                <w:sz w:val="19"/>
                <w:szCs w:val="19"/>
                <w:color w:val="auto"/>
              </w:rPr>
            </w:pPr>
          </w:p>
        </w:tc>
        <w:tc>
          <w:tcPr>
            <w:tcW w:w="1540" w:type="dxa"/>
            <w:vAlign w:val="bottom"/>
          </w:tcPr>
          <w:p>
            <w:pPr>
              <w:jc w:val="right"/>
              <w:ind w:right="524"/>
              <w:spacing w:after="0"/>
              <w:rPr>
                <w:sz w:val="20"/>
                <w:szCs w:val="20"/>
                <w:color w:val="auto"/>
              </w:rPr>
            </w:pPr>
            <w:r>
              <w:rPr>
                <w:rFonts w:ascii="Arial" w:cs="Arial" w:eastAsia="Arial" w:hAnsi="Arial"/>
                <w:sz w:val="16"/>
                <w:szCs w:val="16"/>
                <w:color w:val="auto"/>
              </w:rPr>
              <w:t>150,000</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1660" w:type="dxa"/>
            <w:vAlign w:val="bottom"/>
          </w:tcPr>
          <w:p>
            <w:pPr>
              <w:jc w:val="right"/>
              <w:ind w:right="523"/>
              <w:spacing w:after="0"/>
              <w:rPr>
                <w:sz w:val="20"/>
                <w:szCs w:val="20"/>
                <w:color w:val="auto"/>
              </w:rPr>
            </w:pPr>
            <w:r>
              <w:rPr>
                <w:rFonts w:ascii="Arial" w:cs="Arial" w:eastAsia="Arial" w:hAnsi="Arial"/>
                <w:sz w:val="16"/>
                <w:szCs w:val="16"/>
                <w:color w:val="auto"/>
              </w:rPr>
              <w:t>721,580</w:t>
            </w:r>
          </w:p>
        </w:tc>
        <w:tc>
          <w:tcPr>
            <w:tcW w:w="600" w:type="dxa"/>
            <w:vAlign w:val="bottom"/>
          </w:tcPr>
          <w:p>
            <w:pPr>
              <w:jc w:val="right"/>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34"/>
        </w:trPr>
        <w:tc>
          <w:tcPr>
            <w:tcW w:w="2360" w:type="dxa"/>
            <w:vAlign w:val="bottom"/>
            <w:tcBorders>
              <w:bottom w:val="single" w:sz="8" w:color="E6E7E8"/>
            </w:tcBorders>
          </w:tcPr>
          <w:p>
            <w:pPr>
              <w:spacing w:after="0"/>
              <w:rPr>
                <w:sz w:val="3"/>
                <w:szCs w:val="3"/>
                <w:color w:val="auto"/>
              </w:rPr>
            </w:pPr>
          </w:p>
        </w:tc>
        <w:tc>
          <w:tcPr>
            <w:tcW w:w="1840" w:type="dxa"/>
            <w:vAlign w:val="bottom"/>
            <w:tcBorders>
              <w:bottom w:val="single" w:sz="8" w:color="E6E7E8"/>
            </w:tcBorders>
          </w:tcPr>
          <w:p>
            <w:pPr>
              <w:spacing w:after="0"/>
              <w:rPr>
                <w:sz w:val="3"/>
                <w:szCs w:val="3"/>
                <w:color w:val="auto"/>
              </w:rPr>
            </w:pPr>
          </w:p>
        </w:tc>
        <w:tc>
          <w:tcPr>
            <w:tcW w:w="1620" w:type="dxa"/>
            <w:vAlign w:val="bottom"/>
            <w:tcBorders>
              <w:bottom w:val="single" w:sz="8" w:color="E6E7E8"/>
            </w:tcBorders>
          </w:tcPr>
          <w:p>
            <w:pPr>
              <w:spacing w:after="0"/>
              <w:rPr>
                <w:sz w:val="3"/>
                <w:szCs w:val="3"/>
                <w:color w:val="auto"/>
              </w:rPr>
            </w:pPr>
          </w:p>
        </w:tc>
        <w:tc>
          <w:tcPr>
            <w:tcW w:w="600" w:type="dxa"/>
            <w:vAlign w:val="bottom"/>
            <w:tcBorders>
              <w:bottom w:val="single" w:sz="8" w:color="E6E7E8"/>
            </w:tcBorders>
          </w:tcPr>
          <w:p>
            <w:pPr>
              <w:spacing w:after="0"/>
              <w:rPr>
                <w:sz w:val="3"/>
                <w:szCs w:val="3"/>
                <w:color w:val="auto"/>
              </w:rPr>
            </w:pPr>
          </w:p>
        </w:tc>
        <w:tc>
          <w:tcPr>
            <w:tcW w:w="200" w:type="dxa"/>
            <w:vAlign w:val="bottom"/>
            <w:tcBorders>
              <w:bottom w:val="single" w:sz="8" w:color="E6E7E8"/>
            </w:tcBorders>
          </w:tcPr>
          <w:p>
            <w:pPr>
              <w:spacing w:after="0"/>
              <w:rPr>
                <w:sz w:val="3"/>
                <w:szCs w:val="3"/>
                <w:color w:val="auto"/>
              </w:rPr>
            </w:pPr>
          </w:p>
        </w:tc>
        <w:tc>
          <w:tcPr>
            <w:tcW w:w="1540" w:type="dxa"/>
            <w:vAlign w:val="bottom"/>
            <w:tcBorders>
              <w:bottom w:val="single" w:sz="8" w:color="E6E7E8"/>
            </w:tcBorders>
          </w:tcPr>
          <w:p>
            <w:pPr>
              <w:spacing w:after="0"/>
              <w:rPr>
                <w:sz w:val="3"/>
                <w:szCs w:val="3"/>
                <w:color w:val="auto"/>
              </w:rPr>
            </w:pPr>
          </w:p>
        </w:tc>
        <w:tc>
          <w:tcPr>
            <w:tcW w:w="60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660" w:type="dxa"/>
            <w:vAlign w:val="bottom"/>
            <w:tcBorders>
              <w:bottom w:val="single" w:sz="8" w:color="E6E7E8"/>
            </w:tcBorders>
          </w:tcPr>
          <w:p>
            <w:pPr>
              <w:spacing w:after="0"/>
              <w:rPr>
                <w:sz w:val="3"/>
                <w:szCs w:val="3"/>
                <w:color w:val="auto"/>
              </w:rPr>
            </w:pPr>
          </w:p>
        </w:tc>
        <w:tc>
          <w:tcPr>
            <w:tcW w:w="60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6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C.D. Baer Pettit</w:t>
            </w:r>
            <w:r>
              <w:rPr>
                <w:rFonts w:ascii="Arial" w:cs="Arial" w:eastAsia="Arial" w:hAnsi="Arial"/>
                <w:sz w:val="21"/>
                <w:szCs w:val="21"/>
                <w:b w:val="1"/>
                <w:bCs w:val="1"/>
                <w:color w:val="1A3FD6"/>
                <w:vertAlign w:val="superscript"/>
              </w:rPr>
              <w:t>(1)</w:t>
            </w:r>
          </w:p>
        </w:tc>
        <w:tc>
          <w:tcPr>
            <w:tcW w:w="1840" w:type="dxa"/>
            <w:vAlign w:val="bottom"/>
            <w:tcBorders>
              <w:bottom w:val="single" w:sz="8" w:color="E6E7E8"/>
            </w:tcBorders>
          </w:tcPr>
          <w:p>
            <w:pPr>
              <w:jc w:val="right"/>
              <w:ind w:right="202"/>
              <w:spacing w:after="0"/>
              <w:rPr>
                <w:sz w:val="20"/>
                <w:szCs w:val="20"/>
                <w:color w:val="auto"/>
              </w:rPr>
            </w:pPr>
            <w:r>
              <w:rPr>
                <w:rFonts w:ascii="Arial" w:cs="Arial" w:eastAsia="Arial" w:hAnsi="Arial"/>
                <w:sz w:val="16"/>
                <w:szCs w:val="16"/>
                <w:color w:val="auto"/>
              </w:rPr>
              <w:t>1,186,555</w:t>
            </w:r>
          </w:p>
        </w:tc>
        <w:tc>
          <w:tcPr>
            <w:tcW w:w="1620" w:type="dxa"/>
            <w:vAlign w:val="bottom"/>
            <w:tcBorders>
              <w:bottom w:val="single" w:sz="8" w:color="E6E7E8"/>
            </w:tcBorders>
          </w:tcPr>
          <w:p>
            <w:pPr>
              <w:jc w:val="right"/>
              <w:ind w:right="524"/>
              <w:spacing w:after="0"/>
              <w:rPr>
                <w:sz w:val="20"/>
                <w:szCs w:val="20"/>
                <w:color w:val="auto"/>
              </w:rPr>
            </w:pPr>
            <w:r>
              <w:rPr>
                <w:rFonts w:ascii="Arial" w:cs="Arial" w:eastAsia="Arial" w:hAnsi="Arial"/>
                <w:sz w:val="16"/>
                <w:szCs w:val="16"/>
                <w:color w:val="auto"/>
              </w:rPr>
              <w:t>904,287</w:t>
            </w:r>
          </w:p>
        </w:tc>
        <w:tc>
          <w:tcPr>
            <w:tcW w:w="6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Borders>
              <w:bottom w:val="single" w:sz="8" w:color="E6E7E8"/>
            </w:tcBorders>
          </w:tcPr>
          <w:p>
            <w:pPr>
              <w:spacing w:after="0"/>
              <w:rPr>
                <w:sz w:val="22"/>
                <w:szCs w:val="22"/>
                <w:color w:val="auto"/>
              </w:rPr>
            </w:pPr>
          </w:p>
        </w:tc>
        <w:tc>
          <w:tcPr>
            <w:tcW w:w="1540" w:type="dxa"/>
            <w:vAlign w:val="bottom"/>
            <w:tcBorders>
              <w:bottom w:val="single" w:sz="8" w:color="E6E7E8"/>
            </w:tcBorders>
          </w:tcPr>
          <w:p>
            <w:pPr>
              <w:jc w:val="right"/>
              <w:ind w:right="524"/>
              <w:spacing w:after="0"/>
              <w:rPr>
                <w:sz w:val="20"/>
                <w:szCs w:val="20"/>
                <w:color w:val="auto"/>
              </w:rPr>
            </w:pPr>
            <w:r>
              <w:rPr>
                <w:rFonts w:ascii="Arial" w:cs="Arial" w:eastAsia="Arial" w:hAnsi="Arial"/>
                <w:sz w:val="16"/>
                <w:szCs w:val="16"/>
                <w:color w:val="auto"/>
              </w:rPr>
              <w:t>237,311</w:t>
            </w:r>
          </w:p>
        </w:tc>
        <w:tc>
          <w:tcPr>
            <w:tcW w:w="6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E6E7E8"/>
            </w:tcBorders>
          </w:tcPr>
          <w:p>
            <w:pPr>
              <w:spacing w:after="0"/>
              <w:rPr>
                <w:sz w:val="22"/>
                <w:szCs w:val="22"/>
                <w:color w:val="auto"/>
              </w:rPr>
            </w:pPr>
          </w:p>
        </w:tc>
        <w:tc>
          <w:tcPr>
            <w:tcW w:w="1660" w:type="dxa"/>
            <w:vAlign w:val="bottom"/>
            <w:tcBorders>
              <w:bottom w:val="single" w:sz="8" w:color="E6E7E8"/>
            </w:tcBorders>
          </w:tcPr>
          <w:p>
            <w:pPr>
              <w:jc w:val="right"/>
              <w:ind w:right="523"/>
              <w:spacing w:after="0"/>
              <w:rPr>
                <w:sz w:val="20"/>
                <w:szCs w:val="20"/>
                <w:color w:val="auto"/>
              </w:rPr>
            </w:pPr>
            <w:r>
              <w:rPr>
                <w:rFonts w:ascii="Arial" w:cs="Arial" w:eastAsia="Arial" w:hAnsi="Arial"/>
                <w:sz w:val="16"/>
                <w:szCs w:val="16"/>
                <w:color w:val="auto"/>
              </w:rPr>
              <w:t>1,141,598</w:t>
            </w:r>
          </w:p>
        </w:tc>
        <w:tc>
          <w:tcPr>
            <w:tcW w:w="6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263"/>
        </w:trPr>
        <w:tc>
          <w:tcPr>
            <w:tcW w:w="236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Alvise J. Munari</w:t>
            </w:r>
            <w:r>
              <w:rPr>
                <w:rFonts w:ascii="Arial" w:cs="Arial" w:eastAsia="Arial" w:hAnsi="Arial"/>
                <w:sz w:val="21"/>
                <w:szCs w:val="21"/>
                <w:b w:val="1"/>
                <w:bCs w:val="1"/>
                <w:color w:val="1A3FD6"/>
                <w:vertAlign w:val="superscript"/>
              </w:rPr>
              <w:t>(2)</w:t>
            </w:r>
          </w:p>
        </w:tc>
        <w:tc>
          <w:tcPr>
            <w:tcW w:w="1840" w:type="dxa"/>
            <w:vAlign w:val="bottom"/>
            <w:tcBorders>
              <w:bottom w:val="single" w:sz="8" w:color="E6E7E8"/>
            </w:tcBorders>
          </w:tcPr>
          <w:p>
            <w:pPr>
              <w:jc w:val="right"/>
              <w:ind w:right="202"/>
              <w:spacing w:after="0"/>
              <w:rPr>
                <w:sz w:val="20"/>
                <w:szCs w:val="20"/>
                <w:color w:val="auto"/>
              </w:rPr>
            </w:pPr>
            <w:r>
              <w:rPr>
                <w:rFonts w:ascii="Arial" w:cs="Arial" w:eastAsia="Arial" w:hAnsi="Arial"/>
                <w:sz w:val="16"/>
                <w:szCs w:val="16"/>
                <w:color w:val="auto"/>
              </w:rPr>
              <w:t>1,025,515</w:t>
            </w:r>
          </w:p>
        </w:tc>
        <w:tc>
          <w:tcPr>
            <w:tcW w:w="1620" w:type="dxa"/>
            <w:vAlign w:val="bottom"/>
            <w:tcBorders>
              <w:bottom w:val="single" w:sz="8" w:color="E6E7E8"/>
            </w:tcBorders>
          </w:tcPr>
          <w:p>
            <w:pPr>
              <w:jc w:val="right"/>
              <w:ind w:right="524"/>
              <w:spacing w:after="0"/>
              <w:rPr>
                <w:sz w:val="20"/>
                <w:szCs w:val="20"/>
                <w:color w:val="auto"/>
              </w:rPr>
            </w:pPr>
            <w:r>
              <w:rPr>
                <w:rFonts w:ascii="Arial" w:cs="Arial" w:eastAsia="Arial" w:hAnsi="Arial"/>
                <w:sz w:val="16"/>
                <w:szCs w:val="16"/>
                <w:color w:val="auto"/>
              </w:rPr>
              <w:t>781,551</w:t>
            </w:r>
          </w:p>
        </w:tc>
        <w:tc>
          <w:tcPr>
            <w:tcW w:w="6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Borders>
              <w:bottom w:val="single" w:sz="8" w:color="E6E7E8"/>
            </w:tcBorders>
          </w:tcPr>
          <w:p>
            <w:pPr>
              <w:spacing w:after="0"/>
              <w:rPr>
                <w:sz w:val="22"/>
                <w:szCs w:val="22"/>
                <w:color w:val="auto"/>
              </w:rPr>
            </w:pPr>
          </w:p>
        </w:tc>
        <w:tc>
          <w:tcPr>
            <w:tcW w:w="1540" w:type="dxa"/>
            <w:vAlign w:val="bottom"/>
            <w:tcBorders>
              <w:bottom w:val="single" w:sz="8" w:color="E6E7E8"/>
            </w:tcBorders>
          </w:tcPr>
          <w:p>
            <w:pPr>
              <w:jc w:val="right"/>
              <w:ind w:right="524"/>
              <w:spacing w:after="0"/>
              <w:rPr>
                <w:sz w:val="20"/>
                <w:szCs w:val="20"/>
                <w:color w:val="auto"/>
              </w:rPr>
            </w:pPr>
            <w:r>
              <w:rPr>
                <w:rFonts w:ascii="Arial" w:cs="Arial" w:eastAsia="Arial" w:hAnsi="Arial"/>
                <w:sz w:val="16"/>
                <w:szCs w:val="16"/>
                <w:color w:val="auto"/>
              </w:rPr>
              <w:t>205,103</w:t>
            </w:r>
          </w:p>
        </w:tc>
        <w:tc>
          <w:tcPr>
            <w:tcW w:w="6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E6E7E8"/>
            </w:tcBorders>
          </w:tcPr>
          <w:p>
            <w:pPr>
              <w:spacing w:after="0"/>
              <w:rPr>
                <w:sz w:val="22"/>
                <w:szCs w:val="22"/>
                <w:color w:val="auto"/>
              </w:rPr>
            </w:pPr>
          </w:p>
        </w:tc>
        <w:tc>
          <w:tcPr>
            <w:tcW w:w="1660" w:type="dxa"/>
            <w:vAlign w:val="bottom"/>
            <w:tcBorders>
              <w:bottom w:val="single" w:sz="8" w:color="E6E7E8"/>
            </w:tcBorders>
          </w:tcPr>
          <w:p>
            <w:pPr>
              <w:jc w:val="right"/>
              <w:ind w:right="523"/>
              <w:spacing w:after="0"/>
              <w:rPr>
                <w:sz w:val="20"/>
                <w:szCs w:val="20"/>
                <w:color w:val="auto"/>
              </w:rPr>
            </w:pPr>
            <w:r>
              <w:rPr>
                <w:rFonts w:ascii="Arial" w:cs="Arial" w:eastAsia="Arial" w:hAnsi="Arial"/>
                <w:sz w:val="16"/>
                <w:szCs w:val="16"/>
                <w:color w:val="auto"/>
              </w:rPr>
              <w:t>986,654</w:t>
            </w:r>
          </w:p>
        </w:tc>
        <w:tc>
          <w:tcPr>
            <w:tcW w:w="6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1840" w:type="dxa"/>
            <w:vAlign w:val="bottom"/>
          </w:tcPr>
          <w:p>
            <w:pPr>
              <w:jc w:val="right"/>
              <w:ind w:right="202"/>
              <w:spacing w:after="0"/>
              <w:rPr>
                <w:sz w:val="20"/>
                <w:szCs w:val="20"/>
                <w:color w:val="auto"/>
              </w:rPr>
            </w:pPr>
            <w:r>
              <w:rPr>
                <w:rFonts w:ascii="Arial" w:cs="Arial" w:eastAsia="Arial" w:hAnsi="Arial"/>
                <w:sz w:val="16"/>
                <w:szCs w:val="16"/>
                <w:color w:val="auto"/>
              </w:rPr>
              <w:t>700,000</w:t>
            </w:r>
          </w:p>
        </w:tc>
        <w:tc>
          <w:tcPr>
            <w:tcW w:w="1620" w:type="dxa"/>
            <w:vAlign w:val="bottom"/>
          </w:tcPr>
          <w:p>
            <w:pPr>
              <w:jc w:val="right"/>
              <w:ind w:right="524"/>
              <w:spacing w:after="0"/>
              <w:rPr>
                <w:sz w:val="20"/>
                <w:szCs w:val="20"/>
                <w:color w:val="auto"/>
              </w:rPr>
            </w:pPr>
            <w:r>
              <w:rPr>
                <w:rFonts w:ascii="Arial" w:cs="Arial" w:eastAsia="Arial" w:hAnsi="Arial"/>
                <w:sz w:val="16"/>
                <w:szCs w:val="16"/>
                <w:color w:val="auto"/>
              </w:rPr>
              <w:t>533,480</w:t>
            </w:r>
          </w:p>
        </w:tc>
        <w:tc>
          <w:tcPr>
            <w:tcW w:w="600" w:type="dxa"/>
            <w:vAlign w:val="bottom"/>
          </w:tcPr>
          <w:p>
            <w:pPr>
              <w:jc w:val="right"/>
              <w:spacing w:after="0"/>
              <w:rPr>
                <w:sz w:val="20"/>
                <w:szCs w:val="20"/>
                <w:color w:val="auto"/>
              </w:rPr>
            </w:pPr>
            <w:r>
              <w:rPr>
                <w:rFonts w:ascii="Arial" w:cs="Arial" w:eastAsia="Arial" w:hAnsi="Arial"/>
                <w:sz w:val="16"/>
                <w:szCs w:val="16"/>
                <w:color w:val="auto"/>
              </w:rPr>
              <w:t>95.26%</w:t>
            </w:r>
          </w:p>
        </w:tc>
        <w:tc>
          <w:tcPr>
            <w:tcW w:w="200" w:type="dxa"/>
            <w:vAlign w:val="bottom"/>
          </w:tcPr>
          <w:p>
            <w:pPr>
              <w:spacing w:after="0"/>
              <w:rPr>
                <w:sz w:val="19"/>
                <w:szCs w:val="19"/>
                <w:color w:val="auto"/>
              </w:rPr>
            </w:pPr>
          </w:p>
        </w:tc>
        <w:tc>
          <w:tcPr>
            <w:tcW w:w="1540" w:type="dxa"/>
            <w:vAlign w:val="bottom"/>
          </w:tcPr>
          <w:p>
            <w:pPr>
              <w:jc w:val="right"/>
              <w:ind w:right="524"/>
              <w:spacing w:after="0"/>
              <w:rPr>
                <w:sz w:val="20"/>
                <w:szCs w:val="20"/>
                <w:color w:val="auto"/>
              </w:rPr>
            </w:pPr>
            <w:r>
              <w:rPr>
                <w:rFonts w:ascii="Arial" w:cs="Arial" w:eastAsia="Arial" w:hAnsi="Arial"/>
                <w:sz w:val="16"/>
                <w:szCs w:val="16"/>
                <w:color w:val="auto"/>
              </w:rPr>
              <w:t>140,000</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1660" w:type="dxa"/>
            <w:vAlign w:val="bottom"/>
          </w:tcPr>
          <w:p>
            <w:pPr>
              <w:jc w:val="right"/>
              <w:ind w:right="523"/>
              <w:spacing w:after="0"/>
              <w:rPr>
                <w:sz w:val="20"/>
                <w:szCs w:val="20"/>
                <w:color w:val="auto"/>
              </w:rPr>
            </w:pPr>
            <w:r>
              <w:rPr>
                <w:rFonts w:ascii="Arial" w:cs="Arial" w:eastAsia="Arial" w:hAnsi="Arial"/>
                <w:sz w:val="16"/>
                <w:szCs w:val="16"/>
                <w:color w:val="auto"/>
              </w:rPr>
              <w:t>673,480</w:t>
            </w:r>
          </w:p>
        </w:tc>
        <w:tc>
          <w:tcPr>
            <w:tcW w:w="600" w:type="dxa"/>
            <w:vAlign w:val="bottom"/>
          </w:tcPr>
          <w:p>
            <w:pPr>
              <w:jc w:val="right"/>
              <w:spacing w:after="0"/>
              <w:rPr>
                <w:sz w:val="20"/>
                <w:szCs w:val="20"/>
                <w:color w:val="auto"/>
              </w:rPr>
            </w:pPr>
            <w:r>
              <w:rPr>
                <w:rFonts w:ascii="Arial" w:cs="Arial" w:eastAsia="Arial" w:hAnsi="Arial"/>
                <w:sz w:val="16"/>
                <w:szCs w:val="16"/>
                <w:color w:val="auto"/>
              </w:rPr>
              <w:t>96.21%</w:t>
            </w:r>
          </w:p>
        </w:tc>
        <w:tc>
          <w:tcPr>
            <w:tcW w:w="0" w:type="dxa"/>
            <w:vAlign w:val="bottom"/>
          </w:tcPr>
          <w:p>
            <w:pPr>
              <w:spacing w:after="0"/>
              <w:rPr>
                <w:sz w:val="1"/>
                <w:szCs w:val="1"/>
                <w:color w:val="auto"/>
              </w:rPr>
            </w:pPr>
          </w:p>
        </w:tc>
      </w:tr>
      <w:tr>
        <w:trPr>
          <w:trHeight w:val="35"/>
        </w:trPr>
        <w:tc>
          <w:tcPr>
            <w:tcW w:w="2360" w:type="dxa"/>
            <w:vAlign w:val="bottom"/>
            <w:tcBorders>
              <w:bottom w:val="single" w:sz="8" w:color="1A3FD6"/>
            </w:tcBorders>
          </w:tcPr>
          <w:p>
            <w:pPr>
              <w:spacing w:after="0"/>
              <w:rPr>
                <w:sz w:val="3"/>
                <w:szCs w:val="3"/>
                <w:color w:val="auto"/>
              </w:rPr>
            </w:pPr>
          </w:p>
        </w:tc>
        <w:tc>
          <w:tcPr>
            <w:tcW w:w="1840" w:type="dxa"/>
            <w:vAlign w:val="bottom"/>
            <w:tcBorders>
              <w:bottom w:val="single" w:sz="8" w:color="1A3FD6"/>
            </w:tcBorders>
          </w:tcPr>
          <w:p>
            <w:pPr>
              <w:spacing w:after="0"/>
              <w:rPr>
                <w:sz w:val="3"/>
                <w:szCs w:val="3"/>
                <w:color w:val="auto"/>
              </w:rPr>
            </w:pPr>
          </w:p>
        </w:tc>
        <w:tc>
          <w:tcPr>
            <w:tcW w:w="1620" w:type="dxa"/>
            <w:vAlign w:val="bottom"/>
            <w:tcBorders>
              <w:bottom w:val="single" w:sz="8" w:color="1A3FD6"/>
            </w:tcBorders>
          </w:tcPr>
          <w:p>
            <w:pPr>
              <w:spacing w:after="0"/>
              <w:rPr>
                <w:sz w:val="3"/>
                <w:szCs w:val="3"/>
                <w:color w:val="auto"/>
              </w:rPr>
            </w:pPr>
          </w:p>
        </w:tc>
        <w:tc>
          <w:tcPr>
            <w:tcW w:w="600" w:type="dxa"/>
            <w:vAlign w:val="bottom"/>
            <w:tcBorders>
              <w:bottom w:val="single" w:sz="8" w:color="1A3FD6"/>
            </w:tcBorders>
          </w:tcPr>
          <w:p>
            <w:pPr>
              <w:spacing w:after="0"/>
              <w:rPr>
                <w:sz w:val="3"/>
                <w:szCs w:val="3"/>
                <w:color w:val="auto"/>
              </w:rPr>
            </w:pPr>
          </w:p>
        </w:tc>
        <w:tc>
          <w:tcPr>
            <w:tcW w:w="200" w:type="dxa"/>
            <w:vAlign w:val="bottom"/>
            <w:tcBorders>
              <w:bottom w:val="single" w:sz="8" w:color="1A3FD6"/>
            </w:tcBorders>
          </w:tcPr>
          <w:p>
            <w:pPr>
              <w:spacing w:after="0"/>
              <w:rPr>
                <w:sz w:val="3"/>
                <w:szCs w:val="3"/>
                <w:color w:val="auto"/>
              </w:rPr>
            </w:pPr>
          </w:p>
        </w:tc>
        <w:tc>
          <w:tcPr>
            <w:tcW w:w="1540" w:type="dxa"/>
            <w:vAlign w:val="bottom"/>
            <w:tcBorders>
              <w:bottom w:val="single" w:sz="8" w:color="1A3FD6"/>
            </w:tcBorders>
          </w:tcPr>
          <w:p>
            <w:pPr>
              <w:spacing w:after="0"/>
              <w:rPr>
                <w:sz w:val="3"/>
                <w:szCs w:val="3"/>
                <w:color w:val="auto"/>
              </w:rPr>
            </w:pPr>
          </w:p>
        </w:tc>
        <w:tc>
          <w:tcPr>
            <w:tcW w:w="60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660" w:type="dxa"/>
            <w:vAlign w:val="bottom"/>
            <w:tcBorders>
              <w:bottom w:val="single" w:sz="8" w:color="1A3FD6"/>
            </w:tcBorders>
          </w:tcPr>
          <w:p>
            <w:pPr>
              <w:spacing w:after="0"/>
              <w:rPr>
                <w:sz w:val="3"/>
                <w:szCs w:val="3"/>
                <w:color w:val="auto"/>
              </w:rPr>
            </w:pPr>
          </w:p>
        </w:tc>
        <w:tc>
          <w:tcPr>
            <w:tcW w:w="600" w:type="dxa"/>
            <w:vAlign w:val="bottom"/>
            <w:tcBorders>
              <w:bottom w:val="single" w:sz="8" w:color="1A3FD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80" w:hanging="252"/>
        <w:spacing w:after="0" w:line="231" w:lineRule="auto"/>
        <w:tabs>
          <w:tab w:leader="none" w:pos="264"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The actual cash incentive bonus amount reflected in the table above for Mr. Pettit was converted from British pounds sterling to U.S. dollars using the fiscal year average of daily spot rates of £1 to $1.3184.</w:t>
      </w:r>
    </w:p>
    <w:p>
      <w:pPr>
        <w:spacing w:after="0" w:line="66" w:lineRule="exact"/>
        <w:rPr>
          <w:rFonts w:ascii="Arial" w:cs="Arial" w:eastAsia="Arial" w:hAnsi="Arial"/>
          <w:sz w:val="19"/>
          <w:szCs w:val="19"/>
          <w:color w:val="auto"/>
          <w:vertAlign w:val="superscript"/>
        </w:rPr>
      </w:pPr>
    </w:p>
    <w:p>
      <w:pPr>
        <w:ind w:left="260" w:right="260" w:hanging="252"/>
        <w:spacing w:after="0" w:line="231" w:lineRule="auto"/>
        <w:tabs>
          <w:tab w:leader="none" w:pos="25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The actual cash incentive bonus amount reflected in the table above for Mr. Munari was converted from Swiss francs to U.S. dollars using the fiscal year average of daily spot rates of CHF 1 to $1.2065.</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Long-Term Equity Incentive Compensation Program</w:t>
      </w:r>
    </w:p>
    <w:p>
      <w:pPr>
        <w:spacing w:after="0" w:line="114" w:lineRule="exact"/>
        <w:rPr>
          <w:sz w:val="20"/>
          <w:szCs w:val="20"/>
          <w:color w:val="auto"/>
        </w:rPr>
      </w:pPr>
    </w:p>
    <w:p>
      <w:pPr>
        <w:ind w:right="660"/>
        <w:spacing w:after="0" w:line="284" w:lineRule="auto"/>
        <w:rPr>
          <w:sz w:val="20"/>
          <w:szCs w:val="20"/>
          <w:color w:val="auto"/>
        </w:rPr>
      </w:pPr>
      <w:r>
        <w:rPr>
          <w:rFonts w:ascii="Arial" w:cs="Arial" w:eastAsia="Arial" w:hAnsi="Arial"/>
          <w:sz w:val="16"/>
          <w:szCs w:val="16"/>
          <w:color w:val="auto"/>
        </w:rPr>
        <w:t>The Compensation Committee believes that MSCI’s executive compensation program should reinforce a pay-for-performance culture that aligns the interests of our senior executives with those of our shareholders by incorporating the achievement of multi-year performance metrics into variable compensation awards (in addition to the annual financial metrics applicable to cash incentive awards under the AIP).</w:t>
      </w:r>
    </w:p>
    <w:p>
      <w:pPr>
        <w:spacing w:after="0" w:line="10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2025, the Compensation Committee approved an LTIP that was materially consistent with the program in recent years, which is comprised of (i) PSOs that are earned and vest based on achievement of two equally-weighted performance metrics that are directly linked to the Company’s strategic planning— cumulative revenue and cumulative adjusted EPS—each measured over a cumulative three-year performance period, (ii) PSUs earned based on absolute TSR CAGR over a 3-year performance period and (iii) RSU grants that cliff-vest 100% at the end of a three-year service period (rather than annual ratable vesting over a three-year period).</w:t>
      </w:r>
    </w:p>
    <w:p>
      <w:pPr>
        <w:spacing w:after="0" w:line="97" w:lineRule="exact"/>
        <w:rPr>
          <w:sz w:val="20"/>
          <w:szCs w:val="20"/>
          <w:color w:val="auto"/>
        </w:rPr>
      </w:pPr>
    </w:p>
    <w:p>
      <w:pPr>
        <w:ind w:right="260"/>
        <w:spacing w:after="0" w:line="284" w:lineRule="auto"/>
        <w:rPr>
          <w:sz w:val="20"/>
          <w:szCs w:val="20"/>
          <w:color w:val="auto"/>
        </w:rPr>
      </w:pPr>
      <w:r>
        <w:rPr>
          <w:rFonts w:ascii="Arial" w:cs="Arial" w:eastAsia="Arial" w:hAnsi="Arial"/>
          <w:sz w:val="16"/>
          <w:szCs w:val="16"/>
          <w:color w:val="auto"/>
        </w:rPr>
        <w:t>Additionally, to support our “owner-operator” culture, in 2025 the Compensation Committee continued to include a one-year post-vest mandatory holding period to our annual PSUs, including those that were granted to our NEOs, where such after-tax shares, or rights with respect to such shares, may not be sold, transferred or otherwise disposed of until the expiration of such holding period.</w:t>
      </w:r>
    </w:p>
    <w:p>
      <w:pPr>
        <w:spacing w:after="0" w:line="103"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Beginning in 2024, based on feedback received from shareholders, the Compensation Committee reduced the payout maximum under the annual PSUs from 300% to 200% of the target number of shares granted. In addition, the Compensation Committee rebalanced the equity mix (as set forth in the table below) for our NEOs to place greater emphasis on PSOs to highlight the importance of the operating metrics that underlie the performance condition for the PSOs: cumulative revenue and cumulative adjusted EPS. We believe that the cumulative revenue and cumulative adjusted EPS performance metrics will align our executives’ interest with those of our shareholders and drive focus on achievement of longer-term strategic goals.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Equity Mix</w:t>
      </w:r>
    </w:p>
    <w:p>
      <w:pPr>
        <w:spacing w:after="0" w:line="99"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The table below sets forth the allocation of 2025 PSUs, PSOs and RSUs granted to the NEOs. As reflected in the table below, in 2025, Mr. Fernandez and Mr. Pettit received 100% of their equity incentive compensation in the form of PSUs and PSOs.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Vehicle</w:t>
            </w:r>
          </w:p>
        </w:tc>
        <w:tc>
          <w:tcPr>
            <w:tcW w:w="3920" w:type="dxa"/>
            <w:vAlign w:val="bottom"/>
          </w:tcPr>
          <w:p>
            <w:pPr>
              <w:jc w:val="right"/>
              <w:ind w:right="328"/>
              <w:spacing w:after="0"/>
              <w:rPr>
                <w:sz w:val="20"/>
                <w:szCs w:val="20"/>
                <w:color w:val="auto"/>
              </w:rPr>
            </w:pPr>
            <w:r>
              <w:rPr>
                <w:rFonts w:ascii="Arial" w:cs="Arial" w:eastAsia="Arial" w:hAnsi="Arial"/>
                <w:sz w:val="28"/>
                <w:szCs w:val="28"/>
                <w:b w:val="1"/>
                <w:bCs w:val="1"/>
                <w:color w:val="auto"/>
                <w:vertAlign w:val="subscript"/>
              </w:rPr>
              <w:t>CEO</w:t>
            </w:r>
            <w:r>
              <w:rPr>
                <w:rFonts w:ascii="Arial" w:cs="Arial" w:eastAsia="Arial" w:hAnsi="Arial"/>
                <w:sz w:val="9"/>
                <w:szCs w:val="9"/>
                <w:b w:val="1"/>
                <w:bCs w:val="1"/>
                <w:color w:val="auto"/>
              </w:rPr>
              <w:t>(1)</w:t>
            </w:r>
          </w:p>
        </w:tc>
        <w:tc>
          <w:tcPr>
            <w:tcW w:w="2560" w:type="dxa"/>
            <w:vAlign w:val="bottom"/>
          </w:tcPr>
          <w:p>
            <w:pPr>
              <w:jc w:val="right"/>
              <w:ind w:right="221"/>
              <w:spacing w:after="0"/>
              <w:rPr>
                <w:sz w:val="20"/>
                <w:szCs w:val="20"/>
                <w:color w:val="auto"/>
              </w:rPr>
            </w:pPr>
            <w:r>
              <w:rPr>
                <w:rFonts w:ascii="Arial" w:cs="Arial" w:eastAsia="Arial" w:hAnsi="Arial"/>
                <w:sz w:val="14"/>
                <w:szCs w:val="14"/>
                <w:b w:val="1"/>
                <w:bCs w:val="1"/>
                <w:color w:val="auto"/>
              </w:rPr>
              <w:t>Former President and COO</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Other NEOs</w:t>
            </w:r>
          </w:p>
        </w:tc>
      </w:tr>
      <w:tr>
        <w:trPr>
          <w:trHeight w:val="29"/>
        </w:trPr>
        <w:tc>
          <w:tcPr>
            <w:tcW w:w="3620" w:type="dxa"/>
            <w:vAlign w:val="bottom"/>
            <w:tcBorders>
              <w:bottom w:val="single" w:sz="8" w:color="1A3FD6"/>
            </w:tcBorders>
          </w:tcPr>
          <w:p>
            <w:pPr>
              <w:spacing w:after="0"/>
              <w:rPr>
                <w:sz w:val="2"/>
                <w:szCs w:val="2"/>
                <w:color w:val="auto"/>
              </w:rPr>
            </w:pPr>
          </w:p>
        </w:tc>
        <w:tc>
          <w:tcPr>
            <w:tcW w:w="3920" w:type="dxa"/>
            <w:vAlign w:val="bottom"/>
            <w:tcBorders>
              <w:bottom w:val="single" w:sz="8" w:color="1A3FD6"/>
            </w:tcBorders>
          </w:tcPr>
          <w:p>
            <w:pPr>
              <w:spacing w:after="0"/>
              <w:rPr>
                <w:sz w:val="2"/>
                <w:szCs w:val="2"/>
                <w:color w:val="auto"/>
              </w:rPr>
            </w:pPr>
          </w:p>
        </w:tc>
        <w:tc>
          <w:tcPr>
            <w:tcW w:w="2560" w:type="dxa"/>
            <w:vAlign w:val="bottom"/>
            <w:tcBorders>
              <w:bottom w:val="single" w:sz="8" w:color="1A3FD6"/>
            </w:tcBorders>
          </w:tcPr>
          <w:p>
            <w:pPr>
              <w:spacing w:after="0"/>
              <w:rPr>
                <w:sz w:val="2"/>
                <w:szCs w:val="2"/>
                <w:color w:val="auto"/>
              </w:rPr>
            </w:pPr>
          </w:p>
        </w:tc>
        <w:tc>
          <w:tcPr>
            <w:tcW w:w="1140" w:type="dxa"/>
            <w:vAlign w:val="bottom"/>
            <w:tcBorders>
              <w:bottom w:val="single" w:sz="8" w:color="1A3FD6"/>
            </w:tcBorders>
          </w:tcPr>
          <w:p>
            <w:pPr>
              <w:spacing w:after="0"/>
              <w:rPr>
                <w:sz w:val="2"/>
                <w:szCs w:val="2"/>
                <w:color w:val="auto"/>
              </w:rPr>
            </w:pPr>
          </w:p>
        </w:tc>
      </w:tr>
      <w:tr>
        <w:trPr>
          <w:trHeight w:val="221"/>
        </w:trPr>
        <w:tc>
          <w:tcPr>
            <w:tcW w:w="3620" w:type="dxa"/>
            <w:vAlign w:val="bottom"/>
          </w:tcPr>
          <w:p>
            <w:pPr>
              <w:ind w:left="20"/>
              <w:spacing w:after="0"/>
              <w:rPr>
                <w:sz w:val="20"/>
                <w:szCs w:val="20"/>
                <w:color w:val="auto"/>
              </w:rPr>
            </w:pPr>
            <w:r>
              <w:rPr>
                <w:rFonts w:ascii="Arial" w:cs="Arial" w:eastAsia="Arial" w:hAnsi="Arial"/>
                <w:sz w:val="16"/>
                <w:szCs w:val="16"/>
                <w:color w:val="auto"/>
              </w:rPr>
              <w:t>PSUs</w:t>
            </w:r>
          </w:p>
        </w:tc>
        <w:tc>
          <w:tcPr>
            <w:tcW w:w="3920" w:type="dxa"/>
            <w:vAlign w:val="bottom"/>
          </w:tcPr>
          <w:p>
            <w:pPr>
              <w:jc w:val="right"/>
              <w:ind w:right="328"/>
              <w:spacing w:after="0"/>
              <w:rPr>
                <w:sz w:val="20"/>
                <w:szCs w:val="20"/>
                <w:color w:val="auto"/>
              </w:rPr>
            </w:pPr>
            <w:r>
              <w:rPr>
                <w:rFonts w:ascii="Arial" w:cs="Arial" w:eastAsia="Arial" w:hAnsi="Arial"/>
                <w:sz w:val="16"/>
                <w:szCs w:val="16"/>
                <w:color w:val="auto"/>
              </w:rPr>
              <w:t>30%</w:t>
            </w:r>
          </w:p>
        </w:tc>
        <w:tc>
          <w:tcPr>
            <w:tcW w:w="2560" w:type="dxa"/>
            <w:vAlign w:val="bottom"/>
          </w:tcPr>
          <w:p>
            <w:pPr>
              <w:jc w:val="right"/>
              <w:ind w:right="221"/>
              <w:spacing w:after="0"/>
              <w:rPr>
                <w:sz w:val="20"/>
                <w:szCs w:val="20"/>
                <w:color w:val="auto"/>
              </w:rPr>
            </w:pPr>
            <w:r>
              <w:rPr>
                <w:rFonts w:ascii="Arial" w:cs="Arial" w:eastAsia="Arial" w:hAnsi="Arial"/>
                <w:sz w:val="16"/>
                <w:szCs w:val="16"/>
                <w:color w:val="auto"/>
              </w:rPr>
              <w:t>30%</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3"/>
        </w:trPr>
        <w:tc>
          <w:tcPr>
            <w:tcW w:w="3620" w:type="dxa"/>
            <w:vAlign w:val="bottom"/>
            <w:tcBorders>
              <w:bottom w:val="single" w:sz="8" w:color="E6E7E8"/>
            </w:tcBorders>
          </w:tcPr>
          <w:p>
            <w:pPr>
              <w:spacing w:after="0"/>
              <w:rPr>
                <w:sz w:val="3"/>
                <w:szCs w:val="3"/>
                <w:color w:val="auto"/>
              </w:rPr>
            </w:pPr>
          </w:p>
        </w:tc>
        <w:tc>
          <w:tcPr>
            <w:tcW w:w="3920" w:type="dxa"/>
            <w:vAlign w:val="bottom"/>
            <w:tcBorders>
              <w:bottom w:val="single" w:sz="8" w:color="E6E7E8"/>
            </w:tcBorders>
          </w:tcPr>
          <w:p>
            <w:pPr>
              <w:spacing w:after="0"/>
              <w:rPr>
                <w:sz w:val="3"/>
                <w:szCs w:val="3"/>
                <w:color w:val="auto"/>
              </w:rPr>
            </w:pPr>
          </w:p>
        </w:tc>
        <w:tc>
          <w:tcPr>
            <w:tcW w:w="2560" w:type="dxa"/>
            <w:vAlign w:val="bottom"/>
            <w:tcBorders>
              <w:bottom w:val="single" w:sz="8" w:color="E6E7E8"/>
            </w:tcBorders>
          </w:tcPr>
          <w:p>
            <w:pPr>
              <w:spacing w:after="0"/>
              <w:rPr>
                <w:sz w:val="3"/>
                <w:szCs w:val="3"/>
                <w:color w:val="auto"/>
              </w:rPr>
            </w:pPr>
          </w:p>
        </w:tc>
        <w:tc>
          <w:tcPr>
            <w:tcW w:w="1140" w:type="dxa"/>
            <w:vAlign w:val="bottom"/>
            <w:tcBorders>
              <w:bottom w:val="single" w:sz="8" w:color="E6E7E8"/>
            </w:tcBorders>
          </w:tcPr>
          <w:p>
            <w:pPr>
              <w:spacing w:after="0"/>
              <w:rPr>
                <w:sz w:val="3"/>
                <w:szCs w:val="3"/>
                <w:color w:val="auto"/>
              </w:rPr>
            </w:pPr>
          </w:p>
        </w:tc>
      </w:tr>
      <w:tr>
        <w:trPr>
          <w:trHeight w:val="221"/>
        </w:trPr>
        <w:tc>
          <w:tcPr>
            <w:tcW w:w="3620" w:type="dxa"/>
            <w:vAlign w:val="bottom"/>
          </w:tcPr>
          <w:p>
            <w:pPr>
              <w:ind w:left="20"/>
              <w:spacing w:after="0"/>
              <w:rPr>
                <w:sz w:val="20"/>
                <w:szCs w:val="20"/>
                <w:color w:val="auto"/>
              </w:rPr>
            </w:pPr>
            <w:r>
              <w:rPr>
                <w:rFonts w:ascii="Arial" w:cs="Arial" w:eastAsia="Arial" w:hAnsi="Arial"/>
                <w:sz w:val="16"/>
                <w:szCs w:val="16"/>
                <w:color w:val="auto"/>
              </w:rPr>
              <w:t>PSOs</w:t>
            </w:r>
          </w:p>
        </w:tc>
        <w:tc>
          <w:tcPr>
            <w:tcW w:w="3920" w:type="dxa"/>
            <w:vAlign w:val="bottom"/>
          </w:tcPr>
          <w:p>
            <w:pPr>
              <w:jc w:val="right"/>
              <w:ind w:right="328"/>
              <w:spacing w:after="0"/>
              <w:rPr>
                <w:sz w:val="20"/>
                <w:szCs w:val="20"/>
                <w:color w:val="auto"/>
              </w:rPr>
            </w:pPr>
            <w:r>
              <w:rPr>
                <w:rFonts w:ascii="Arial" w:cs="Arial" w:eastAsia="Arial" w:hAnsi="Arial"/>
                <w:sz w:val="16"/>
                <w:szCs w:val="16"/>
                <w:color w:val="auto"/>
              </w:rPr>
              <w:t>70%</w:t>
            </w:r>
          </w:p>
        </w:tc>
        <w:tc>
          <w:tcPr>
            <w:tcW w:w="2560" w:type="dxa"/>
            <w:vAlign w:val="bottom"/>
          </w:tcPr>
          <w:p>
            <w:pPr>
              <w:jc w:val="right"/>
              <w:ind w:right="221"/>
              <w:spacing w:after="0"/>
              <w:rPr>
                <w:sz w:val="20"/>
                <w:szCs w:val="20"/>
                <w:color w:val="auto"/>
              </w:rPr>
            </w:pPr>
            <w:r>
              <w:rPr>
                <w:rFonts w:ascii="Arial" w:cs="Arial" w:eastAsia="Arial" w:hAnsi="Arial"/>
                <w:sz w:val="16"/>
                <w:szCs w:val="16"/>
                <w:color w:val="auto"/>
              </w:rPr>
              <w:t>70%</w:t>
            </w: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3"/>
        </w:trPr>
        <w:tc>
          <w:tcPr>
            <w:tcW w:w="3620" w:type="dxa"/>
            <w:vAlign w:val="bottom"/>
            <w:tcBorders>
              <w:bottom w:val="single" w:sz="8" w:color="E6E7E8"/>
            </w:tcBorders>
          </w:tcPr>
          <w:p>
            <w:pPr>
              <w:spacing w:after="0"/>
              <w:rPr>
                <w:sz w:val="3"/>
                <w:szCs w:val="3"/>
                <w:color w:val="auto"/>
              </w:rPr>
            </w:pPr>
          </w:p>
        </w:tc>
        <w:tc>
          <w:tcPr>
            <w:tcW w:w="3920" w:type="dxa"/>
            <w:vAlign w:val="bottom"/>
            <w:tcBorders>
              <w:bottom w:val="single" w:sz="8" w:color="E6E7E8"/>
            </w:tcBorders>
          </w:tcPr>
          <w:p>
            <w:pPr>
              <w:spacing w:after="0"/>
              <w:rPr>
                <w:sz w:val="3"/>
                <w:szCs w:val="3"/>
                <w:color w:val="auto"/>
              </w:rPr>
            </w:pPr>
          </w:p>
        </w:tc>
        <w:tc>
          <w:tcPr>
            <w:tcW w:w="2560" w:type="dxa"/>
            <w:vAlign w:val="bottom"/>
            <w:tcBorders>
              <w:bottom w:val="single" w:sz="8" w:color="E6E7E8"/>
            </w:tcBorders>
          </w:tcPr>
          <w:p>
            <w:pPr>
              <w:spacing w:after="0"/>
              <w:rPr>
                <w:sz w:val="3"/>
                <w:szCs w:val="3"/>
                <w:color w:val="auto"/>
              </w:rPr>
            </w:pPr>
          </w:p>
        </w:tc>
        <w:tc>
          <w:tcPr>
            <w:tcW w:w="1140" w:type="dxa"/>
            <w:vAlign w:val="bottom"/>
            <w:tcBorders>
              <w:bottom w:val="single" w:sz="8" w:color="E6E7E8"/>
            </w:tcBorders>
          </w:tcPr>
          <w:p>
            <w:pPr>
              <w:spacing w:after="0"/>
              <w:rPr>
                <w:sz w:val="3"/>
                <w:szCs w:val="3"/>
                <w:color w:val="auto"/>
              </w:rPr>
            </w:pPr>
          </w:p>
        </w:tc>
      </w:tr>
      <w:tr>
        <w:trPr>
          <w:trHeight w:val="221"/>
        </w:trPr>
        <w:tc>
          <w:tcPr>
            <w:tcW w:w="3620" w:type="dxa"/>
            <w:vAlign w:val="bottom"/>
          </w:tcPr>
          <w:p>
            <w:pPr>
              <w:ind w:left="20"/>
              <w:spacing w:after="0"/>
              <w:rPr>
                <w:sz w:val="20"/>
                <w:szCs w:val="20"/>
                <w:color w:val="auto"/>
              </w:rPr>
            </w:pPr>
            <w:r>
              <w:rPr>
                <w:rFonts w:ascii="Arial" w:cs="Arial" w:eastAsia="Arial" w:hAnsi="Arial"/>
                <w:sz w:val="16"/>
                <w:szCs w:val="16"/>
                <w:color w:val="auto"/>
              </w:rPr>
              <w:t>RSUs</w:t>
            </w:r>
          </w:p>
        </w:tc>
        <w:tc>
          <w:tcPr>
            <w:tcW w:w="3920" w:type="dxa"/>
            <w:vAlign w:val="bottom"/>
          </w:tcPr>
          <w:p>
            <w:pPr>
              <w:jc w:val="right"/>
              <w:ind w:right="328"/>
              <w:spacing w:after="0"/>
              <w:rPr>
                <w:sz w:val="20"/>
                <w:szCs w:val="20"/>
                <w:color w:val="auto"/>
              </w:rPr>
            </w:pPr>
            <w:r>
              <w:rPr>
                <w:rFonts w:ascii="Arial" w:cs="Arial" w:eastAsia="Arial" w:hAnsi="Arial"/>
                <w:sz w:val="16"/>
                <w:szCs w:val="16"/>
                <w:color w:val="auto"/>
              </w:rPr>
              <w:t>—%</w:t>
            </w:r>
          </w:p>
        </w:tc>
        <w:tc>
          <w:tcPr>
            <w:tcW w:w="256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3"/>
        </w:trPr>
        <w:tc>
          <w:tcPr>
            <w:tcW w:w="3620" w:type="dxa"/>
            <w:vAlign w:val="bottom"/>
            <w:tcBorders>
              <w:bottom w:val="single" w:sz="8" w:color="1A3FD6"/>
            </w:tcBorders>
          </w:tcPr>
          <w:p>
            <w:pPr>
              <w:spacing w:after="0"/>
              <w:rPr>
                <w:sz w:val="3"/>
                <w:szCs w:val="3"/>
                <w:color w:val="auto"/>
              </w:rPr>
            </w:pPr>
          </w:p>
        </w:tc>
        <w:tc>
          <w:tcPr>
            <w:tcW w:w="3920" w:type="dxa"/>
            <w:vAlign w:val="bottom"/>
            <w:tcBorders>
              <w:bottom w:val="single" w:sz="8" w:color="1A3FD6"/>
            </w:tcBorders>
          </w:tcPr>
          <w:p>
            <w:pPr>
              <w:spacing w:after="0"/>
              <w:rPr>
                <w:sz w:val="3"/>
                <w:szCs w:val="3"/>
                <w:color w:val="auto"/>
              </w:rPr>
            </w:pPr>
          </w:p>
        </w:tc>
        <w:tc>
          <w:tcPr>
            <w:tcW w:w="2560" w:type="dxa"/>
            <w:vAlign w:val="bottom"/>
            <w:tcBorders>
              <w:bottom w:val="single" w:sz="8" w:color="1A3FD6"/>
            </w:tcBorders>
          </w:tcPr>
          <w:p>
            <w:pPr>
              <w:spacing w:after="0"/>
              <w:rPr>
                <w:sz w:val="3"/>
                <w:szCs w:val="3"/>
                <w:color w:val="auto"/>
              </w:rPr>
            </w:pPr>
          </w:p>
        </w:tc>
        <w:tc>
          <w:tcPr>
            <w:tcW w:w="1140" w:type="dxa"/>
            <w:vAlign w:val="bottom"/>
            <w:tcBorders>
              <w:bottom w:val="single" w:sz="8" w:color="1A3FD6"/>
            </w:tcBorders>
          </w:tcPr>
          <w:p>
            <w:pPr>
              <w:spacing w:after="0"/>
              <w:rPr>
                <w:sz w:val="3"/>
                <w:szCs w:val="3"/>
                <w:color w:val="auto"/>
              </w:rPr>
            </w:pPr>
          </w:p>
        </w:tc>
      </w:tr>
    </w:tbl>
    <w:p>
      <w:pPr>
        <w:spacing w:after="0" w:line="180" w:lineRule="exact"/>
        <w:rPr>
          <w:sz w:val="20"/>
          <w:szCs w:val="20"/>
          <w:color w:val="auto"/>
        </w:rPr>
      </w:pPr>
    </w:p>
    <w:p>
      <w:pPr>
        <w:ind w:left="260" w:right="160" w:hanging="252"/>
        <w:spacing w:after="0" w:line="303" w:lineRule="auto"/>
        <w:tabs>
          <w:tab w:leader="none" w:pos="264" w:val="left"/>
        </w:tabs>
        <w:numPr>
          <w:ilvl w:val="0"/>
          <w:numId w:val="91"/>
        </w:numPr>
        <w:rPr>
          <w:rFonts w:ascii="Arial" w:cs="Arial" w:eastAsia="Arial" w:hAnsi="Arial"/>
          <w:sz w:val="9"/>
          <w:szCs w:val="9"/>
          <w:color w:val="auto"/>
        </w:rPr>
      </w:pPr>
      <w:r>
        <w:rPr>
          <w:rFonts w:ascii="Arial" w:cs="Arial" w:eastAsia="Arial" w:hAnsi="Arial"/>
          <w:sz w:val="14"/>
          <w:szCs w:val="14"/>
          <w:color w:val="auto"/>
        </w:rPr>
        <w:t>The table above does not reflect a special grant of PPOs to Mr. Fernandez on January 31, 2025, having a total grant date value of $15.0 million in recognition of his role in MSCI’s growth. See page 80 of this Proxy Statement for additional information on Mr. Fernandez’s special PPO award and page 76 of this Proxy Statement for additional information on Mr. Fernandez’s contributions.</w:t>
      </w:r>
    </w:p>
    <w:p>
      <w:pPr>
        <w:spacing w:after="0" w:line="10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In determining the value of 2025 PSUs, PSOs and RSUs, the Compensation Committee took into consideration the executive’s performance and potential future contributions, the executive’s overall career experience, peer group analyses, and the risk profile of the compensation program for the executive. For 2025, the Compensation Committee approved increases in annual long-term incentive compensation for the NEOs after consideration of several factors, including peer group market data and competitive practices.</w:t>
      </w:r>
    </w:p>
    <w:p>
      <w:pPr>
        <w:spacing w:after="0" w:line="11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table below sets forth the value for each NEO’s annual equity awards for 2025 as approved by the Compensation Committee. Under SEC disclosure rules, we are required to disclose the accounting value for the PSUs, PSOs and RSUs granted to the NEOs in 2025 in “Executive Compensation Tables— Summary Compensation Table” below. As such, the values reflected in the table below may differ from the amounts set forth in the Summary Compensation Table for such awards for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Total Equity</w:t>
            </w:r>
          </w:p>
        </w:tc>
      </w:tr>
      <w:tr>
        <w:trPr>
          <w:trHeight w:val="176"/>
        </w:trPr>
        <w:tc>
          <w:tcPr>
            <w:tcW w:w="3920" w:type="dxa"/>
            <w:vAlign w:val="bottom"/>
          </w:tcPr>
          <w:p>
            <w:pPr>
              <w:spacing w:after="0"/>
              <w:rPr>
                <w:sz w:val="15"/>
                <w:szCs w:val="15"/>
                <w:color w:val="auto"/>
              </w:rPr>
            </w:pPr>
          </w:p>
        </w:tc>
        <w:tc>
          <w:tcPr>
            <w:tcW w:w="3160" w:type="dxa"/>
            <w:vAlign w:val="bottom"/>
          </w:tcPr>
          <w:p>
            <w:pPr>
              <w:jc w:val="right"/>
              <w:ind w:right="182"/>
              <w:spacing w:after="0"/>
              <w:rPr>
                <w:sz w:val="20"/>
                <w:szCs w:val="20"/>
                <w:color w:val="auto"/>
              </w:rPr>
            </w:pPr>
            <w:r>
              <w:rPr>
                <w:rFonts w:ascii="Arial" w:cs="Arial" w:eastAsia="Arial" w:hAnsi="Arial"/>
                <w:sz w:val="14"/>
                <w:szCs w:val="14"/>
                <w:b w:val="1"/>
                <w:bCs w:val="1"/>
                <w:color w:val="auto"/>
              </w:rPr>
              <w:t>PSUs</w:t>
            </w:r>
          </w:p>
        </w:tc>
        <w:tc>
          <w:tcPr>
            <w:tcW w:w="1500" w:type="dxa"/>
            <w:vAlign w:val="bottom"/>
          </w:tcPr>
          <w:p>
            <w:pPr>
              <w:jc w:val="right"/>
              <w:ind w:right="282"/>
              <w:spacing w:after="0"/>
              <w:rPr>
                <w:sz w:val="20"/>
                <w:szCs w:val="20"/>
                <w:color w:val="auto"/>
              </w:rPr>
            </w:pPr>
            <w:r>
              <w:rPr>
                <w:rFonts w:ascii="Arial" w:cs="Arial" w:eastAsia="Arial" w:hAnsi="Arial"/>
                <w:sz w:val="14"/>
                <w:szCs w:val="14"/>
                <w:b w:val="1"/>
                <w:bCs w:val="1"/>
                <w:color w:val="auto"/>
              </w:rPr>
              <w:t>PSOs</w:t>
            </w: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RSUs</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210"/>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160" w:type="dxa"/>
            <w:vAlign w:val="bottom"/>
          </w:tcPr>
          <w:p>
            <w:pPr>
              <w:jc w:val="right"/>
              <w:ind w:right="182"/>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ind w:right="242"/>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9"/>
        </w:trPr>
        <w:tc>
          <w:tcPr>
            <w:tcW w:w="3920" w:type="dxa"/>
            <w:vAlign w:val="bottom"/>
            <w:tcBorders>
              <w:bottom w:val="single" w:sz="8" w:color="1A3FD6"/>
            </w:tcBorders>
          </w:tcPr>
          <w:p>
            <w:pPr>
              <w:spacing w:after="0"/>
              <w:rPr>
                <w:sz w:val="2"/>
                <w:szCs w:val="2"/>
                <w:color w:val="auto"/>
              </w:rPr>
            </w:pPr>
          </w:p>
        </w:tc>
        <w:tc>
          <w:tcPr>
            <w:tcW w:w="3160" w:type="dxa"/>
            <w:vAlign w:val="bottom"/>
            <w:tcBorders>
              <w:bottom w:val="single" w:sz="8" w:color="1A3FD6"/>
            </w:tcBorders>
          </w:tcPr>
          <w:p>
            <w:pPr>
              <w:spacing w:after="0"/>
              <w:rPr>
                <w:sz w:val="2"/>
                <w:szCs w:val="2"/>
                <w:color w:val="auto"/>
              </w:rPr>
            </w:pPr>
          </w:p>
        </w:tc>
        <w:tc>
          <w:tcPr>
            <w:tcW w:w="1500" w:type="dxa"/>
            <w:vAlign w:val="bottom"/>
            <w:tcBorders>
              <w:bottom w:val="single" w:sz="8" w:color="1A3FD6"/>
            </w:tcBorders>
          </w:tcPr>
          <w:p>
            <w:pPr>
              <w:spacing w:after="0"/>
              <w:rPr>
                <w:sz w:val="2"/>
                <w:szCs w:val="2"/>
                <w:color w:val="auto"/>
              </w:rPr>
            </w:pPr>
          </w:p>
        </w:tc>
        <w:tc>
          <w:tcPr>
            <w:tcW w:w="1340" w:type="dxa"/>
            <w:vAlign w:val="bottom"/>
            <w:tcBorders>
              <w:bottom w:val="single" w:sz="8" w:color="1A3FD6"/>
            </w:tcBorders>
          </w:tcPr>
          <w:p>
            <w:pPr>
              <w:spacing w:after="0"/>
              <w:rPr>
                <w:sz w:val="2"/>
                <w:szCs w:val="2"/>
                <w:color w:val="auto"/>
              </w:rPr>
            </w:pPr>
          </w:p>
        </w:tc>
        <w:tc>
          <w:tcPr>
            <w:tcW w:w="1320" w:type="dxa"/>
            <w:vAlign w:val="bottom"/>
            <w:tcBorders>
              <w:bottom w:val="single" w:sz="8" w:color="1A3FD6"/>
            </w:tcBorders>
          </w:tcPr>
          <w:p>
            <w:pPr>
              <w:spacing w:after="0"/>
              <w:rPr>
                <w:sz w:val="2"/>
                <w:szCs w:val="2"/>
                <w:color w:val="auto"/>
              </w:rPr>
            </w:pPr>
          </w:p>
        </w:tc>
      </w:tr>
      <w:tr>
        <w:trPr>
          <w:trHeight w:val="263"/>
        </w:trPr>
        <w:tc>
          <w:tcPr>
            <w:tcW w:w="39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Henry A. Fernandez</w:t>
            </w:r>
            <w:r>
              <w:rPr>
                <w:rFonts w:ascii="Arial" w:cs="Arial" w:eastAsia="Arial" w:hAnsi="Arial"/>
                <w:sz w:val="21"/>
                <w:szCs w:val="21"/>
                <w:b w:val="1"/>
                <w:bCs w:val="1"/>
                <w:color w:val="1A3FD6"/>
                <w:vertAlign w:val="superscript"/>
              </w:rPr>
              <w:t>(1)</w:t>
            </w:r>
          </w:p>
        </w:tc>
        <w:tc>
          <w:tcPr>
            <w:tcW w:w="3160" w:type="dxa"/>
            <w:vAlign w:val="bottom"/>
            <w:tcBorders>
              <w:bottom w:val="single" w:sz="8" w:color="E6E7E8"/>
            </w:tcBorders>
          </w:tcPr>
          <w:p>
            <w:pPr>
              <w:jc w:val="right"/>
              <w:ind w:right="242"/>
              <w:spacing w:after="0"/>
              <w:rPr>
                <w:sz w:val="20"/>
                <w:szCs w:val="20"/>
                <w:color w:val="auto"/>
              </w:rPr>
            </w:pPr>
            <w:r>
              <w:rPr>
                <w:rFonts w:ascii="Arial" w:cs="Arial" w:eastAsia="Arial" w:hAnsi="Arial"/>
                <w:sz w:val="16"/>
                <w:szCs w:val="16"/>
                <w:color w:val="auto"/>
              </w:rPr>
              <w:t>4,380,000</w:t>
            </w:r>
          </w:p>
        </w:tc>
        <w:tc>
          <w:tcPr>
            <w:tcW w:w="1500" w:type="dxa"/>
            <w:vAlign w:val="bottom"/>
            <w:tcBorders>
              <w:bottom w:val="single" w:sz="8" w:color="E6E7E8"/>
            </w:tcBorders>
          </w:tcPr>
          <w:p>
            <w:pPr>
              <w:jc w:val="right"/>
              <w:ind w:right="342"/>
              <w:spacing w:after="0"/>
              <w:rPr>
                <w:sz w:val="20"/>
                <w:szCs w:val="20"/>
                <w:color w:val="auto"/>
              </w:rPr>
            </w:pPr>
            <w:r>
              <w:rPr>
                <w:rFonts w:ascii="Arial" w:cs="Arial" w:eastAsia="Arial" w:hAnsi="Arial"/>
                <w:sz w:val="16"/>
                <w:szCs w:val="16"/>
                <w:color w:val="auto"/>
              </w:rPr>
              <w:t>10,220,000</w:t>
            </w:r>
          </w:p>
        </w:tc>
        <w:tc>
          <w:tcPr>
            <w:tcW w:w="1340" w:type="dxa"/>
            <w:vAlign w:val="bottom"/>
            <w:tcBorders>
              <w:bottom w:val="single" w:sz="8" w:color="E6E7E8"/>
            </w:tcBorders>
          </w:tcPr>
          <w:p>
            <w:pPr>
              <w:jc w:val="right"/>
              <w:ind w:right="30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6E7E8"/>
            </w:tcBorders>
          </w:tcPr>
          <w:p>
            <w:pPr>
              <w:jc w:val="right"/>
              <w:ind w:right="2"/>
              <w:spacing w:after="0"/>
              <w:rPr>
                <w:sz w:val="20"/>
                <w:szCs w:val="20"/>
                <w:color w:val="auto"/>
              </w:rPr>
            </w:pPr>
            <w:r>
              <w:rPr>
                <w:rFonts w:ascii="Arial" w:cs="Arial" w:eastAsia="Arial" w:hAnsi="Arial"/>
                <w:sz w:val="16"/>
                <w:szCs w:val="16"/>
                <w:color w:val="auto"/>
              </w:rPr>
              <w:t>14,600,000</w:t>
            </w: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3160" w:type="dxa"/>
            <w:vAlign w:val="bottom"/>
          </w:tcPr>
          <w:p>
            <w:pPr>
              <w:jc w:val="right"/>
              <w:ind w:right="242"/>
              <w:spacing w:after="0"/>
              <w:rPr>
                <w:sz w:val="20"/>
                <w:szCs w:val="20"/>
                <w:color w:val="auto"/>
              </w:rPr>
            </w:pPr>
            <w:r>
              <w:rPr>
                <w:rFonts w:ascii="Arial" w:cs="Arial" w:eastAsia="Arial" w:hAnsi="Arial"/>
                <w:sz w:val="16"/>
                <w:szCs w:val="16"/>
                <w:color w:val="auto"/>
              </w:rPr>
              <w:t>900,000</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1,200,000</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900,000</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3,000,000</w:t>
            </w:r>
          </w:p>
        </w:tc>
      </w:tr>
      <w:tr>
        <w:trPr>
          <w:trHeight w:val="34"/>
        </w:trPr>
        <w:tc>
          <w:tcPr>
            <w:tcW w:w="3920" w:type="dxa"/>
            <w:vAlign w:val="bottom"/>
            <w:tcBorders>
              <w:bottom w:val="single" w:sz="8" w:color="E6E7E8"/>
            </w:tcBorders>
          </w:tcPr>
          <w:p>
            <w:pPr>
              <w:spacing w:after="0"/>
              <w:rPr>
                <w:sz w:val="3"/>
                <w:szCs w:val="3"/>
                <w:color w:val="auto"/>
              </w:rPr>
            </w:pPr>
          </w:p>
        </w:tc>
        <w:tc>
          <w:tcPr>
            <w:tcW w:w="316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320" w:type="dxa"/>
            <w:vAlign w:val="bottom"/>
            <w:tcBorders>
              <w:bottom w:val="single" w:sz="8" w:color="E6E7E8"/>
            </w:tcBorders>
          </w:tcPr>
          <w:p>
            <w:pPr>
              <w:spacing w:after="0"/>
              <w:rPr>
                <w:sz w:val="3"/>
                <w:szCs w:val="3"/>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3160" w:type="dxa"/>
            <w:vAlign w:val="bottom"/>
          </w:tcPr>
          <w:p>
            <w:pPr>
              <w:jc w:val="right"/>
              <w:ind w:right="242"/>
              <w:spacing w:after="0"/>
              <w:rPr>
                <w:sz w:val="20"/>
                <w:szCs w:val="20"/>
                <w:color w:val="auto"/>
              </w:rPr>
            </w:pPr>
            <w:r>
              <w:rPr>
                <w:rFonts w:ascii="Arial" w:cs="Arial" w:eastAsia="Arial" w:hAnsi="Arial"/>
                <w:sz w:val="16"/>
                <w:szCs w:val="16"/>
                <w:color w:val="auto"/>
              </w:rPr>
              <w:t>2,160,000</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5,040,000</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7,200,000</w:t>
            </w:r>
          </w:p>
        </w:tc>
      </w:tr>
      <w:tr>
        <w:trPr>
          <w:trHeight w:val="35"/>
        </w:trPr>
        <w:tc>
          <w:tcPr>
            <w:tcW w:w="3920" w:type="dxa"/>
            <w:vAlign w:val="bottom"/>
            <w:tcBorders>
              <w:bottom w:val="single" w:sz="8" w:color="E6E7E8"/>
            </w:tcBorders>
          </w:tcPr>
          <w:p>
            <w:pPr>
              <w:spacing w:after="0"/>
              <w:rPr>
                <w:sz w:val="3"/>
                <w:szCs w:val="3"/>
                <w:color w:val="auto"/>
              </w:rPr>
            </w:pPr>
          </w:p>
        </w:tc>
        <w:tc>
          <w:tcPr>
            <w:tcW w:w="316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320" w:type="dxa"/>
            <w:vAlign w:val="bottom"/>
            <w:tcBorders>
              <w:bottom w:val="single" w:sz="8" w:color="E6E7E8"/>
            </w:tcBorders>
          </w:tcPr>
          <w:p>
            <w:pPr>
              <w:spacing w:after="0"/>
              <w:rPr>
                <w:sz w:val="3"/>
                <w:szCs w:val="3"/>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1A3FD6"/>
              </w:rPr>
              <w:t>Alvise J. Munari</w:t>
            </w:r>
          </w:p>
        </w:tc>
        <w:tc>
          <w:tcPr>
            <w:tcW w:w="3160" w:type="dxa"/>
            <w:vAlign w:val="bottom"/>
          </w:tcPr>
          <w:p>
            <w:pPr>
              <w:jc w:val="right"/>
              <w:ind w:right="242"/>
              <w:spacing w:after="0"/>
              <w:rPr>
                <w:sz w:val="20"/>
                <w:szCs w:val="20"/>
                <w:color w:val="auto"/>
              </w:rPr>
            </w:pPr>
            <w:r>
              <w:rPr>
                <w:rFonts w:ascii="Arial" w:cs="Arial" w:eastAsia="Arial" w:hAnsi="Arial"/>
                <w:sz w:val="16"/>
                <w:szCs w:val="16"/>
                <w:color w:val="auto"/>
              </w:rPr>
              <w:t>900,000</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1,200,000</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900,000</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3,000,000</w:t>
            </w:r>
          </w:p>
        </w:tc>
      </w:tr>
      <w:tr>
        <w:trPr>
          <w:trHeight w:val="35"/>
        </w:trPr>
        <w:tc>
          <w:tcPr>
            <w:tcW w:w="3920" w:type="dxa"/>
            <w:vAlign w:val="bottom"/>
            <w:tcBorders>
              <w:bottom w:val="single" w:sz="8" w:color="E6E7E8"/>
            </w:tcBorders>
          </w:tcPr>
          <w:p>
            <w:pPr>
              <w:spacing w:after="0"/>
              <w:rPr>
                <w:sz w:val="3"/>
                <w:szCs w:val="3"/>
                <w:color w:val="auto"/>
              </w:rPr>
            </w:pPr>
          </w:p>
        </w:tc>
        <w:tc>
          <w:tcPr>
            <w:tcW w:w="316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320" w:type="dxa"/>
            <w:vAlign w:val="bottom"/>
            <w:tcBorders>
              <w:bottom w:val="single" w:sz="8" w:color="E6E7E8"/>
            </w:tcBorders>
          </w:tcPr>
          <w:p>
            <w:pPr>
              <w:spacing w:after="0"/>
              <w:rPr>
                <w:sz w:val="3"/>
                <w:szCs w:val="3"/>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3160" w:type="dxa"/>
            <w:vAlign w:val="bottom"/>
          </w:tcPr>
          <w:p>
            <w:pPr>
              <w:jc w:val="right"/>
              <w:ind w:right="242"/>
              <w:spacing w:after="0"/>
              <w:rPr>
                <w:sz w:val="20"/>
                <w:szCs w:val="20"/>
                <w:color w:val="auto"/>
              </w:rPr>
            </w:pPr>
            <w:r>
              <w:rPr>
                <w:rFonts w:ascii="Arial" w:cs="Arial" w:eastAsia="Arial" w:hAnsi="Arial"/>
                <w:sz w:val="16"/>
                <w:szCs w:val="16"/>
                <w:color w:val="auto"/>
              </w:rPr>
              <w:t>720,000</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960,000</w:t>
            </w:r>
          </w:p>
        </w:tc>
        <w:tc>
          <w:tcPr>
            <w:tcW w:w="1340" w:type="dxa"/>
            <w:vAlign w:val="bottom"/>
          </w:tcPr>
          <w:p>
            <w:pPr>
              <w:jc w:val="right"/>
              <w:ind w:right="302"/>
              <w:spacing w:after="0"/>
              <w:rPr>
                <w:sz w:val="20"/>
                <w:szCs w:val="20"/>
                <w:color w:val="auto"/>
              </w:rPr>
            </w:pPr>
            <w:r>
              <w:rPr>
                <w:rFonts w:ascii="Arial" w:cs="Arial" w:eastAsia="Arial" w:hAnsi="Arial"/>
                <w:sz w:val="16"/>
                <w:szCs w:val="16"/>
                <w:color w:val="auto"/>
              </w:rPr>
              <w:t>720,000</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2,400,000</w:t>
            </w:r>
          </w:p>
        </w:tc>
      </w:tr>
      <w:tr>
        <w:trPr>
          <w:trHeight w:val="34"/>
        </w:trPr>
        <w:tc>
          <w:tcPr>
            <w:tcW w:w="3920" w:type="dxa"/>
            <w:vAlign w:val="bottom"/>
            <w:tcBorders>
              <w:bottom w:val="single" w:sz="8" w:color="1A3FD6"/>
            </w:tcBorders>
          </w:tcPr>
          <w:p>
            <w:pPr>
              <w:spacing w:after="0"/>
              <w:rPr>
                <w:sz w:val="3"/>
                <w:szCs w:val="3"/>
                <w:color w:val="auto"/>
              </w:rPr>
            </w:pPr>
          </w:p>
        </w:tc>
        <w:tc>
          <w:tcPr>
            <w:tcW w:w="3160" w:type="dxa"/>
            <w:vAlign w:val="bottom"/>
            <w:tcBorders>
              <w:bottom w:val="single" w:sz="8" w:color="1A3FD6"/>
            </w:tcBorders>
          </w:tcPr>
          <w:p>
            <w:pPr>
              <w:spacing w:after="0"/>
              <w:rPr>
                <w:sz w:val="3"/>
                <w:szCs w:val="3"/>
                <w:color w:val="auto"/>
              </w:rPr>
            </w:pPr>
          </w:p>
        </w:tc>
        <w:tc>
          <w:tcPr>
            <w:tcW w:w="1500" w:type="dxa"/>
            <w:vAlign w:val="bottom"/>
            <w:tcBorders>
              <w:bottom w:val="single" w:sz="8" w:color="1A3FD6"/>
            </w:tcBorders>
          </w:tcPr>
          <w:p>
            <w:pPr>
              <w:spacing w:after="0"/>
              <w:rPr>
                <w:sz w:val="3"/>
                <w:szCs w:val="3"/>
                <w:color w:val="auto"/>
              </w:rPr>
            </w:pPr>
          </w:p>
        </w:tc>
        <w:tc>
          <w:tcPr>
            <w:tcW w:w="1340" w:type="dxa"/>
            <w:vAlign w:val="bottom"/>
            <w:tcBorders>
              <w:bottom w:val="single" w:sz="8" w:color="1A3FD6"/>
            </w:tcBorders>
          </w:tcPr>
          <w:p>
            <w:pPr>
              <w:spacing w:after="0"/>
              <w:rPr>
                <w:sz w:val="3"/>
                <w:szCs w:val="3"/>
                <w:color w:val="auto"/>
              </w:rPr>
            </w:pPr>
          </w:p>
        </w:tc>
        <w:tc>
          <w:tcPr>
            <w:tcW w:w="1320" w:type="dxa"/>
            <w:vAlign w:val="bottom"/>
            <w:tcBorders>
              <w:bottom w:val="single" w:sz="8" w:color="1A3FD6"/>
            </w:tcBorders>
          </w:tcPr>
          <w:p>
            <w:pPr>
              <w:spacing w:after="0"/>
              <w:rPr>
                <w:sz w:val="3"/>
                <w:szCs w:val="3"/>
                <w:color w:val="auto"/>
              </w:rPr>
            </w:pPr>
          </w:p>
        </w:tc>
      </w:tr>
    </w:tbl>
    <w:p>
      <w:pPr>
        <w:spacing w:after="0" w:line="180"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9"/>
          <w:szCs w:val="9"/>
          <w:color w:val="auto"/>
        </w:rPr>
      </w:pPr>
      <w:r>
        <w:rPr>
          <w:rFonts w:ascii="Arial" w:cs="Arial" w:eastAsia="Arial" w:hAnsi="Arial"/>
          <w:sz w:val="14"/>
          <w:szCs w:val="14"/>
          <w:color w:val="auto"/>
        </w:rPr>
        <w:t>The table above does not reflect the special PPO award granted to Mr. Fernandez in early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666750</wp:posOffset>
            </wp:positionV>
            <wp:extent cx="556895" cy="145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PSUs</w:t>
      </w:r>
    </w:p>
    <w:p>
      <w:pPr>
        <w:spacing w:after="0" w:line="104"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The PSUs granted in 2025 will cliff-vest on January 30, 2028, subject generally to the executive’s continued employment with the Company and the Company’s level of achievement of the applicable absolute TSR CAGR performance metric measured over a three-year performance period. The 2025 PSUs are eligible to vest between 0% and 200% of target. The 2025 PSUs include a one-year post-vest mandatory holding period, where such after-tax shares, or rights with respect to such shares, may not be sold, transferred or otherwise disposed of until the expiration of such holding period.</w:t>
      </w:r>
    </w:p>
    <w:p>
      <w:pPr>
        <w:spacing w:after="0" w:line="9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table below sets forth the TSR CAGR performance percentage for the 2025 PSUs. There will be interpolation (rounded to two decimal places) to derive a TSR CAGR performance percentage that is not expressly set forth in the table below, and any resulting fractional shares will be rounded down to the nearest whole share.</w:t>
      </w:r>
    </w:p>
    <w:p>
      <w:pPr>
        <w:spacing w:after="0" w:line="11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In 2025, the Compensation Committee also adjusted the applicable TSR performance goal percentages and the applicable threshold, target and maximum goals for the 2025 PSUs to better promote an “owner-operator” culture and focus our senior leaders on long-term shareholder value creation.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TSR CAGR (%)</w:t>
            </w:r>
          </w:p>
        </w:tc>
        <w:tc>
          <w:tcPr>
            <w:tcW w:w="5940" w:type="dxa"/>
            <w:vAlign w:val="bottom"/>
          </w:tcPr>
          <w:p>
            <w:pPr>
              <w:jc w:val="right"/>
              <w:spacing w:after="0"/>
              <w:rPr>
                <w:sz w:val="20"/>
                <w:szCs w:val="20"/>
                <w:color w:val="auto"/>
              </w:rPr>
            </w:pPr>
            <w:r>
              <w:rPr>
                <w:rFonts w:ascii="Arial" w:cs="Arial" w:eastAsia="Arial" w:hAnsi="Arial"/>
                <w:sz w:val="14"/>
                <w:szCs w:val="14"/>
                <w:b w:val="1"/>
                <w:bCs w:val="1"/>
                <w:color w:val="auto"/>
              </w:rPr>
              <w:t>Performance Percentage (%)</w:t>
            </w:r>
          </w:p>
        </w:tc>
      </w:tr>
      <w:tr>
        <w:trPr>
          <w:trHeight w:val="29"/>
        </w:trPr>
        <w:tc>
          <w:tcPr>
            <w:tcW w:w="5300" w:type="dxa"/>
            <w:vAlign w:val="bottom"/>
            <w:tcBorders>
              <w:bottom w:val="single" w:sz="8" w:color="1A3FD6"/>
            </w:tcBorders>
          </w:tcPr>
          <w:p>
            <w:pPr>
              <w:spacing w:after="0"/>
              <w:rPr>
                <w:sz w:val="2"/>
                <w:szCs w:val="2"/>
                <w:color w:val="auto"/>
              </w:rPr>
            </w:pPr>
          </w:p>
        </w:tc>
        <w:tc>
          <w:tcPr>
            <w:tcW w:w="5940" w:type="dxa"/>
            <w:vAlign w:val="bottom"/>
            <w:tcBorders>
              <w:bottom w:val="single" w:sz="8" w:color="1A3FD6"/>
            </w:tcBorders>
          </w:tcPr>
          <w:p>
            <w:pPr>
              <w:spacing w:after="0"/>
              <w:rPr>
                <w:sz w:val="2"/>
                <w:szCs w:val="2"/>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6"/>
                <w:szCs w:val="16"/>
                <w:color w:val="auto"/>
              </w:rPr>
              <w:t>≥ 20.0 (maximum)</w:t>
            </w:r>
          </w:p>
        </w:tc>
        <w:tc>
          <w:tcPr>
            <w:tcW w:w="59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43"/>
        </w:trPr>
        <w:tc>
          <w:tcPr>
            <w:tcW w:w="5300" w:type="dxa"/>
            <w:vAlign w:val="bottom"/>
            <w:tcBorders>
              <w:bottom w:val="single" w:sz="8" w:color="E6E7E8"/>
            </w:tcBorders>
          </w:tcPr>
          <w:p>
            <w:pPr>
              <w:spacing w:after="0"/>
              <w:rPr>
                <w:sz w:val="3"/>
                <w:szCs w:val="3"/>
                <w:color w:val="auto"/>
              </w:rPr>
            </w:pPr>
          </w:p>
        </w:tc>
        <w:tc>
          <w:tcPr>
            <w:tcW w:w="5940" w:type="dxa"/>
            <w:vAlign w:val="bottom"/>
            <w:tcBorders>
              <w:bottom w:val="single" w:sz="8" w:color="E6E7E8"/>
            </w:tcBorders>
          </w:tcPr>
          <w:p>
            <w:pPr>
              <w:spacing w:after="0"/>
              <w:rPr>
                <w:sz w:val="3"/>
                <w:szCs w:val="3"/>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6"/>
                <w:szCs w:val="16"/>
                <w:color w:val="auto"/>
              </w:rPr>
              <w:t>15.0</w:t>
            </w:r>
          </w:p>
        </w:tc>
        <w:tc>
          <w:tcPr>
            <w:tcW w:w="59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43"/>
        </w:trPr>
        <w:tc>
          <w:tcPr>
            <w:tcW w:w="5300" w:type="dxa"/>
            <w:vAlign w:val="bottom"/>
            <w:tcBorders>
              <w:bottom w:val="single" w:sz="8" w:color="E6E7E8"/>
            </w:tcBorders>
          </w:tcPr>
          <w:p>
            <w:pPr>
              <w:spacing w:after="0"/>
              <w:rPr>
                <w:sz w:val="3"/>
                <w:szCs w:val="3"/>
                <w:color w:val="auto"/>
              </w:rPr>
            </w:pPr>
          </w:p>
        </w:tc>
        <w:tc>
          <w:tcPr>
            <w:tcW w:w="5940" w:type="dxa"/>
            <w:vAlign w:val="bottom"/>
            <w:tcBorders>
              <w:bottom w:val="single" w:sz="8" w:color="E6E7E8"/>
            </w:tcBorders>
          </w:tcPr>
          <w:p>
            <w:pPr>
              <w:spacing w:after="0"/>
              <w:rPr>
                <w:sz w:val="3"/>
                <w:szCs w:val="3"/>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6"/>
                <w:szCs w:val="16"/>
                <w:color w:val="auto"/>
              </w:rPr>
              <w:t>10.0 (target)</w:t>
            </w:r>
          </w:p>
        </w:tc>
        <w:tc>
          <w:tcPr>
            <w:tcW w:w="59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43"/>
        </w:trPr>
        <w:tc>
          <w:tcPr>
            <w:tcW w:w="5300" w:type="dxa"/>
            <w:vAlign w:val="bottom"/>
            <w:tcBorders>
              <w:bottom w:val="single" w:sz="8" w:color="E6E7E8"/>
            </w:tcBorders>
          </w:tcPr>
          <w:p>
            <w:pPr>
              <w:spacing w:after="0"/>
              <w:rPr>
                <w:sz w:val="3"/>
                <w:szCs w:val="3"/>
                <w:color w:val="auto"/>
              </w:rPr>
            </w:pPr>
          </w:p>
        </w:tc>
        <w:tc>
          <w:tcPr>
            <w:tcW w:w="5940" w:type="dxa"/>
            <w:vAlign w:val="bottom"/>
            <w:tcBorders>
              <w:bottom w:val="single" w:sz="8" w:color="E6E7E8"/>
            </w:tcBorders>
          </w:tcPr>
          <w:p>
            <w:pPr>
              <w:spacing w:after="0"/>
              <w:rPr>
                <w:sz w:val="3"/>
                <w:szCs w:val="3"/>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6"/>
                <w:szCs w:val="16"/>
                <w:color w:val="auto"/>
              </w:rPr>
              <w:t>1.0 (threshold)</w:t>
            </w:r>
          </w:p>
        </w:tc>
        <w:tc>
          <w:tcPr>
            <w:tcW w:w="5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3"/>
        </w:trPr>
        <w:tc>
          <w:tcPr>
            <w:tcW w:w="5300" w:type="dxa"/>
            <w:vAlign w:val="bottom"/>
            <w:tcBorders>
              <w:bottom w:val="single" w:sz="8" w:color="E6E7E8"/>
            </w:tcBorders>
          </w:tcPr>
          <w:p>
            <w:pPr>
              <w:spacing w:after="0"/>
              <w:rPr>
                <w:sz w:val="3"/>
                <w:szCs w:val="3"/>
                <w:color w:val="auto"/>
              </w:rPr>
            </w:pPr>
          </w:p>
        </w:tc>
        <w:tc>
          <w:tcPr>
            <w:tcW w:w="5940" w:type="dxa"/>
            <w:vAlign w:val="bottom"/>
            <w:tcBorders>
              <w:bottom w:val="single" w:sz="8" w:color="E6E7E8"/>
            </w:tcBorders>
          </w:tcPr>
          <w:p>
            <w:pPr>
              <w:spacing w:after="0"/>
              <w:rPr>
                <w:sz w:val="3"/>
                <w:szCs w:val="3"/>
                <w:color w:val="auto"/>
              </w:rPr>
            </w:pPr>
          </w:p>
        </w:tc>
      </w:tr>
      <w:tr>
        <w:trPr>
          <w:trHeight w:val="221"/>
        </w:trPr>
        <w:tc>
          <w:tcPr>
            <w:tcW w:w="5300" w:type="dxa"/>
            <w:vAlign w:val="bottom"/>
          </w:tcPr>
          <w:p>
            <w:pPr>
              <w:ind w:left="20"/>
              <w:spacing w:after="0"/>
              <w:rPr>
                <w:sz w:val="20"/>
                <w:szCs w:val="20"/>
                <w:color w:val="auto"/>
              </w:rPr>
            </w:pPr>
            <w:r>
              <w:rPr>
                <w:rFonts w:ascii="Arial" w:cs="Arial" w:eastAsia="Arial" w:hAnsi="Arial"/>
                <w:sz w:val="16"/>
                <w:szCs w:val="16"/>
                <w:color w:val="auto"/>
              </w:rPr>
              <w:t>&lt; 1.0</w:t>
            </w:r>
          </w:p>
        </w:tc>
        <w:tc>
          <w:tcPr>
            <w:tcW w:w="5940" w:type="dxa"/>
            <w:vAlign w:val="bottom"/>
          </w:tcPr>
          <w:p>
            <w:pPr>
              <w:jc w:val="right"/>
              <w:spacing w:after="0"/>
              <w:rPr>
                <w:sz w:val="20"/>
                <w:szCs w:val="20"/>
                <w:color w:val="auto"/>
              </w:rPr>
            </w:pPr>
            <w:r>
              <w:rPr>
                <w:rFonts w:ascii="Arial" w:cs="Arial" w:eastAsia="Arial" w:hAnsi="Arial"/>
                <w:sz w:val="16"/>
                <w:szCs w:val="16"/>
                <w:color w:val="auto"/>
              </w:rPr>
              <w:t>No Vesting</w:t>
            </w:r>
          </w:p>
        </w:tc>
      </w:tr>
      <w:tr>
        <w:trPr>
          <w:trHeight w:val="43"/>
        </w:trPr>
        <w:tc>
          <w:tcPr>
            <w:tcW w:w="5300" w:type="dxa"/>
            <w:vAlign w:val="bottom"/>
            <w:tcBorders>
              <w:bottom w:val="single" w:sz="8" w:color="1A3FD6"/>
            </w:tcBorders>
          </w:tcPr>
          <w:p>
            <w:pPr>
              <w:spacing w:after="0"/>
              <w:rPr>
                <w:sz w:val="3"/>
                <w:szCs w:val="3"/>
                <w:color w:val="auto"/>
              </w:rPr>
            </w:pPr>
          </w:p>
        </w:tc>
        <w:tc>
          <w:tcPr>
            <w:tcW w:w="5940" w:type="dxa"/>
            <w:vAlign w:val="bottom"/>
            <w:tcBorders>
              <w:bottom w:val="single" w:sz="8" w:color="1A3FD6"/>
            </w:tcBorders>
          </w:tcPr>
          <w:p>
            <w:pPr>
              <w:spacing w:after="0"/>
              <w:rPr>
                <w:sz w:val="3"/>
                <w:szCs w:val="3"/>
                <w:color w:val="auto"/>
              </w:rPr>
            </w:pPr>
          </w:p>
        </w:tc>
      </w:tr>
    </w:tbl>
    <w:p>
      <w:pPr>
        <w:spacing w:after="0" w:line="21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Compensation Committee established the above TSR performance goal percentages applicable to the 2025 PSUs after considering historical 3-year TSR performance of S&amp;P 500 companies and MSCI’s business projections. The Compensation Committee believes that the applicable threshold, target and maximum goals established for the PSU vehicle in 2025 represent rigorous hurdles that would ultimately deliver significant shareholder value creation if achieved, as evidenced by the fact that achievement of the TSR performance goals at the threshold performance levels applicable to the 2025 PSUs would translate to measurable growth in our shareholders’ investments over such performance period.</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PSOs</w:t>
      </w:r>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PSOs granted in 2025 will cliff-vest on January 31, 2028, subject generally to the executive’s continued employment with the Company and the Company’s combined level of achievement of (i) a cumulative revenue performance goal and (ii) a cumulative adjusted EPS performance goal, each weighted equally and measured over a three-year performance period. The specific performance targets underlying the two PSO performance metrics were calibrated to align with MSCI’s long-term strategic planning. Goals are set at the beginning of each year with consideration to historical performance, industry benchmarks, the broader macro-environment and our long-term strategy. Revenue goals support management’s focus on scaling new products and targeting new customer segments. The incorporation of an adjusted EPS goal provides profitability discipline, incorporating considerations relating to capital allocation and shareholder value creation.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2025 PSOs are eligible to vest between 0% and 200% of target. Thereafter, participants will only realize value on the number of PSOs earned, if any, to the extent that the closing share price of MSCI common stock exceeds the relevant exercise price of the options. In this way, PSOs have an implied “double-performance” mechanism, as two conditions must be met for a participant to realize value from an award: (i) fundamental operating performance and (ii) share price growth in excess of the exercise price.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Pursuant to SEC rules, the performance targets underlying the cumulative revenue and cumulative adjusted EPS performance goals applicable to the 2025 PSOs will be disclosed upon the certification of such performance goals in 2028. We do not disclose forward-looking performance goals due to confidentiality and competitive concerns, as we believe the disclosure of forward-looking performance targets that are aligned to our long-term strategic planning could result in competitive harm. We believe that the performance goals were set at challenging levels and are fully aligned with the rigorous expectations and long-term interests of our shareholders. However, consistent with market practice, we have committed to retrospectively disclose the performance goals and payouts following the completion of the relevant performance period. Our shareholders have generally provided the feedback that they understand and are comfortable with this approach.</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RSUs</w:t>
      </w:r>
    </w:p>
    <w:p>
      <w:pPr>
        <w:spacing w:after="0" w:line="1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RSUs are inherently aligned with the interest of our shareholders because they are linked to share price appreciation. They also increase the retentive value of our overall compensation program. The RSUs granted in 2025 will cliff-vest on January 31, 2028, subject generally to the executive’s continued employment with the Company. While these RSU awards for 2025 do not have explicit performance-vesting conditions, the ultimate value that will be delivered to our NEOs from these awards depends on our future share price performance.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Special Premium-Priced Stock Option CEO Award</w:t>
      </w:r>
    </w:p>
    <w:p>
      <w:pPr>
        <w:spacing w:after="0" w:line="9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On January 31, 2025, the Compensation Committee granted a special PPO award for our Chairman and CEO, Henry A. Fernandez, having a total grant date value of $15.0 million. The PPOs are allocated across three equal tranches with rigorous exercise prices of $1,000, $1,100, and $1,200—representing significant premiums of approximately 69.3%, 86.2% and 103.1%, respectively, to the closing share price on the day prior to grant date.</w:t>
      </w:r>
    </w:p>
    <w:p>
      <w:pPr>
        <w:spacing w:after="0" w:line="11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Compensation Committee deliberately chose premium-priced stock options over full-value equity awards such as restricted stock units. Unlike full-value awards, PPOs deliver zero value unless the Company’s share price exceeds the exercise price hurdle. Even then, Mr. Fernandez participates only in the incremental appreciation above that hurdle, creating meaningful risk that some or all of the PPOs could expire without delivering any value.</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options vest on the fifth anniversary of the grant date, subject to Mr. Fernandez’s continued service (except in limited circumstances involving a termination of employment without cause or due to death or disability). Unlike the Company’s historical equity incentive compensation program, the award does not provide for interim or retirement vesting; accordingly, the entirety of the award remains at risk and contingent on Mr. Fernandez’s continued service through the end of the five-year vesting period. The award is subject to the Company’s compensation recoupment policies and stock ownership guidelines (under which Mr. Fernandez must maintain 25% of net shares realized following any stock option exercise) and, as a special award, is not part of the Company’s regular annual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327025</wp:posOffset>
            </wp:positionV>
            <wp:extent cx="556895" cy="146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Transformational Share Price Growth Required to Unlock Any Award Value</w:t>
      </w:r>
    </w:p>
    <w:p>
      <w:pPr>
        <w:spacing w:after="0" w:line="10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chart below compares MSCI’s share price since our 2007 IPO with the exercise price hurdles, illustrating the share price appreciation required for the PPOs to deliver any value by the January 2030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30480</wp:posOffset>
            </wp:positionV>
            <wp:extent cx="5554980" cy="22459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5498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Shareholder Value Created at Premium Exercise Price Hurdles</w:t>
      </w:r>
      <w:r>
        <w:rPr>
          <w:rFonts w:ascii="Arial" w:cs="Arial" w:eastAsia="Arial" w:hAnsi="Arial"/>
          <w:sz w:val="21"/>
          <w:szCs w:val="21"/>
          <w:b w:val="1"/>
          <w:bCs w:val="1"/>
          <w:color w:val="1A3FD6"/>
          <w:vertAlign w:val="superscript"/>
        </w:rPr>
        <w:t>(1)</w:t>
      </w:r>
    </w:p>
    <w:p>
      <w:pPr>
        <w:spacing w:after="0" w:line="48" w:lineRule="exact"/>
        <w:rPr>
          <w:sz w:val="20"/>
          <w:szCs w:val="20"/>
          <w:color w:val="auto"/>
        </w:rPr>
      </w:pPr>
    </w:p>
    <w:p>
      <w:pPr>
        <w:ind w:right="760"/>
        <w:spacing w:after="0" w:line="296" w:lineRule="auto"/>
        <w:rPr>
          <w:sz w:val="20"/>
          <w:szCs w:val="20"/>
          <w:color w:val="auto"/>
        </w:rPr>
      </w:pPr>
      <w:r>
        <w:rPr>
          <w:rFonts w:ascii="Arial" w:cs="Arial" w:eastAsia="Arial" w:hAnsi="Arial"/>
          <w:sz w:val="16"/>
          <w:szCs w:val="16"/>
          <w:color w:val="auto"/>
        </w:rPr>
        <w:t>The chart below illustrates the market capitalization growth shareholders would realize at each of the PPO exercise price hurdles, compared to the Company’s $43.2 billion market capitalization on the trading day prior to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8836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388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right="540"/>
        <w:spacing w:after="0" w:line="304" w:lineRule="auto"/>
        <w:rPr>
          <w:sz w:val="20"/>
          <w:szCs w:val="20"/>
          <w:color w:val="auto"/>
        </w:rPr>
      </w:pPr>
      <w:r>
        <w:rPr>
          <w:rFonts w:ascii="Arial" w:cs="Arial" w:eastAsia="Arial" w:hAnsi="Arial"/>
          <w:sz w:val="16"/>
          <w:szCs w:val="16"/>
          <w:b w:val="1"/>
          <w:bCs w:val="1"/>
          <w:color w:val="auto"/>
        </w:rPr>
        <w:t xml:space="preserve">Share Price Rigor: </w:t>
      </w:r>
      <w:r>
        <w:rPr>
          <w:rFonts w:ascii="Arial" w:cs="Arial" w:eastAsia="Arial" w:hAnsi="Arial"/>
          <w:sz w:val="16"/>
          <w:szCs w:val="16"/>
          <w:color w:val="auto"/>
        </w:rPr>
        <w:t>MSCI’s stock would have to appreciate at a compound annual rate of approximately</w:t>
      </w:r>
      <w:r>
        <w:rPr>
          <w:rFonts w:ascii="Arial" w:cs="Arial" w:eastAsia="Arial" w:hAnsi="Arial"/>
          <w:sz w:val="16"/>
          <w:szCs w:val="16"/>
          <w:b w:val="1"/>
          <w:bCs w:val="1"/>
          <w:color w:val="auto"/>
        </w:rPr>
        <w:t xml:space="preserve"> +11% </w:t>
      </w:r>
      <w:r>
        <w:rPr>
          <w:rFonts w:ascii="Arial" w:cs="Arial" w:eastAsia="Arial" w:hAnsi="Arial"/>
          <w:sz w:val="16"/>
          <w:szCs w:val="16"/>
          <w:color w:val="auto"/>
        </w:rPr>
        <w:t>over five years to reach $1,000—</w:t>
      </w:r>
      <w:r>
        <w:rPr>
          <w:rFonts w:ascii="Arial" w:cs="Arial" w:eastAsia="Arial" w:hAnsi="Arial"/>
          <w:sz w:val="16"/>
          <w:szCs w:val="16"/>
          <w:b w:val="1"/>
          <w:bCs w:val="1"/>
          <w:color w:val="auto"/>
        </w:rPr>
        <w:t xml:space="preserve"> </w:t>
      </w:r>
      <w:r>
        <w:rPr>
          <w:rFonts w:ascii="Arial" w:cs="Arial" w:eastAsia="Arial" w:hAnsi="Arial"/>
          <w:sz w:val="16"/>
          <w:szCs w:val="16"/>
          <w:color w:val="auto"/>
        </w:rPr>
        <w:t>only above that price level would 1/3 of Mr. Fernandez’s options begin to share in value creation on the vesting date.</w:t>
      </w:r>
    </w:p>
    <w:p>
      <w:pPr>
        <w:spacing w:after="0" w:line="101" w:lineRule="exact"/>
        <w:rPr>
          <w:sz w:val="20"/>
          <w:szCs w:val="20"/>
          <w:color w:val="auto"/>
        </w:rPr>
      </w:pPr>
    </w:p>
    <w:p>
      <w:pPr>
        <w:ind w:left="360" w:right="900"/>
        <w:spacing w:after="0" w:line="314" w:lineRule="auto"/>
        <w:rPr>
          <w:sz w:val="20"/>
          <w:szCs w:val="20"/>
          <w:color w:val="auto"/>
        </w:rPr>
      </w:pPr>
      <w:r>
        <w:rPr>
          <w:rFonts w:ascii="Arial" w:cs="Arial" w:eastAsia="Arial" w:hAnsi="Arial"/>
          <w:sz w:val="16"/>
          <w:szCs w:val="16"/>
          <w:b w:val="1"/>
          <w:bCs w:val="1"/>
          <w:color w:val="auto"/>
        </w:rPr>
        <w:t xml:space="preserve">Shareholder-First Design: </w:t>
      </w:r>
      <w:r>
        <w:rPr>
          <w:rFonts w:ascii="Arial" w:cs="Arial" w:eastAsia="Arial" w:hAnsi="Arial"/>
          <w:sz w:val="16"/>
          <w:szCs w:val="16"/>
          <w:color w:val="auto"/>
        </w:rPr>
        <w:t>At the highest exercise price hurdle of $1,200, shareholders would realize</w:t>
      </w:r>
      <w:r>
        <w:rPr>
          <w:rFonts w:ascii="Arial" w:cs="Arial" w:eastAsia="Arial" w:hAnsi="Arial"/>
          <w:sz w:val="16"/>
          <w:szCs w:val="16"/>
          <w:b w:val="1"/>
          <w:bCs w:val="1"/>
          <w:color w:val="auto"/>
        </w:rPr>
        <w:t xml:space="preserve"> $44.5 billion </w:t>
      </w:r>
      <w:r>
        <w:rPr>
          <w:rFonts w:ascii="Arial" w:cs="Arial" w:eastAsia="Arial" w:hAnsi="Arial"/>
          <w:sz w:val="16"/>
          <w:szCs w:val="16"/>
          <w:color w:val="auto"/>
        </w:rPr>
        <w:t>in market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growth. Even then, Mr. Fernandez’s participation would represent approximately </w:t>
      </w:r>
      <w:r>
        <w:rPr>
          <w:rFonts w:ascii="Arial" w:cs="Arial" w:eastAsia="Arial" w:hAnsi="Arial"/>
          <w:sz w:val="16"/>
          <w:szCs w:val="16"/>
          <w:b w:val="1"/>
          <w:bCs w:val="1"/>
          <w:color w:val="auto"/>
        </w:rPr>
        <w:t>0.0257%</w:t>
      </w:r>
      <w:r>
        <w:rPr>
          <w:rFonts w:ascii="Arial" w:cs="Arial" w:eastAsia="Arial" w:hAnsi="Arial"/>
          <w:sz w:val="16"/>
          <w:szCs w:val="16"/>
          <w:color w:val="auto"/>
        </w:rPr>
        <w:t xml:space="preserve"> of the value created for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20" w:hanging="252"/>
        <w:spacing w:after="0" w:line="264" w:lineRule="auto"/>
        <w:tabs>
          <w:tab w:leader="none" w:pos="264"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Market capitalization in the chart above calculated assuming 73,120,206 common shares outstanding as of February 27, 2026. The market capitalization was $43.2 billion on the trading day prior to the grant date (with a closing share price of $590.73). The award consists of premium-priced stock options with exercise prices of $1,000, $1,100, and $1,200. At the $1,200 exercise price, the aggregate in-the-money value of the award would be approximately $11.4 million, representing approximately 0.0257% of the $44.5 billion in market capitalization growth shareholders would realize at that price.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Factors Considered by the Board in Approving the Award</w:t>
      </w:r>
    </w:p>
    <w:p>
      <w:pPr>
        <w:spacing w:after="0" w:line="10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approving the special PPO award, the Compensation Committee considered a range of factors, including the Company’s ongoing dialogue with shareholders regarding its compensation program, as described under “Shareholder Engagement” on page 41 above. The award to Mr. Fernandez reflects the Company’s commitment to an “owner-operator” culture by using an equity award that directly links pay to long-term shareholder value creation, while rewarding exceptional leadership and sustained contributions to MSCI’s growth. The Compensation Committee, in consultation with Semler Brossy, its independent compensation consultant, and review by the independent members of the Board, determined to strengthen Mr. Fernandez’s alignment with the Company’s long-term growth priorities through value-creating incentives, based on rigorous and extraordinarily hard-to-achieve share price hurdles.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Fernandez did not participate in any deliberations regarding the award.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approving the award, the Compensation Committee considered the following:</w:t>
      </w:r>
    </w:p>
    <w:p>
      <w:pPr>
        <w:spacing w:after="0" w:line="167" w:lineRule="exact"/>
        <w:rPr>
          <w:sz w:val="20"/>
          <w:szCs w:val="20"/>
          <w:color w:val="auto"/>
        </w:rPr>
      </w:pPr>
    </w:p>
    <w:p>
      <w:pPr>
        <w:ind w:left="200" w:right="20" w:hanging="192"/>
        <w:spacing w:after="0" w:line="289"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 xml:space="preserve">Mr. Fernandez’s proven track record of value creation: </w:t>
      </w:r>
      <w:r>
        <w:rPr>
          <w:rFonts w:ascii="Arial" w:cs="Arial" w:eastAsia="Arial" w:hAnsi="Arial"/>
          <w:sz w:val="16"/>
          <w:szCs w:val="16"/>
          <w:color w:val="auto"/>
        </w:rPr>
        <w:t>Mr. Fernandez oversaw MSCI’s growth over 25 years as the Company’s CEO, during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share price increased more than 37-fold under his leadership from its initial public offering in 2007 through year-end 2024. This performance reflects a total shareholder return compound annual growth rate (“CAGR”) of 23.5%, significantly exceeding the S&amp;P 500 index CAGR of 10.6% over the same period.</w:t>
      </w:r>
    </w:p>
    <w:p>
      <w:pPr>
        <w:spacing w:after="0" w:line="31" w:lineRule="exact"/>
        <w:rPr>
          <w:rFonts w:ascii="Arial" w:cs="Arial" w:eastAsia="Arial" w:hAnsi="Arial"/>
          <w:sz w:val="16"/>
          <w:szCs w:val="16"/>
          <w:color w:val="00A798"/>
        </w:rPr>
      </w:pPr>
    </w:p>
    <w:p>
      <w:pPr>
        <w:ind w:left="200" w:hanging="192"/>
        <w:spacing w:after="0" w:line="283"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 xml:space="preserve">The strategic imperative to sustain MSCI’s growth trajectory: </w:t>
      </w:r>
      <w:r>
        <w:rPr>
          <w:rFonts w:ascii="Arial" w:cs="Arial" w:eastAsia="Arial" w:hAnsi="Arial"/>
          <w:sz w:val="16"/>
          <w:szCs w:val="16"/>
          <w:color w:val="auto"/>
        </w:rPr>
        <w:t>The Compensation Committee recognized the importance of incentivizing MSCI’s</w:t>
      </w:r>
      <w:r>
        <w:rPr>
          <w:rFonts w:ascii="Arial" w:cs="Arial" w:eastAsia="Arial" w:hAnsi="Arial"/>
          <w:sz w:val="16"/>
          <w:szCs w:val="16"/>
          <w:b w:val="1"/>
          <w:bCs w:val="1"/>
          <w:color w:val="auto"/>
        </w:rPr>
        <w:t xml:space="preserve"> </w:t>
      </w:r>
      <w:r>
        <w:rPr>
          <w:rFonts w:ascii="Arial" w:cs="Arial" w:eastAsia="Arial" w:hAnsi="Arial"/>
          <w:sz w:val="16"/>
          <w:szCs w:val="16"/>
          <w:color w:val="auto"/>
        </w:rPr>
        <w:t>growth amid the rapidly developing changes in the investment industry, including advancements in technology, increasing demand for customized portfolio construction tools and growing investor interest in private assets, among other evolving industry trends, and increasingly intense competition for top executive talent.</w:t>
      </w:r>
    </w:p>
    <w:p>
      <w:pPr>
        <w:spacing w:after="0" w:line="36" w:lineRule="exact"/>
        <w:rPr>
          <w:rFonts w:ascii="Arial" w:cs="Arial" w:eastAsia="Arial" w:hAnsi="Arial"/>
          <w:sz w:val="16"/>
          <w:szCs w:val="16"/>
          <w:color w:val="00A798"/>
        </w:rPr>
      </w:pPr>
    </w:p>
    <w:p>
      <w:pPr>
        <w:ind w:left="200" w:right="20" w:hanging="192"/>
        <w:spacing w:after="0" w:line="292"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Peer compensation practices: I</w:t>
      </w:r>
      <w:r>
        <w:rPr>
          <w:rFonts w:ascii="Arial" w:cs="Arial" w:eastAsia="Arial" w:hAnsi="Arial"/>
          <w:sz w:val="16"/>
          <w:szCs w:val="16"/>
          <w:color w:val="auto"/>
        </w:rPr>
        <w:t>n consultation with its independent compensation consultant, the Compensation Committee reviewed an in-depth</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of compensation practices among the Company’s peers and CEO pay opportunities and the performance-based weighting of CEO pay within the Company’s peer group.</w:t>
      </w:r>
    </w:p>
    <w:p>
      <w:pPr>
        <w:spacing w:after="0" w:line="30" w:lineRule="exact"/>
        <w:rPr>
          <w:rFonts w:ascii="Arial" w:cs="Arial" w:eastAsia="Arial" w:hAnsi="Arial"/>
          <w:sz w:val="16"/>
          <w:szCs w:val="16"/>
          <w:color w:val="00A798"/>
        </w:rPr>
      </w:pPr>
    </w:p>
    <w:p>
      <w:pPr>
        <w:ind w:left="200" w:right="40" w:hanging="192"/>
        <w:spacing w:after="0" w:line="282"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 xml:space="preserve">Share price performance as the core metric of successful execution of MSCI’s strategic priorities: </w:t>
      </w:r>
      <w:r>
        <w:rPr>
          <w:rFonts w:ascii="Arial" w:cs="Arial" w:eastAsia="Arial" w:hAnsi="Arial"/>
          <w:sz w:val="16"/>
          <w:szCs w:val="16"/>
          <w:color w:val="auto"/>
        </w:rPr>
        <w:t>The Compensation Committee considered</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award structures and determined that premium-priced stock options best reflected the Compensation Committee’s objectives. Unlike other performance awards we grant under the LTIP, the performance hurdles of the PPOs are fixed into the exercise price—meaning even after the stock price hurdle is satisfied, Mr. Fernandez will only realize value to the extent our share price continues to appreciate thereafter. As a result, there is meaningful risk that some or all of the PPOs could result in zero realizable value if the Company’s share price does not reach and sustain the premium exercise price thresholds. The Compensation Committee believes this rigorous performance structure further aligns Mr. Fernandez’s interest with those of our shareholders.</w:t>
      </w:r>
    </w:p>
    <w:p>
      <w:pPr>
        <w:spacing w:after="0" w:line="39" w:lineRule="exact"/>
        <w:rPr>
          <w:rFonts w:ascii="Arial" w:cs="Arial" w:eastAsia="Arial" w:hAnsi="Arial"/>
          <w:sz w:val="16"/>
          <w:szCs w:val="16"/>
          <w:color w:val="00A798"/>
        </w:rPr>
      </w:pPr>
    </w:p>
    <w:p>
      <w:pPr>
        <w:ind w:left="200" w:right="60" w:hanging="192"/>
        <w:spacing w:after="0" w:line="282"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 xml:space="preserve">Strong long-term alignment with shareholders: </w:t>
      </w:r>
      <w:r>
        <w:rPr>
          <w:rFonts w:ascii="Arial" w:cs="Arial" w:eastAsia="Arial" w:hAnsi="Arial"/>
          <w:sz w:val="16"/>
          <w:szCs w:val="16"/>
          <w:color w:val="auto"/>
        </w:rPr>
        <w:t>The award is designed to reinforce long-term shareholder alignment through a five-year vesting period,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interim vesting opportunities and premium exercise prices that deliver zero value unless MSCI’s share price appreciates meaningfully above the closing share price on the trading day prior to grant date. Given that Mr. Fernandez is already one of the Company’s largest individual shareholders, the Compensation Committee structured the award to reward only exceptional future performance rather than provide incremental value tied to the Company’s current valuation.</w:t>
      </w:r>
    </w:p>
    <w:p>
      <w:pPr>
        <w:spacing w:after="0" w:line="39" w:lineRule="exact"/>
        <w:rPr>
          <w:rFonts w:ascii="Arial" w:cs="Arial" w:eastAsia="Arial" w:hAnsi="Arial"/>
          <w:sz w:val="16"/>
          <w:szCs w:val="16"/>
          <w:color w:val="00A798"/>
        </w:rPr>
      </w:pPr>
    </w:p>
    <w:p>
      <w:pPr>
        <w:ind w:left="200" w:right="160" w:hanging="192"/>
        <w:spacing w:after="0" w:line="289"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Robust retention and ownership requirements</w:t>
      </w:r>
      <w:r>
        <w:rPr>
          <w:rFonts w:ascii="Arial" w:cs="Arial" w:eastAsia="Arial" w:hAnsi="Arial"/>
          <w:sz w:val="16"/>
          <w:szCs w:val="16"/>
          <w:color w:val="auto"/>
        </w:rPr>
        <w:t>: The award is also subject to the Company’s existing stock retention requirements, under which Mr.</w:t>
      </w:r>
      <w:r>
        <w:rPr>
          <w:rFonts w:ascii="Arial" w:cs="Arial" w:eastAsia="Arial" w:hAnsi="Arial"/>
          <w:sz w:val="16"/>
          <w:szCs w:val="16"/>
          <w:b w:val="1"/>
          <w:bCs w:val="1"/>
          <w:color w:val="auto"/>
        </w:rPr>
        <w:t xml:space="preserve"> </w:t>
      </w:r>
      <w:r>
        <w:rPr>
          <w:rFonts w:ascii="Arial" w:cs="Arial" w:eastAsia="Arial" w:hAnsi="Arial"/>
          <w:sz w:val="16"/>
          <w:szCs w:val="16"/>
          <w:color w:val="auto"/>
        </w:rPr>
        <w:t>Fernandez must maintain 25% of net shares realized following any stock option exercise through the end of his service on the Management Committee. These retention requirements apply in addition to the Company’s stock ownership guidelines, which require Mr. Fernandez to hold shares equivalent to twelve times his annual base salary.</w:t>
      </w:r>
    </w:p>
    <w:p>
      <w:pPr>
        <w:spacing w:after="0" w:line="31" w:lineRule="exact"/>
        <w:rPr>
          <w:rFonts w:ascii="Arial" w:cs="Arial" w:eastAsia="Arial" w:hAnsi="Arial"/>
          <w:sz w:val="16"/>
          <w:szCs w:val="16"/>
          <w:color w:val="00A798"/>
        </w:rPr>
      </w:pPr>
    </w:p>
    <w:p>
      <w:pPr>
        <w:ind w:left="200" w:right="40" w:hanging="192"/>
        <w:spacing w:after="0" w:line="292" w:lineRule="auto"/>
        <w:tabs>
          <w:tab w:leader="none" w:pos="157" w:val="left"/>
        </w:tabs>
        <w:numPr>
          <w:ilvl w:val="0"/>
          <w:numId w:val="94"/>
        </w:numPr>
        <w:rPr>
          <w:rFonts w:ascii="Arial" w:cs="Arial" w:eastAsia="Arial" w:hAnsi="Arial"/>
          <w:sz w:val="16"/>
          <w:szCs w:val="16"/>
          <w:color w:val="00A798"/>
        </w:rPr>
      </w:pPr>
      <w:r>
        <w:rPr>
          <w:rFonts w:ascii="Arial" w:cs="Arial" w:eastAsia="Arial" w:hAnsi="Arial"/>
          <w:sz w:val="16"/>
          <w:szCs w:val="16"/>
          <w:b w:val="1"/>
          <w:bCs w:val="1"/>
          <w:color w:val="auto"/>
        </w:rPr>
        <w:t xml:space="preserve">This special award is not part of our regular compensation program. </w:t>
      </w:r>
      <w:r>
        <w:rPr>
          <w:rFonts w:ascii="Arial" w:cs="Arial" w:eastAsia="Arial" w:hAnsi="Arial"/>
          <w:sz w:val="16"/>
          <w:szCs w:val="16"/>
          <w:color w:val="auto"/>
        </w:rPr>
        <w:t>The Compensation Committee determined the award was warranted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strategic circumstances facing the Company, including the need for enhanced leadership continuity and focused execution during a pivotal period of market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276860</wp:posOffset>
            </wp:positionV>
            <wp:extent cx="556895" cy="145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Shareholder Engagement</w:t>
      </w:r>
    </w:p>
    <w:p>
      <w:pPr>
        <w:spacing w:after="0" w:line="100"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 xml:space="preserve">As part of our 2025 Corporate Responsibility off-season engagement, we engaged with shareholders representing approximately </w:t>
      </w:r>
      <w:r>
        <w:rPr>
          <w:rFonts w:ascii="Arial" w:cs="Arial" w:eastAsia="Arial" w:hAnsi="Arial"/>
          <w:sz w:val="15"/>
          <w:szCs w:val="15"/>
          <w:color w:val="auto"/>
        </w:rPr>
        <w:t>27.1%</w:t>
      </w:r>
      <w:r>
        <w:rPr>
          <w:rFonts w:ascii="Arial" w:cs="Arial" w:eastAsia="Arial" w:hAnsi="Arial"/>
          <w:sz w:val="16"/>
          <w:szCs w:val="16"/>
          <w:color w:val="auto"/>
        </w:rPr>
        <w:t xml:space="preserve"> of our outstanding shares on the design and rationale of the CEO special incentive award. Investors who met with us broadly acknowledged the importance of incentivizing continued contributions of Mr. Fernandez during this critical period of industry transformation and viewed positively the structure of the award. Investors specifically cited the rigor of the premium exercise price hurdles and expressed comfort with the award’s structure, noting that the significant premiums to the closing share price on the trading day prior to grant date ensure that Mr. Fernandez participates in value creation only after shareholders have realized substantial appreciation. Several investors highlighted that they view premium-priced options as carrying meaningful additional risk compared to at-the-money awards and that the performance thresholds embedded in the exercise prices are robust. See page 41 of this Proxy Statement for additional information regarding our shareholder engagement efforts in 2025.</w:t>
      </w:r>
    </w:p>
    <w:p>
      <w:pPr>
        <w:spacing w:after="0" w:line="11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For a description of the treatment of these awards upon a termination of employment or a change in control, see “Potential Payments Upon Termination or Change in Control” on page 95 of this Proxy Statement.</w:t>
      </w:r>
    </w:p>
    <w:p>
      <w:pPr>
        <w:spacing w:after="0" w:line="74" w:lineRule="exact"/>
        <w:rPr>
          <w:sz w:val="20"/>
          <w:szCs w:val="20"/>
          <w:color w:val="auto"/>
        </w:rPr>
      </w:pPr>
    </w:p>
    <w:p>
      <w:pPr>
        <w:ind w:right="400"/>
        <w:spacing w:after="0" w:line="284" w:lineRule="auto"/>
        <w:rPr>
          <w:sz w:val="20"/>
          <w:szCs w:val="20"/>
          <w:color w:val="auto"/>
        </w:rPr>
      </w:pPr>
      <w:r>
        <w:rPr>
          <w:rFonts w:ascii="Arial" w:cs="Arial" w:eastAsia="Arial" w:hAnsi="Arial"/>
          <w:sz w:val="16"/>
          <w:szCs w:val="16"/>
          <w:color w:val="auto"/>
        </w:rPr>
        <w:t>The grant date fair value of the award is reflected in the 2025 Summary Compensation Table and in the Grants of Plan-Based Awards table. The Compensation Committee notes that grant date accounting value is not indicative of the value ultimately realizable by the participant, which depends on future share price performance above the exercise prices.</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 PSU Award Payouts</w:t>
      </w:r>
    </w:p>
    <w:p>
      <w:pPr>
        <w:spacing w:after="0" w:line="99" w:lineRule="exact"/>
        <w:rPr>
          <w:sz w:val="20"/>
          <w:szCs w:val="20"/>
          <w:color w:val="auto"/>
        </w:rPr>
      </w:pPr>
    </w:p>
    <w:p>
      <w:pPr>
        <w:ind w:right="180"/>
        <w:spacing w:after="0" w:line="258" w:lineRule="auto"/>
        <w:rPr>
          <w:rFonts w:ascii="Arial" w:cs="Arial" w:eastAsia="Arial" w:hAnsi="Arial"/>
          <w:sz w:val="16"/>
          <w:szCs w:val="16"/>
          <w:color w:val="auto"/>
        </w:rPr>
      </w:pPr>
      <w:r>
        <w:rPr>
          <w:rFonts w:ascii="Arial" w:cs="Arial" w:eastAsia="Arial" w:hAnsi="Arial"/>
          <w:sz w:val="16"/>
          <w:szCs w:val="16"/>
          <w:color w:val="auto"/>
        </w:rPr>
        <w:t xml:space="preserve">The five-year performance period applicable to the PSUs granted to each of Messrs. Fernandez, Wiechmann, Pettit, Munari and Crum commenced on February 3, 2021 and concluded on February 2, 2026. The 2021 PSUs required a TSR CAGR of at least 10.00% to achieve threshold performance level (50% of opportunity), 12.50% to achieve target performance level (100% of opportunity), and 20.00% to achieve maximum performance level (200% of opportunity). The TSR CAGR achievement was below threshold performance level, resulting in no payout for the 5-year PSUs granted to each of Messrs. Fernandez, Wiechmann, Pettit, Munari and Crum on February 4, 2021. For more information on the threshold, target and maximum goals applicable to the 2021 PSUs, please see page </w:t>
      </w:r>
      <w:hyperlink r:id="rId386">
        <w:r>
          <w:rPr>
            <w:rFonts w:ascii="Arial" w:cs="Arial" w:eastAsia="Arial" w:hAnsi="Arial"/>
            <w:sz w:val="16"/>
            <w:szCs w:val="16"/>
            <w:color w:val="auto"/>
          </w:rPr>
          <w:t xml:space="preserve">81 </w:t>
        </w:r>
      </w:hyperlink>
      <w:r>
        <w:rPr>
          <w:rFonts w:ascii="Arial" w:cs="Arial" w:eastAsia="Arial" w:hAnsi="Arial"/>
          <w:sz w:val="16"/>
          <w:szCs w:val="16"/>
          <w:color w:val="auto"/>
        </w:rPr>
        <w:t>of our 2022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PSU Award Payouts</w:t>
      </w:r>
    </w:p>
    <w:p>
      <w:pPr>
        <w:spacing w:after="0" w:line="99" w:lineRule="exact"/>
        <w:rPr>
          <w:sz w:val="20"/>
          <w:szCs w:val="20"/>
          <w:color w:val="auto"/>
        </w:rPr>
      </w:pPr>
    </w:p>
    <w:p>
      <w:pPr>
        <w:spacing w:after="0" w:line="261" w:lineRule="auto"/>
        <w:rPr>
          <w:rFonts w:ascii="Arial" w:cs="Arial" w:eastAsia="Arial" w:hAnsi="Arial"/>
          <w:sz w:val="16"/>
          <w:szCs w:val="16"/>
          <w:color w:val="auto"/>
        </w:rPr>
      </w:pPr>
      <w:r>
        <w:rPr>
          <w:rFonts w:ascii="Arial" w:cs="Arial" w:eastAsia="Arial" w:hAnsi="Arial"/>
          <w:sz w:val="16"/>
          <w:szCs w:val="16"/>
          <w:color w:val="auto"/>
        </w:rPr>
        <w:t xml:space="preserve">The three-year performance period applicable to the PSUs granted to each of Messrs. Fernandez, Wiechmann, Pettit, Munari and Crum commenced on February 2, 2023 and concluded on February 1, 2026. The 2023 PSUs required a TSR CAGR of at least 8.00% to achieve threshold performance level (25% of opportunity), 10.00% to achieve target performance level (100% of opportunity), and 30.00% to achieve maximum performance level (300% of opportunity). The TSR CAGR achievement was below threshold performance level, resulting in no payout for the 3-year PSUs granted to each of Messrs. Fernandez, Wiechmann, Pettit, Munari and Crum on February 2, 2023. For more information on the threshold, target and maximum goals applicable to the 2023 PSUs, please see page </w:t>
      </w:r>
      <w:hyperlink r:id="rId387">
        <w:r>
          <w:rPr>
            <w:rFonts w:ascii="Arial" w:cs="Arial" w:eastAsia="Arial" w:hAnsi="Arial"/>
            <w:sz w:val="16"/>
            <w:szCs w:val="16"/>
            <w:color w:val="auto"/>
          </w:rPr>
          <w:t xml:space="preserve">77 </w:t>
        </w:r>
      </w:hyperlink>
      <w:r>
        <w:rPr>
          <w:rFonts w:ascii="Arial" w:cs="Arial" w:eastAsia="Arial" w:hAnsi="Arial"/>
          <w:sz w:val="16"/>
          <w:szCs w:val="16"/>
          <w:color w:val="auto"/>
        </w:rPr>
        <w:t>of our 2024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PSO Award Payouts</w:t>
      </w:r>
    </w:p>
    <w:p>
      <w:pPr>
        <w:spacing w:after="0" w:line="9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three-year performance period applicable to the PSOs granted to each of Messrs. Fernandez, Wiechmann, Pettit, Munari and Crum on January 1, 2023 concluded on December 31, 2025, and the service condition was satisfied on February 2, 2026, and resulted in the following level of achievement: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80" w:type="dxa"/>
            <w:vAlign w:val="bottom"/>
            <w:gridSpan w:val="4"/>
          </w:tcPr>
          <w:p>
            <w:pPr>
              <w:jc w:val="right"/>
              <w:ind w:right="204"/>
              <w:spacing w:after="0"/>
              <w:rPr>
                <w:sz w:val="20"/>
                <w:szCs w:val="20"/>
                <w:color w:val="auto"/>
              </w:rPr>
            </w:pPr>
            <w:r>
              <w:rPr>
                <w:rFonts w:ascii="Arial" w:cs="Arial" w:eastAsia="Arial" w:hAnsi="Arial"/>
                <w:sz w:val="14"/>
                <w:szCs w:val="14"/>
                <w:b w:val="1"/>
                <w:bCs w:val="1"/>
                <w:color w:val="auto"/>
              </w:rPr>
              <w:t>Performance Period: 2023-2025</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9"/>
        </w:trPr>
        <w:tc>
          <w:tcPr>
            <w:tcW w:w="1440" w:type="dxa"/>
            <w:vAlign w:val="bottom"/>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2280" w:type="dxa"/>
            <w:vAlign w:val="bottom"/>
            <w:tcBorders>
              <w:bottom w:val="single" w:sz="8" w:color="1A3FD6"/>
            </w:tcBorders>
            <w:gridSpan w:val="3"/>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720" w:type="dxa"/>
            <w:vAlign w:val="bottom"/>
            <w:tcBorders>
              <w:bottom w:val="single" w:sz="8" w:color="1A3FD6"/>
            </w:tcBorders>
          </w:tcPr>
          <w:p>
            <w:pPr>
              <w:spacing w:after="0"/>
              <w:rPr>
                <w:sz w:val="2"/>
                <w:szCs w:val="2"/>
                <w:color w:val="auto"/>
              </w:rPr>
            </w:pPr>
          </w:p>
        </w:tc>
        <w:tc>
          <w:tcPr>
            <w:tcW w:w="1560" w:type="dxa"/>
            <w:vAlign w:val="bottom"/>
            <w:tcBorders>
              <w:bottom w:val="single" w:sz="8" w:color="1A3FD6"/>
            </w:tcBorders>
            <w:gridSpan w:val="2"/>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2300" w:type="dxa"/>
            <w:vAlign w:val="bottom"/>
            <w:tcBorders>
              <w:bottom w:val="single" w:sz="8" w:color="1A3FD6"/>
            </w:tcBorders>
            <w:gridSpan w:val="3"/>
          </w:tcPr>
          <w:p>
            <w:pPr>
              <w:spacing w:after="0"/>
              <w:rPr>
                <w:sz w:val="2"/>
                <w:szCs w:val="2"/>
                <w:color w:val="auto"/>
              </w:rPr>
            </w:pPr>
          </w:p>
        </w:tc>
        <w:tc>
          <w:tcPr>
            <w:tcW w:w="560" w:type="dxa"/>
            <w:vAlign w:val="bottom"/>
            <w:tcBorders>
              <w:bottom w:val="single" w:sz="8" w:color="1A3FD6"/>
            </w:tcBorders>
          </w:tcPr>
          <w:p>
            <w:pPr>
              <w:spacing w:after="0"/>
              <w:rPr>
                <w:sz w:val="2"/>
                <w:szCs w:val="2"/>
                <w:color w:val="auto"/>
              </w:rPr>
            </w:pPr>
          </w:p>
        </w:tc>
        <w:tc>
          <w:tcPr>
            <w:tcW w:w="8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r>
      <w:tr>
        <w:trPr>
          <w:trHeight w:val="208"/>
        </w:trPr>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Threshold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8"/>
                <w:szCs w:val="18"/>
                <w:color w:val="auto"/>
              </w:rPr>
            </w:pPr>
          </w:p>
        </w:tc>
        <w:tc>
          <w:tcPr>
            <w:tcW w:w="2300" w:type="dxa"/>
            <w:vAlign w:val="bottom"/>
            <w:gridSpan w:val="3"/>
          </w:tcPr>
          <w:p>
            <w:pPr>
              <w:ind w:left="620"/>
              <w:spacing w:after="0"/>
              <w:rPr>
                <w:sz w:val="20"/>
                <w:szCs w:val="20"/>
                <w:color w:val="auto"/>
              </w:rPr>
            </w:pPr>
            <w:r>
              <w:rPr>
                <w:rFonts w:ascii="Arial" w:cs="Arial" w:eastAsia="Arial" w:hAnsi="Arial"/>
                <w:sz w:val="14"/>
                <w:szCs w:val="14"/>
                <w:b w:val="1"/>
                <w:bCs w:val="1"/>
                <w:color w:val="auto"/>
              </w:rPr>
              <w:t>Maximum</w:t>
            </w:r>
          </w:p>
        </w:tc>
        <w:tc>
          <w:tcPr>
            <w:tcW w:w="560" w:type="dxa"/>
            <w:vAlign w:val="bottom"/>
          </w:tcPr>
          <w:p>
            <w:pPr>
              <w:spacing w:after="0"/>
              <w:rPr>
                <w:sz w:val="18"/>
                <w:szCs w:val="18"/>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Actual</w:t>
            </w:r>
          </w:p>
        </w:tc>
        <w:tc>
          <w:tcPr>
            <w:tcW w:w="780" w:type="dxa"/>
            <w:vAlign w:val="bottom"/>
          </w:tcPr>
          <w:p>
            <w:pPr>
              <w:spacing w:after="0"/>
              <w:rPr>
                <w:sz w:val="18"/>
                <w:szCs w:val="18"/>
                <w:color w:val="auto"/>
              </w:rPr>
            </w:pPr>
          </w:p>
        </w:tc>
      </w:tr>
      <w:tr>
        <w:trPr>
          <w:trHeight w:val="29"/>
        </w:trPr>
        <w:tc>
          <w:tcPr>
            <w:tcW w:w="1440" w:type="dxa"/>
            <w:vAlign w:val="bottom"/>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980" w:type="dxa"/>
            <w:vAlign w:val="bottom"/>
            <w:tcBorders>
              <w:bottom w:val="single" w:sz="8" w:color="1A3FD6"/>
            </w:tcBorders>
          </w:tcPr>
          <w:p>
            <w:pPr>
              <w:spacing w:after="0"/>
              <w:rPr>
                <w:sz w:val="2"/>
                <w:szCs w:val="2"/>
                <w:color w:val="auto"/>
              </w:rPr>
            </w:pPr>
          </w:p>
        </w:tc>
        <w:tc>
          <w:tcPr>
            <w:tcW w:w="1160" w:type="dxa"/>
            <w:vAlign w:val="bottom"/>
            <w:tcBorders>
              <w:bottom w:val="single" w:sz="8" w:color="1A3FD6"/>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720" w:type="dxa"/>
            <w:vAlign w:val="bottom"/>
            <w:tcBorders>
              <w:bottom w:val="single" w:sz="8" w:color="1A3FD6"/>
            </w:tcBorders>
          </w:tcPr>
          <w:p>
            <w:pPr>
              <w:spacing w:after="0"/>
              <w:rPr>
                <w:sz w:val="2"/>
                <w:szCs w:val="2"/>
                <w:color w:val="auto"/>
              </w:rPr>
            </w:pPr>
          </w:p>
        </w:tc>
        <w:tc>
          <w:tcPr>
            <w:tcW w:w="1400" w:type="dxa"/>
            <w:vAlign w:val="bottom"/>
            <w:tcBorders>
              <w:bottom w:val="single" w:sz="8" w:color="1A3FD6"/>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980" w:type="dxa"/>
            <w:vAlign w:val="bottom"/>
            <w:tcBorders>
              <w:bottom w:val="single" w:sz="8" w:color="1A3FD6"/>
            </w:tcBorders>
          </w:tcPr>
          <w:p>
            <w:pPr>
              <w:spacing w:after="0"/>
              <w:rPr>
                <w:sz w:val="2"/>
                <w:szCs w:val="2"/>
                <w:color w:val="auto"/>
              </w:rPr>
            </w:pPr>
          </w:p>
        </w:tc>
        <w:tc>
          <w:tcPr>
            <w:tcW w:w="1160" w:type="dxa"/>
            <w:vAlign w:val="bottom"/>
            <w:tcBorders>
              <w:bottom w:val="single" w:sz="8" w:color="1A3FD6"/>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1A3FD6"/>
            </w:tcBorders>
          </w:tcPr>
          <w:p>
            <w:pPr>
              <w:spacing w:after="0"/>
              <w:rPr>
                <w:sz w:val="2"/>
                <w:szCs w:val="2"/>
                <w:color w:val="auto"/>
              </w:rPr>
            </w:pPr>
          </w:p>
        </w:tc>
        <w:tc>
          <w:tcPr>
            <w:tcW w:w="8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r>
      <w:tr>
        <w:trPr>
          <w:trHeight w:val="200"/>
        </w:trPr>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Payout (% of</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Payout (% of</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Payout (% of</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1440" w:type="dxa"/>
            <w:vAlign w:val="bottom"/>
          </w:tcPr>
          <w:p>
            <w:pPr>
              <w:ind w:left="20"/>
              <w:spacing w:after="0"/>
              <w:rPr>
                <w:sz w:val="20"/>
                <w:szCs w:val="20"/>
                <w:color w:val="auto"/>
              </w:rPr>
            </w:pPr>
            <w:r>
              <w:rPr>
                <w:rFonts w:ascii="Arial" w:cs="Arial" w:eastAsia="Arial" w:hAnsi="Arial"/>
                <w:sz w:val="14"/>
                <w:szCs w:val="14"/>
                <w:b w:val="1"/>
                <w:bCs w:val="1"/>
                <w:color w:val="auto"/>
              </w:rPr>
              <w:t>Metrics</w:t>
            </w:r>
          </w:p>
        </w:tc>
        <w:tc>
          <w:tcPr>
            <w:tcW w:w="240" w:type="dxa"/>
            <w:vAlign w:val="bottom"/>
          </w:tcPr>
          <w:p>
            <w:pPr>
              <w:spacing w:after="0"/>
              <w:rPr>
                <w:sz w:val="17"/>
                <w:szCs w:val="17"/>
                <w:color w:val="auto"/>
              </w:rPr>
            </w:pPr>
          </w:p>
        </w:tc>
        <w:tc>
          <w:tcPr>
            <w:tcW w:w="980" w:type="dxa"/>
            <w:vAlign w:val="bottom"/>
          </w:tcPr>
          <w:p>
            <w:pPr>
              <w:jc w:val="right"/>
              <w:ind w:right="184"/>
              <w:spacing w:after="0"/>
              <w:rPr>
                <w:sz w:val="20"/>
                <w:szCs w:val="20"/>
                <w:color w:val="auto"/>
              </w:rPr>
            </w:pPr>
            <w:r>
              <w:rPr>
                <w:rFonts w:ascii="Arial" w:cs="Arial" w:eastAsia="Arial" w:hAnsi="Arial"/>
                <w:sz w:val="14"/>
                <w:szCs w:val="14"/>
                <w:b w:val="1"/>
                <w:bCs w:val="1"/>
                <w:color w:val="auto"/>
              </w:rPr>
              <w:t>Goal</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Opportunity)</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Goal</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Opportunity)</w:t>
            </w:r>
          </w:p>
        </w:tc>
        <w:tc>
          <w:tcPr>
            <w:tcW w:w="240" w:type="dxa"/>
            <w:vAlign w:val="bottom"/>
          </w:tcPr>
          <w:p>
            <w:pPr>
              <w:spacing w:after="0"/>
              <w:rPr>
                <w:sz w:val="17"/>
                <w:szCs w:val="17"/>
                <w:color w:val="auto"/>
              </w:rPr>
            </w:pPr>
          </w:p>
        </w:tc>
        <w:tc>
          <w:tcPr>
            <w:tcW w:w="980" w:type="dxa"/>
            <w:vAlign w:val="bottom"/>
          </w:tcPr>
          <w:p>
            <w:pPr>
              <w:jc w:val="right"/>
              <w:ind w:right="184"/>
              <w:spacing w:after="0"/>
              <w:rPr>
                <w:sz w:val="20"/>
                <w:szCs w:val="20"/>
                <w:color w:val="auto"/>
              </w:rPr>
            </w:pPr>
            <w:r>
              <w:rPr>
                <w:rFonts w:ascii="Arial" w:cs="Arial" w:eastAsia="Arial" w:hAnsi="Arial"/>
                <w:sz w:val="14"/>
                <w:szCs w:val="14"/>
                <w:b w:val="1"/>
                <w:bCs w:val="1"/>
                <w:color w:val="auto"/>
              </w:rPr>
              <w:t>Goal</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Opportunity)</w:t>
            </w:r>
          </w:p>
        </w:tc>
        <w:tc>
          <w:tcPr>
            <w:tcW w:w="14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Achievement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Payout</w:t>
            </w:r>
          </w:p>
        </w:tc>
      </w:tr>
      <w:tr>
        <w:trPr>
          <w:trHeight w:val="29"/>
        </w:trPr>
        <w:tc>
          <w:tcPr>
            <w:tcW w:w="144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980" w:type="dxa"/>
            <w:vAlign w:val="bottom"/>
            <w:tcBorders>
              <w:bottom w:val="single" w:sz="8" w:color="1A3FD6"/>
            </w:tcBorders>
          </w:tcPr>
          <w:p>
            <w:pPr>
              <w:spacing w:after="0"/>
              <w:rPr>
                <w:sz w:val="2"/>
                <w:szCs w:val="2"/>
                <w:color w:val="auto"/>
              </w:rPr>
            </w:pPr>
          </w:p>
        </w:tc>
        <w:tc>
          <w:tcPr>
            <w:tcW w:w="1160" w:type="dxa"/>
            <w:vAlign w:val="bottom"/>
            <w:tcBorders>
              <w:bottom w:val="single" w:sz="8" w:color="1A3FD6"/>
            </w:tcBorders>
          </w:tcPr>
          <w:p>
            <w:pPr>
              <w:spacing w:after="0"/>
              <w:rPr>
                <w:sz w:val="2"/>
                <w:szCs w:val="2"/>
                <w:color w:val="auto"/>
              </w:rPr>
            </w:pPr>
          </w:p>
        </w:tc>
        <w:tc>
          <w:tcPr>
            <w:tcW w:w="14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720" w:type="dxa"/>
            <w:vAlign w:val="bottom"/>
            <w:tcBorders>
              <w:bottom w:val="single" w:sz="8" w:color="1A3FD6"/>
            </w:tcBorders>
          </w:tcPr>
          <w:p>
            <w:pPr>
              <w:spacing w:after="0"/>
              <w:rPr>
                <w:sz w:val="2"/>
                <w:szCs w:val="2"/>
                <w:color w:val="auto"/>
              </w:rPr>
            </w:pPr>
          </w:p>
        </w:tc>
        <w:tc>
          <w:tcPr>
            <w:tcW w:w="1400" w:type="dxa"/>
            <w:vAlign w:val="bottom"/>
            <w:tcBorders>
              <w:bottom w:val="single" w:sz="8" w:color="1A3FD6"/>
            </w:tcBorders>
          </w:tcPr>
          <w:p>
            <w:pPr>
              <w:spacing w:after="0"/>
              <w:rPr>
                <w:sz w:val="2"/>
                <w:szCs w:val="2"/>
                <w:color w:val="auto"/>
              </w:rPr>
            </w:pPr>
          </w:p>
        </w:tc>
        <w:tc>
          <w:tcPr>
            <w:tcW w:w="160" w:type="dxa"/>
            <w:vAlign w:val="bottom"/>
            <w:tcBorders>
              <w:bottom w:val="single" w:sz="8" w:color="1A3FD6"/>
            </w:tcBorders>
          </w:tcPr>
          <w:p>
            <w:pPr>
              <w:spacing w:after="0"/>
              <w:rPr>
                <w:sz w:val="2"/>
                <w:szCs w:val="2"/>
                <w:color w:val="auto"/>
              </w:rPr>
            </w:pPr>
          </w:p>
        </w:tc>
        <w:tc>
          <w:tcPr>
            <w:tcW w:w="240" w:type="dxa"/>
            <w:vAlign w:val="bottom"/>
            <w:tcBorders>
              <w:bottom w:val="single" w:sz="8" w:color="1A3FD6"/>
            </w:tcBorders>
          </w:tcPr>
          <w:p>
            <w:pPr>
              <w:spacing w:after="0"/>
              <w:rPr>
                <w:sz w:val="2"/>
                <w:szCs w:val="2"/>
                <w:color w:val="auto"/>
              </w:rPr>
            </w:pPr>
          </w:p>
        </w:tc>
        <w:tc>
          <w:tcPr>
            <w:tcW w:w="980" w:type="dxa"/>
            <w:vAlign w:val="bottom"/>
            <w:tcBorders>
              <w:bottom w:val="single" w:sz="8" w:color="1A3FD6"/>
            </w:tcBorders>
          </w:tcPr>
          <w:p>
            <w:pPr>
              <w:spacing w:after="0"/>
              <w:rPr>
                <w:sz w:val="2"/>
                <w:szCs w:val="2"/>
                <w:color w:val="auto"/>
              </w:rPr>
            </w:pPr>
          </w:p>
        </w:tc>
        <w:tc>
          <w:tcPr>
            <w:tcW w:w="1160" w:type="dxa"/>
            <w:vAlign w:val="bottom"/>
            <w:tcBorders>
              <w:bottom w:val="single" w:sz="8" w:color="1A3FD6"/>
            </w:tcBorders>
          </w:tcPr>
          <w:p>
            <w:pPr>
              <w:spacing w:after="0"/>
              <w:rPr>
                <w:sz w:val="2"/>
                <w:szCs w:val="2"/>
                <w:color w:val="auto"/>
              </w:rPr>
            </w:pPr>
          </w:p>
        </w:tc>
        <w:tc>
          <w:tcPr>
            <w:tcW w:w="160" w:type="dxa"/>
            <w:vAlign w:val="bottom"/>
            <w:tcBorders>
              <w:bottom w:val="single" w:sz="8" w:color="1A3FD6"/>
            </w:tcBorders>
          </w:tcPr>
          <w:p>
            <w:pPr>
              <w:spacing w:after="0"/>
              <w:rPr>
                <w:sz w:val="2"/>
                <w:szCs w:val="2"/>
                <w:color w:val="auto"/>
              </w:rPr>
            </w:pPr>
          </w:p>
        </w:tc>
        <w:tc>
          <w:tcPr>
            <w:tcW w:w="560" w:type="dxa"/>
            <w:vAlign w:val="bottom"/>
            <w:tcBorders>
              <w:bottom w:val="single" w:sz="8" w:color="1A3FD6"/>
            </w:tcBorders>
          </w:tcPr>
          <w:p>
            <w:pPr>
              <w:spacing w:after="0"/>
              <w:rPr>
                <w:sz w:val="2"/>
                <w:szCs w:val="2"/>
                <w:color w:val="auto"/>
              </w:rPr>
            </w:pPr>
          </w:p>
        </w:tc>
        <w:tc>
          <w:tcPr>
            <w:tcW w:w="8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r>
      <w:tr>
        <w:trPr>
          <w:trHeight w:val="221"/>
        </w:trPr>
        <w:tc>
          <w:tcPr>
            <w:tcW w:w="1440" w:type="dxa"/>
            <w:vAlign w:val="bottom"/>
          </w:tcPr>
          <w:p>
            <w:pPr>
              <w:ind w:left="20"/>
              <w:spacing w:after="0"/>
              <w:rPr>
                <w:sz w:val="20"/>
                <w:szCs w:val="20"/>
                <w:color w:val="auto"/>
              </w:rPr>
            </w:pPr>
            <w:r>
              <w:rPr>
                <w:rFonts w:ascii="Arial" w:cs="Arial" w:eastAsia="Arial" w:hAnsi="Arial"/>
                <w:sz w:val="16"/>
                <w:szCs w:val="16"/>
                <w:color w:val="auto"/>
              </w:rPr>
              <w:t>Cumulative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4"/>
              <w:spacing w:after="0"/>
              <w:rPr>
                <w:sz w:val="20"/>
                <w:szCs w:val="20"/>
                <w:color w:val="auto"/>
              </w:rPr>
            </w:pPr>
            <w:r>
              <w:rPr>
                <w:rFonts w:ascii="Arial" w:cs="Arial" w:eastAsia="Arial" w:hAnsi="Arial"/>
                <w:sz w:val="16"/>
                <w:szCs w:val="16"/>
                <w:color w:val="auto"/>
              </w:rPr>
              <w:t>8,258.6</w:t>
            </w: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8,514.0</w:t>
            </w: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4"/>
              <w:spacing w:after="0"/>
              <w:rPr>
                <w:sz w:val="20"/>
                <w:szCs w:val="20"/>
                <w:color w:val="auto"/>
              </w:rPr>
            </w:pPr>
            <w:r>
              <w:rPr>
                <w:rFonts w:ascii="Arial" w:cs="Arial" w:eastAsia="Arial" w:hAnsi="Arial"/>
                <w:sz w:val="16"/>
                <w:szCs w:val="16"/>
                <w:color w:val="auto"/>
              </w:rPr>
              <w:t>8,769.4</w:t>
            </w: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9"/>
                <w:szCs w:val="19"/>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8,519.5</w:t>
            </w:r>
          </w:p>
        </w:tc>
        <w:tc>
          <w:tcPr>
            <w:tcW w:w="78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04"/>
        </w:trPr>
        <w:tc>
          <w:tcPr>
            <w:tcW w:w="14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5"/>
        </w:trPr>
        <w:tc>
          <w:tcPr>
            <w:tcW w:w="1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3"/>
        </w:trPr>
        <w:tc>
          <w:tcPr>
            <w:tcW w:w="1440" w:type="dxa"/>
            <w:vAlign w:val="bottom"/>
            <w:tcBorders>
              <w:bottom w:val="single" w:sz="8" w:color="E6E7EB"/>
            </w:tcBorders>
          </w:tcPr>
          <w:p>
            <w:pPr>
              <w:spacing w:after="0"/>
              <w:rPr>
                <w:sz w:val="3"/>
                <w:szCs w:val="3"/>
                <w:color w:val="auto"/>
              </w:rPr>
            </w:pPr>
          </w:p>
        </w:tc>
        <w:tc>
          <w:tcPr>
            <w:tcW w:w="240" w:type="dxa"/>
            <w:vAlign w:val="bottom"/>
            <w:tcBorders>
              <w:bottom w:val="single" w:sz="8" w:color="E6E7EB"/>
            </w:tcBorders>
          </w:tcPr>
          <w:p>
            <w:pPr>
              <w:spacing w:after="0"/>
              <w:rPr>
                <w:sz w:val="3"/>
                <w:szCs w:val="3"/>
                <w:color w:val="auto"/>
              </w:rPr>
            </w:pPr>
          </w:p>
        </w:tc>
        <w:tc>
          <w:tcPr>
            <w:tcW w:w="980" w:type="dxa"/>
            <w:vAlign w:val="bottom"/>
            <w:tcBorders>
              <w:bottom w:val="single" w:sz="8" w:color="E6E7EB"/>
            </w:tcBorders>
          </w:tcPr>
          <w:p>
            <w:pPr>
              <w:spacing w:after="0"/>
              <w:rPr>
                <w:sz w:val="3"/>
                <w:szCs w:val="3"/>
                <w:color w:val="auto"/>
              </w:rPr>
            </w:pPr>
          </w:p>
        </w:tc>
        <w:tc>
          <w:tcPr>
            <w:tcW w:w="1160" w:type="dxa"/>
            <w:vAlign w:val="bottom"/>
            <w:tcBorders>
              <w:bottom w:val="single" w:sz="8" w:color="E6E7EB"/>
            </w:tcBorders>
          </w:tcPr>
          <w:p>
            <w:pPr>
              <w:spacing w:after="0"/>
              <w:rPr>
                <w:sz w:val="3"/>
                <w:szCs w:val="3"/>
                <w:color w:val="auto"/>
              </w:rPr>
            </w:pPr>
          </w:p>
        </w:tc>
        <w:tc>
          <w:tcPr>
            <w:tcW w:w="140" w:type="dxa"/>
            <w:vAlign w:val="bottom"/>
            <w:tcBorders>
              <w:bottom w:val="single" w:sz="8" w:color="E6E7EB"/>
            </w:tcBorders>
          </w:tcPr>
          <w:p>
            <w:pPr>
              <w:spacing w:after="0"/>
              <w:rPr>
                <w:sz w:val="3"/>
                <w:szCs w:val="3"/>
                <w:color w:val="auto"/>
              </w:rPr>
            </w:pPr>
          </w:p>
        </w:tc>
        <w:tc>
          <w:tcPr>
            <w:tcW w:w="240" w:type="dxa"/>
            <w:vAlign w:val="bottom"/>
            <w:tcBorders>
              <w:bottom w:val="single" w:sz="8" w:color="E6E7EB"/>
            </w:tcBorders>
          </w:tcPr>
          <w:p>
            <w:pPr>
              <w:spacing w:after="0"/>
              <w:rPr>
                <w:sz w:val="3"/>
                <w:szCs w:val="3"/>
                <w:color w:val="auto"/>
              </w:rPr>
            </w:pPr>
          </w:p>
        </w:tc>
        <w:tc>
          <w:tcPr>
            <w:tcW w:w="720" w:type="dxa"/>
            <w:vAlign w:val="bottom"/>
            <w:tcBorders>
              <w:bottom w:val="single" w:sz="8" w:color="E6E7EB"/>
            </w:tcBorders>
          </w:tcPr>
          <w:p>
            <w:pPr>
              <w:spacing w:after="0"/>
              <w:rPr>
                <w:sz w:val="3"/>
                <w:szCs w:val="3"/>
                <w:color w:val="auto"/>
              </w:rPr>
            </w:pPr>
          </w:p>
        </w:tc>
        <w:tc>
          <w:tcPr>
            <w:tcW w:w="1400" w:type="dxa"/>
            <w:vAlign w:val="bottom"/>
            <w:tcBorders>
              <w:bottom w:val="single" w:sz="8" w:color="E6E7EB"/>
            </w:tcBorders>
          </w:tcPr>
          <w:p>
            <w:pPr>
              <w:spacing w:after="0"/>
              <w:rPr>
                <w:sz w:val="3"/>
                <w:szCs w:val="3"/>
                <w:color w:val="auto"/>
              </w:rPr>
            </w:pPr>
          </w:p>
        </w:tc>
        <w:tc>
          <w:tcPr>
            <w:tcW w:w="160" w:type="dxa"/>
            <w:vAlign w:val="bottom"/>
            <w:tcBorders>
              <w:bottom w:val="single" w:sz="8" w:color="E6E7EB"/>
            </w:tcBorders>
          </w:tcPr>
          <w:p>
            <w:pPr>
              <w:spacing w:after="0"/>
              <w:rPr>
                <w:sz w:val="3"/>
                <w:szCs w:val="3"/>
                <w:color w:val="auto"/>
              </w:rPr>
            </w:pPr>
          </w:p>
        </w:tc>
        <w:tc>
          <w:tcPr>
            <w:tcW w:w="240" w:type="dxa"/>
            <w:vAlign w:val="bottom"/>
            <w:tcBorders>
              <w:bottom w:val="single" w:sz="8" w:color="E6E7EB"/>
            </w:tcBorders>
          </w:tcPr>
          <w:p>
            <w:pPr>
              <w:spacing w:after="0"/>
              <w:rPr>
                <w:sz w:val="3"/>
                <w:szCs w:val="3"/>
                <w:color w:val="auto"/>
              </w:rPr>
            </w:pPr>
          </w:p>
        </w:tc>
        <w:tc>
          <w:tcPr>
            <w:tcW w:w="980" w:type="dxa"/>
            <w:vAlign w:val="bottom"/>
            <w:tcBorders>
              <w:bottom w:val="single" w:sz="8" w:color="E6E7EB"/>
            </w:tcBorders>
          </w:tcPr>
          <w:p>
            <w:pPr>
              <w:spacing w:after="0"/>
              <w:rPr>
                <w:sz w:val="3"/>
                <w:szCs w:val="3"/>
                <w:color w:val="auto"/>
              </w:rPr>
            </w:pPr>
          </w:p>
        </w:tc>
        <w:tc>
          <w:tcPr>
            <w:tcW w:w="1160" w:type="dxa"/>
            <w:vAlign w:val="bottom"/>
            <w:tcBorders>
              <w:bottom w:val="single" w:sz="8" w:color="E6E7EB"/>
            </w:tcBorders>
          </w:tcPr>
          <w:p>
            <w:pPr>
              <w:spacing w:after="0"/>
              <w:rPr>
                <w:sz w:val="3"/>
                <w:szCs w:val="3"/>
                <w:color w:val="auto"/>
              </w:rPr>
            </w:pPr>
          </w:p>
        </w:tc>
        <w:tc>
          <w:tcPr>
            <w:tcW w:w="160" w:type="dxa"/>
            <w:vAlign w:val="bottom"/>
            <w:tcBorders>
              <w:bottom w:val="single" w:sz="8" w:color="E6E7EB"/>
            </w:tcBorders>
          </w:tcPr>
          <w:p>
            <w:pPr>
              <w:spacing w:after="0"/>
              <w:rPr>
                <w:sz w:val="3"/>
                <w:szCs w:val="3"/>
                <w:color w:val="auto"/>
              </w:rPr>
            </w:pPr>
          </w:p>
        </w:tc>
        <w:tc>
          <w:tcPr>
            <w:tcW w:w="560" w:type="dxa"/>
            <w:vAlign w:val="bottom"/>
            <w:tcBorders>
              <w:bottom w:val="single" w:sz="8" w:color="E6E7EB"/>
            </w:tcBorders>
          </w:tcPr>
          <w:p>
            <w:pPr>
              <w:spacing w:after="0"/>
              <w:rPr>
                <w:sz w:val="3"/>
                <w:szCs w:val="3"/>
                <w:color w:val="auto"/>
              </w:rPr>
            </w:pPr>
          </w:p>
        </w:tc>
        <w:tc>
          <w:tcPr>
            <w:tcW w:w="880" w:type="dxa"/>
            <w:vAlign w:val="bottom"/>
            <w:tcBorders>
              <w:bottom w:val="single" w:sz="8" w:color="E6E7EB"/>
            </w:tcBorders>
          </w:tcPr>
          <w:p>
            <w:pPr>
              <w:spacing w:after="0"/>
              <w:rPr>
                <w:sz w:val="3"/>
                <w:szCs w:val="3"/>
                <w:color w:val="auto"/>
              </w:rPr>
            </w:pPr>
          </w:p>
        </w:tc>
        <w:tc>
          <w:tcPr>
            <w:tcW w:w="780" w:type="dxa"/>
            <w:vAlign w:val="bottom"/>
            <w:tcBorders>
              <w:bottom w:val="single" w:sz="8" w:color="E6E7EB"/>
            </w:tcBorders>
          </w:tcPr>
          <w:p>
            <w:pPr>
              <w:spacing w:after="0"/>
              <w:rPr>
                <w:sz w:val="3"/>
                <w:szCs w:val="3"/>
                <w:color w:val="auto"/>
              </w:rPr>
            </w:pPr>
          </w:p>
        </w:tc>
      </w:tr>
      <w:tr>
        <w:trPr>
          <w:trHeight w:val="221"/>
        </w:trPr>
        <w:tc>
          <w:tcPr>
            <w:tcW w:w="1440" w:type="dxa"/>
            <w:vAlign w:val="bottom"/>
          </w:tcPr>
          <w:p>
            <w:pPr>
              <w:ind w:left="20"/>
              <w:spacing w:after="0"/>
              <w:rPr>
                <w:sz w:val="20"/>
                <w:szCs w:val="20"/>
                <w:color w:val="auto"/>
              </w:rPr>
            </w:pPr>
            <w:r>
              <w:rPr>
                <w:rFonts w:ascii="Arial" w:cs="Arial" w:eastAsia="Arial" w:hAnsi="Arial"/>
                <w:sz w:val="16"/>
                <w:szCs w:val="16"/>
                <w:color w:val="auto"/>
              </w:rPr>
              <w:t>Adjusted EPS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4"/>
              <w:spacing w:after="0"/>
              <w:rPr>
                <w:sz w:val="20"/>
                <w:szCs w:val="20"/>
                <w:color w:val="auto"/>
              </w:rPr>
            </w:pPr>
            <w:r>
              <w:rPr>
                <w:rFonts w:ascii="Arial" w:cs="Arial" w:eastAsia="Arial" w:hAnsi="Arial"/>
                <w:sz w:val="16"/>
                <w:szCs w:val="16"/>
                <w:color w:val="auto"/>
              </w:rPr>
              <w:t>40.58</w:t>
            </w: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43.17</w:t>
            </w:r>
          </w:p>
        </w:tc>
        <w:tc>
          <w:tcPr>
            <w:tcW w:w="14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44"/>
              <w:spacing w:after="0"/>
              <w:rPr>
                <w:sz w:val="20"/>
                <w:szCs w:val="20"/>
                <w:color w:val="auto"/>
              </w:rPr>
            </w:pPr>
            <w:r>
              <w:rPr>
                <w:rFonts w:ascii="Arial" w:cs="Arial" w:eastAsia="Arial" w:hAnsi="Arial"/>
                <w:sz w:val="16"/>
                <w:szCs w:val="16"/>
                <w:color w:val="auto"/>
              </w:rPr>
              <w:t>45.76</w:t>
            </w: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9"/>
                <w:szCs w:val="19"/>
                <w:color w:val="auto"/>
              </w:rPr>
            </w:pPr>
          </w:p>
        </w:tc>
        <w:tc>
          <w:tcPr>
            <w:tcW w:w="5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2"/>
              <w:spacing w:after="0"/>
              <w:rPr>
                <w:sz w:val="20"/>
                <w:szCs w:val="20"/>
                <w:color w:val="auto"/>
              </w:rPr>
            </w:pPr>
            <w:r>
              <w:rPr>
                <w:rFonts w:ascii="Arial" w:cs="Arial" w:eastAsia="Arial" w:hAnsi="Arial"/>
                <w:sz w:val="16"/>
                <w:szCs w:val="16"/>
                <w:color w:val="auto"/>
              </w:rPr>
              <w:t>46.00</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42"/>
        </w:trPr>
        <w:tc>
          <w:tcPr>
            <w:tcW w:w="1440" w:type="dxa"/>
            <w:vAlign w:val="bottom"/>
            <w:tcBorders>
              <w:bottom w:val="single" w:sz="8" w:color="1A3FD6"/>
            </w:tcBorders>
          </w:tcPr>
          <w:p>
            <w:pPr>
              <w:spacing w:after="0"/>
              <w:rPr>
                <w:sz w:val="3"/>
                <w:szCs w:val="3"/>
                <w:color w:val="auto"/>
              </w:rPr>
            </w:pPr>
          </w:p>
        </w:tc>
        <w:tc>
          <w:tcPr>
            <w:tcW w:w="240" w:type="dxa"/>
            <w:vAlign w:val="bottom"/>
            <w:tcBorders>
              <w:bottom w:val="single" w:sz="8" w:color="1A3FD6"/>
            </w:tcBorders>
          </w:tcPr>
          <w:p>
            <w:pPr>
              <w:spacing w:after="0"/>
              <w:rPr>
                <w:sz w:val="3"/>
                <w:szCs w:val="3"/>
                <w:color w:val="auto"/>
              </w:rPr>
            </w:pPr>
          </w:p>
        </w:tc>
        <w:tc>
          <w:tcPr>
            <w:tcW w:w="980" w:type="dxa"/>
            <w:vAlign w:val="bottom"/>
            <w:tcBorders>
              <w:bottom w:val="single" w:sz="8" w:color="1A3FD6"/>
            </w:tcBorders>
          </w:tcPr>
          <w:p>
            <w:pPr>
              <w:spacing w:after="0"/>
              <w:rPr>
                <w:sz w:val="3"/>
                <w:szCs w:val="3"/>
                <w:color w:val="auto"/>
              </w:rPr>
            </w:pPr>
          </w:p>
        </w:tc>
        <w:tc>
          <w:tcPr>
            <w:tcW w:w="1160" w:type="dxa"/>
            <w:vAlign w:val="bottom"/>
            <w:tcBorders>
              <w:bottom w:val="single" w:sz="8" w:color="1A3FD6"/>
            </w:tcBorders>
          </w:tcPr>
          <w:p>
            <w:pPr>
              <w:spacing w:after="0"/>
              <w:rPr>
                <w:sz w:val="3"/>
                <w:szCs w:val="3"/>
                <w:color w:val="auto"/>
              </w:rPr>
            </w:pPr>
          </w:p>
        </w:tc>
        <w:tc>
          <w:tcPr>
            <w:tcW w:w="140" w:type="dxa"/>
            <w:vAlign w:val="bottom"/>
            <w:tcBorders>
              <w:bottom w:val="single" w:sz="8" w:color="1A3FD6"/>
            </w:tcBorders>
          </w:tcPr>
          <w:p>
            <w:pPr>
              <w:spacing w:after="0"/>
              <w:rPr>
                <w:sz w:val="3"/>
                <w:szCs w:val="3"/>
                <w:color w:val="auto"/>
              </w:rPr>
            </w:pPr>
          </w:p>
        </w:tc>
        <w:tc>
          <w:tcPr>
            <w:tcW w:w="240" w:type="dxa"/>
            <w:vAlign w:val="bottom"/>
            <w:tcBorders>
              <w:bottom w:val="single" w:sz="8" w:color="1A3FD6"/>
            </w:tcBorders>
          </w:tcPr>
          <w:p>
            <w:pPr>
              <w:spacing w:after="0"/>
              <w:rPr>
                <w:sz w:val="3"/>
                <w:szCs w:val="3"/>
                <w:color w:val="auto"/>
              </w:rPr>
            </w:pPr>
          </w:p>
        </w:tc>
        <w:tc>
          <w:tcPr>
            <w:tcW w:w="720" w:type="dxa"/>
            <w:vAlign w:val="bottom"/>
            <w:tcBorders>
              <w:bottom w:val="single" w:sz="8" w:color="1A3FD6"/>
            </w:tcBorders>
          </w:tcPr>
          <w:p>
            <w:pPr>
              <w:spacing w:after="0"/>
              <w:rPr>
                <w:sz w:val="3"/>
                <w:szCs w:val="3"/>
                <w:color w:val="auto"/>
              </w:rPr>
            </w:pPr>
          </w:p>
        </w:tc>
        <w:tc>
          <w:tcPr>
            <w:tcW w:w="1400" w:type="dxa"/>
            <w:vAlign w:val="bottom"/>
            <w:tcBorders>
              <w:bottom w:val="single" w:sz="8" w:color="1A3FD6"/>
            </w:tcBorders>
          </w:tcPr>
          <w:p>
            <w:pPr>
              <w:spacing w:after="0"/>
              <w:rPr>
                <w:sz w:val="3"/>
                <w:szCs w:val="3"/>
                <w:color w:val="auto"/>
              </w:rPr>
            </w:pPr>
          </w:p>
        </w:tc>
        <w:tc>
          <w:tcPr>
            <w:tcW w:w="160" w:type="dxa"/>
            <w:vAlign w:val="bottom"/>
            <w:tcBorders>
              <w:bottom w:val="single" w:sz="8" w:color="1A3FD6"/>
            </w:tcBorders>
          </w:tcPr>
          <w:p>
            <w:pPr>
              <w:spacing w:after="0"/>
              <w:rPr>
                <w:sz w:val="3"/>
                <w:szCs w:val="3"/>
                <w:color w:val="auto"/>
              </w:rPr>
            </w:pPr>
          </w:p>
        </w:tc>
        <w:tc>
          <w:tcPr>
            <w:tcW w:w="240" w:type="dxa"/>
            <w:vAlign w:val="bottom"/>
            <w:tcBorders>
              <w:bottom w:val="single" w:sz="8" w:color="1A3FD6"/>
            </w:tcBorders>
          </w:tcPr>
          <w:p>
            <w:pPr>
              <w:spacing w:after="0"/>
              <w:rPr>
                <w:sz w:val="3"/>
                <w:szCs w:val="3"/>
                <w:color w:val="auto"/>
              </w:rPr>
            </w:pPr>
          </w:p>
        </w:tc>
        <w:tc>
          <w:tcPr>
            <w:tcW w:w="980" w:type="dxa"/>
            <w:vAlign w:val="bottom"/>
            <w:tcBorders>
              <w:bottom w:val="single" w:sz="8" w:color="1A3FD6"/>
            </w:tcBorders>
          </w:tcPr>
          <w:p>
            <w:pPr>
              <w:spacing w:after="0"/>
              <w:rPr>
                <w:sz w:val="3"/>
                <w:szCs w:val="3"/>
                <w:color w:val="auto"/>
              </w:rPr>
            </w:pPr>
          </w:p>
        </w:tc>
        <w:tc>
          <w:tcPr>
            <w:tcW w:w="1160" w:type="dxa"/>
            <w:vAlign w:val="bottom"/>
            <w:tcBorders>
              <w:bottom w:val="single" w:sz="8" w:color="1A3FD6"/>
            </w:tcBorders>
          </w:tcPr>
          <w:p>
            <w:pPr>
              <w:spacing w:after="0"/>
              <w:rPr>
                <w:sz w:val="3"/>
                <w:szCs w:val="3"/>
                <w:color w:val="auto"/>
              </w:rPr>
            </w:pPr>
          </w:p>
        </w:tc>
        <w:tc>
          <w:tcPr>
            <w:tcW w:w="160" w:type="dxa"/>
            <w:vAlign w:val="bottom"/>
            <w:tcBorders>
              <w:bottom w:val="single" w:sz="8" w:color="1A3FD6"/>
            </w:tcBorders>
          </w:tcPr>
          <w:p>
            <w:pPr>
              <w:spacing w:after="0"/>
              <w:rPr>
                <w:sz w:val="3"/>
                <w:szCs w:val="3"/>
                <w:color w:val="auto"/>
              </w:rPr>
            </w:pPr>
          </w:p>
        </w:tc>
        <w:tc>
          <w:tcPr>
            <w:tcW w:w="560" w:type="dxa"/>
            <w:vAlign w:val="bottom"/>
            <w:tcBorders>
              <w:bottom w:val="single" w:sz="8" w:color="1A3FD6"/>
            </w:tcBorders>
          </w:tcPr>
          <w:p>
            <w:pPr>
              <w:spacing w:after="0"/>
              <w:rPr>
                <w:sz w:val="3"/>
                <w:szCs w:val="3"/>
                <w:color w:val="auto"/>
              </w:rPr>
            </w:pPr>
          </w:p>
        </w:tc>
        <w:tc>
          <w:tcPr>
            <w:tcW w:w="880" w:type="dxa"/>
            <w:vAlign w:val="bottom"/>
            <w:tcBorders>
              <w:bottom w:val="single" w:sz="8" w:color="1A3FD6"/>
            </w:tcBorders>
          </w:tcPr>
          <w:p>
            <w:pPr>
              <w:spacing w:after="0"/>
              <w:rPr>
                <w:sz w:val="3"/>
                <w:szCs w:val="3"/>
                <w:color w:val="auto"/>
              </w:rPr>
            </w:pPr>
          </w:p>
        </w:tc>
        <w:tc>
          <w:tcPr>
            <w:tcW w:w="780" w:type="dxa"/>
            <w:vAlign w:val="bottom"/>
            <w:tcBorders>
              <w:bottom w:val="single" w:sz="8" w:color="1A3FD6"/>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Actual achievement of the cumulative revenue performance metric was 51.1% and the adjusted EPS performance metric was 100.0%, which resulted in a payout of 151.1% of the target number of PSOs. Following the performance certified by the Compensation Committee, Mr. Fernandez received 42,193 options to purchase common stock, Mr. Wiechmann received 5,639 options, Mr. Pettit received 23,781 options, Mr. Munari received 6,042 options and Mr. Crum received 4,968 options, all of which vested and became exercisable on February 2, 2026.</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2026 Long-Term Equity Incentive Compensation Program</w:t>
      </w:r>
    </w:p>
    <w:p>
      <w:pPr>
        <w:spacing w:after="0" w:line="11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Compensation Committee approved the 2026 LTIP to align NEO interests with long-term shareholder value and to reinforce MSCI’s owner-operator culture. The LTIP continued to consist of annual PSUs, PSOs and RSUs, with the majority of long-term incentive value delivered through performance-based awards; the CEO’s 2026 LTIP awards were entirely performance based.</w:t>
      </w:r>
    </w:p>
    <w:p>
      <w:pPr>
        <w:spacing w:after="0" w:line="9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PSUs and PSOs remained the principal performance vehicles for long-term pay. PSUs continued to be measured using multi-year absolute TSR metrics with a 0% payout below threshold and up to 200% at maximum; PSOs continued to tie payout to multi-year cumulative revenue and adjusted EPS goals. The Compensation Committee approved these designs after consideration of peer practice, shareholder feedback and MSCI’s strategic and talent priorities.</w:t>
      </w:r>
    </w:p>
    <w:p>
      <w:pPr>
        <w:spacing w:after="0" w:line="9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For 2026, the Compensation Committee retained three-year cliff vesting for RSUs but introduced an upside-only RNN performance modifier measured over FY2026. The RNN performance modifier could increase the number of RSUs granted up to 130% if the RNN metric is achieved, but would not reduce the number of RSUs below 100% if it is not achieved. RNN is measured as net new recurring subscription sales (new recurring subscription sales minus subscription cancellations).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2026 Equity Mix</w:t>
      </w:r>
    </w:p>
    <w:p>
      <w:pPr>
        <w:spacing w:after="0" w:line="99"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The table below sets forth the allocation of 2026 PSUs, PSOs and RSUs granted to the NEOs. In connection with his transition to an advisory role effective March 1, 2026, Mr. Pettit was not eligible to receive 2026 equity awards. Please see page 78 for the allocation of 2025 PSUs, PSOs and RSUs granted to the NEOs.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Vehicle</w:t>
            </w:r>
          </w:p>
        </w:tc>
        <w:tc>
          <w:tcPr>
            <w:tcW w:w="5120" w:type="dxa"/>
            <w:vAlign w:val="bottom"/>
          </w:tcPr>
          <w:p>
            <w:pPr>
              <w:jc w:val="right"/>
              <w:ind w:right="161"/>
              <w:spacing w:after="0"/>
              <w:rPr>
                <w:sz w:val="20"/>
                <w:szCs w:val="20"/>
                <w:color w:val="auto"/>
              </w:rPr>
            </w:pPr>
            <w:r>
              <w:rPr>
                <w:rFonts w:ascii="Arial" w:cs="Arial" w:eastAsia="Arial" w:hAnsi="Arial"/>
                <w:sz w:val="14"/>
                <w:szCs w:val="14"/>
                <w:b w:val="1"/>
                <w:bCs w:val="1"/>
                <w:color w:val="auto"/>
              </w:rPr>
              <w:t>CEO</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Other NEOs</w:t>
            </w:r>
          </w:p>
        </w:tc>
      </w:tr>
      <w:tr>
        <w:trPr>
          <w:trHeight w:val="29"/>
        </w:trPr>
        <w:tc>
          <w:tcPr>
            <w:tcW w:w="5060" w:type="dxa"/>
            <w:vAlign w:val="bottom"/>
            <w:tcBorders>
              <w:bottom w:val="single" w:sz="8" w:color="1A3FD6"/>
            </w:tcBorders>
          </w:tcPr>
          <w:p>
            <w:pPr>
              <w:spacing w:after="0"/>
              <w:rPr>
                <w:sz w:val="2"/>
                <w:szCs w:val="2"/>
                <w:color w:val="auto"/>
              </w:rPr>
            </w:pPr>
          </w:p>
        </w:tc>
        <w:tc>
          <w:tcPr>
            <w:tcW w:w="5120" w:type="dxa"/>
            <w:vAlign w:val="bottom"/>
            <w:tcBorders>
              <w:bottom w:val="single" w:sz="8" w:color="1A3FD6"/>
            </w:tcBorders>
          </w:tcPr>
          <w:p>
            <w:pPr>
              <w:spacing w:after="0"/>
              <w:rPr>
                <w:sz w:val="2"/>
                <w:szCs w:val="2"/>
                <w:color w:val="auto"/>
              </w:rPr>
            </w:pPr>
          </w:p>
        </w:tc>
        <w:tc>
          <w:tcPr>
            <w:tcW w:w="1060" w:type="dxa"/>
            <w:vAlign w:val="bottom"/>
            <w:tcBorders>
              <w:bottom w:val="single" w:sz="8" w:color="1A3FD6"/>
            </w:tcBorders>
          </w:tcPr>
          <w:p>
            <w:pPr>
              <w:spacing w:after="0"/>
              <w:rPr>
                <w:sz w:val="2"/>
                <w:szCs w:val="2"/>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PSUs</w:t>
            </w:r>
          </w:p>
        </w:tc>
        <w:tc>
          <w:tcPr>
            <w:tcW w:w="5120" w:type="dxa"/>
            <w:vAlign w:val="bottom"/>
          </w:tcPr>
          <w:p>
            <w:pPr>
              <w:jc w:val="right"/>
              <w:ind w:right="161"/>
              <w:spacing w:after="0"/>
              <w:rPr>
                <w:sz w:val="20"/>
                <w:szCs w:val="20"/>
                <w:color w:val="auto"/>
              </w:rPr>
            </w:pPr>
            <w:r>
              <w:rPr>
                <w:rFonts w:ascii="Arial" w:cs="Arial" w:eastAsia="Arial" w:hAnsi="Arial"/>
                <w:sz w:val="16"/>
                <w:szCs w:val="16"/>
                <w:color w:val="auto"/>
              </w:rPr>
              <w:t>30%</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3"/>
        </w:trPr>
        <w:tc>
          <w:tcPr>
            <w:tcW w:w="5060" w:type="dxa"/>
            <w:vAlign w:val="bottom"/>
            <w:tcBorders>
              <w:bottom w:val="single" w:sz="8" w:color="E6E7E8"/>
            </w:tcBorders>
          </w:tcPr>
          <w:p>
            <w:pPr>
              <w:spacing w:after="0"/>
              <w:rPr>
                <w:sz w:val="3"/>
                <w:szCs w:val="3"/>
                <w:color w:val="auto"/>
              </w:rPr>
            </w:pPr>
          </w:p>
        </w:tc>
        <w:tc>
          <w:tcPr>
            <w:tcW w:w="512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PSOs</w:t>
            </w:r>
          </w:p>
        </w:tc>
        <w:tc>
          <w:tcPr>
            <w:tcW w:w="5120" w:type="dxa"/>
            <w:vAlign w:val="bottom"/>
          </w:tcPr>
          <w:p>
            <w:pPr>
              <w:jc w:val="right"/>
              <w:ind w:right="161"/>
              <w:spacing w:after="0"/>
              <w:rPr>
                <w:sz w:val="20"/>
                <w:szCs w:val="20"/>
                <w:color w:val="auto"/>
              </w:rPr>
            </w:pPr>
            <w:r>
              <w:rPr>
                <w:rFonts w:ascii="Arial" w:cs="Arial" w:eastAsia="Arial" w:hAnsi="Arial"/>
                <w:sz w:val="16"/>
                <w:szCs w:val="16"/>
                <w:color w:val="auto"/>
              </w:rPr>
              <w:t>70%</w:t>
            </w: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3"/>
        </w:trPr>
        <w:tc>
          <w:tcPr>
            <w:tcW w:w="5060" w:type="dxa"/>
            <w:vAlign w:val="bottom"/>
            <w:tcBorders>
              <w:bottom w:val="single" w:sz="8" w:color="E6E7E8"/>
            </w:tcBorders>
          </w:tcPr>
          <w:p>
            <w:pPr>
              <w:spacing w:after="0"/>
              <w:rPr>
                <w:sz w:val="3"/>
                <w:szCs w:val="3"/>
                <w:color w:val="auto"/>
              </w:rPr>
            </w:pPr>
          </w:p>
        </w:tc>
        <w:tc>
          <w:tcPr>
            <w:tcW w:w="512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RSUs</w:t>
            </w:r>
          </w:p>
        </w:tc>
        <w:tc>
          <w:tcPr>
            <w:tcW w:w="51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3"/>
        </w:trPr>
        <w:tc>
          <w:tcPr>
            <w:tcW w:w="5060" w:type="dxa"/>
            <w:vAlign w:val="bottom"/>
            <w:tcBorders>
              <w:bottom w:val="single" w:sz="8" w:color="1A3FD6"/>
            </w:tcBorders>
          </w:tcPr>
          <w:p>
            <w:pPr>
              <w:spacing w:after="0"/>
              <w:rPr>
                <w:sz w:val="3"/>
                <w:szCs w:val="3"/>
                <w:color w:val="auto"/>
              </w:rPr>
            </w:pPr>
          </w:p>
        </w:tc>
        <w:tc>
          <w:tcPr>
            <w:tcW w:w="5120" w:type="dxa"/>
            <w:vAlign w:val="bottom"/>
            <w:tcBorders>
              <w:bottom w:val="single" w:sz="8" w:color="1A3FD6"/>
            </w:tcBorders>
          </w:tcPr>
          <w:p>
            <w:pPr>
              <w:spacing w:after="0"/>
              <w:rPr>
                <w:sz w:val="3"/>
                <w:szCs w:val="3"/>
                <w:color w:val="auto"/>
              </w:rPr>
            </w:pPr>
          </w:p>
        </w:tc>
        <w:tc>
          <w:tcPr>
            <w:tcW w:w="1060" w:type="dxa"/>
            <w:vAlign w:val="bottom"/>
            <w:tcBorders>
              <w:bottom w:val="single" w:sz="8" w:color="1A3FD6"/>
            </w:tcBorders>
          </w:tcPr>
          <w:p>
            <w:pPr>
              <w:spacing w:after="0"/>
              <w:rPr>
                <w:sz w:val="3"/>
                <w:szCs w:val="3"/>
                <w:color w:val="auto"/>
              </w:rPr>
            </w:pPr>
          </w:p>
        </w:tc>
      </w:tr>
    </w:tbl>
    <w:p>
      <w:pPr>
        <w:spacing w:after="0" w:line="215"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For 2026, the Compensation Committee also approved increases in annual long-term incentive compensation for the NEOs after consideration of several factors, including peer group market data and competitive practices. The table below sets forth the amounts for each NEO’s 2026 equity awards under the LTIP (other than Mr. Pettit, who was not eligible to receive 2026 equity awards):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Total Equity</w:t>
            </w:r>
          </w:p>
        </w:tc>
      </w:tr>
      <w:tr>
        <w:trPr>
          <w:trHeight w:val="189"/>
        </w:trPr>
        <w:tc>
          <w:tcPr>
            <w:tcW w:w="4000" w:type="dxa"/>
            <w:vAlign w:val="bottom"/>
          </w:tcPr>
          <w:p>
            <w:pPr>
              <w:spacing w:after="0"/>
              <w:rPr>
                <w:sz w:val="16"/>
                <w:szCs w:val="16"/>
                <w:color w:val="auto"/>
              </w:rPr>
            </w:pPr>
          </w:p>
        </w:tc>
        <w:tc>
          <w:tcPr>
            <w:tcW w:w="3280" w:type="dxa"/>
            <w:vAlign w:val="bottom"/>
          </w:tcPr>
          <w:p>
            <w:pPr>
              <w:jc w:val="right"/>
              <w:ind w:right="202"/>
              <w:spacing w:after="0"/>
              <w:rPr>
                <w:sz w:val="20"/>
                <w:szCs w:val="20"/>
                <w:color w:val="auto"/>
              </w:rPr>
            </w:pPr>
            <w:r>
              <w:rPr>
                <w:rFonts w:ascii="Arial" w:cs="Arial" w:eastAsia="Arial" w:hAnsi="Arial"/>
                <w:sz w:val="14"/>
                <w:szCs w:val="14"/>
                <w:b w:val="1"/>
                <w:bCs w:val="1"/>
                <w:color w:val="auto"/>
              </w:rPr>
              <w:t>PSUs</w:t>
            </w:r>
          </w:p>
        </w:tc>
        <w:tc>
          <w:tcPr>
            <w:tcW w:w="1440" w:type="dxa"/>
            <w:vAlign w:val="bottom"/>
          </w:tcPr>
          <w:p>
            <w:pPr>
              <w:jc w:val="right"/>
              <w:ind w:right="202"/>
              <w:spacing w:after="0"/>
              <w:rPr>
                <w:sz w:val="20"/>
                <w:szCs w:val="20"/>
                <w:color w:val="auto"/>
              </w:rPr>
            </w:pPr>
            <w:r>
              <w:rPr>
                <w:rFonts w:ascii="Arial" w:cs="Arial" w:eastAsia="Arial" w:hAnsi="Arial"/>
                <w:sz w:val="14"/>
                <w:szCs w:val="14"/>
                <w:b w:val="1"/>
                <w:bCs w:val="1"/>
                <w:color w:val="auto"/>
              </w:rPr>
              <w:t>PSOs</w:t>
            </w:r>
          </w:p>
        </w:tc>
        <w:tc>
          <w:tcPr>
            <w:tcW w:w="1280" w:type="dxa"/>
            <w:vAlign w:val="bottom"/>
          </w:tcPr>
          <w:p>
            <w:pPr>
              <w:jc w:val="right"/>
              <w:ind w:right="142"/>
              <w:spacing w:after="0"/>
              <w:rPr>
                <w:sz w:val="20"/>
                <w:szCs w:val="20"/>
                <w:color w:val="auto"/>
              </w:rPr>
            </w:pPr>
            <w:r>
              <w:rPr>
                <w:rFonts w:ascii="Arial" w:cs="Arial" w:eastAsia="Arial" w:hAnsi="Arial"/>
                <w:sz w:val="14"/>
                <w:szCs w:val="14"/>
                <w:b w:val="1"/>
                <w:bCs w:val="1"/>
                <w:color w:val="auto"/>
              </w:rPr>
              <w:t>RSUs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jc w:val="right"/>
              <w:ind w:right="202"/>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202"/>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9"/>
        </w:trPr>
        <w:tc>
          <w:tcPr>
            <w:tcW w:w="4000" w:type="dxa"/>
            <w:vAlign w:val="bottom"/>
            <w:tcBorders>
              <w:bottom w:val="single" w:sz="8" w:color="1A3FD6"/>
            </w:tcBorders>
          </w:tcPr>
          <w:p>
            <w:pPr>
              <w:spacing w:after="0"/>
              <w:rPr>
                <w:sz w:val="2"/>
                <w:szCs w:val="2"/>
                <w:color w:val="auto"/>
              </w:rPr>
            </w:pPr>
          </w:p>
        </w:tc>
        <w:tc>
          <w:tcPr>
            <w:tcW w:w="3280" w:type="dxa"/>
            <w:vAlign w:val="bottom"/>
            <w:tcBorders>
              <w:bottom w:val="single" w:sz="8" w:color="1A3FD6"/>
            </w:tcBorders>
          </w:tcPr>
          <w:p>
            <w:pPr>
              <w:spacing w:after="0"/>
              <w:rPr>
                <w:sz w:val="2"/>
                <w:szCs w:val="2"/>
                <w:color w:val="auto"/>
              </w:rPr>
            </w:pPr>
          </w:p>
        </w:tc>
        <w:tc>
          <w:tcPr>
            <w:tcW w:w="1440" w:type="dxa"/>
            <w:vAlign w:val="bottom"/>
            <w:tcBorders>
              <w:bottom w:val="single" w:sz="8" w:color="1A3FD6"/>
            </w:tcBorders>
          </w:tcPr>
          <w:p>
            <w:pPr>
              <w:spacing w:after="0"/>
              <w:rPr>
                <w:sz w:val="2"/>
                <w:szCs w:val="2"/>
                <w:color w:val="auto"/>
              </w:rPr>
            </w:pPr>
          </w:p>
        </w:tc>
        <w:tc>
          <w:tcPr>
            <w:tcW w:w="1280" w:type="dxa"/>
            <w:vAlign w:val="bottom"/>
            <w:tcBorders>
              <w:bottom w:val="single" w:sz="8" w:color="1A3FD6"/>
            </w:tcBorders>
          </w:tcPr>
          <w:p>
            <w:pPr>
              <w:spacing w:after="0"/>
              <w:rPr>
                <w:sz w:val="2"/>
                <w:szCs w:val="2"/>
                <w:color w:val="auto"/>
              </w:rPr>
            </w:pPr>
          </w:p>
        </w:tc>
        <w:tc>
          <w:tcPr>
            <w:tcW w:w="1240" w:type="dxa"/>
            <w:vAlign w:val="bottom"/>
            <w:tcBorders>
              <w:bottom w:val="single" w:sz="8" w:color="1A3FD6"/>
            </w:tcBorders>
          </w:tcPr>
          <w:p>
            <w:pPr>
              <w:spacing w:after="0"/>
              <w:rPr>
                <w:sz w:val="2"/>
                <w:szCs w:val="2"/>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3280" w:type="dxa"/>
            <w:vAlign w:val="bottom"/>
          </w:tcPr>
          <w:p>
            <w:pPr>
              <w:jc w:val="right"/>
              <w:ind w:right="262"/>
              <w:spacing w:after="0"/>
              <w:rPr>
                <w:sz w:val="20"/>
                <w:szCs w:val="20"/>
                <w:color w:val="auto"/>
              </w:rPr>
            </w:pPr>
            <w:r>
              <w:rPr>
                <w:rFonts w:ascii="Arial" w:cs="Arial" w:eastAsia="Arial" w:hAnsi="Arial"/>
                <w:sz w:val="16"/>
                <w:szCs w:val="16"/>
                <w:color w:val="auto"/>
              </w:rPr>
              <w:t>5,280,000</w:t>
            </w:r>
          </w:p>
        </w:tc>
        <w:tc>
          <w:tcPr>
            <w:tcW w:w="1440" w:type="dxa"/>
            <w:vAlign w:val="bottom"/>
          </w:tcPr>
          <w:p>
            <w:pPr>
              <w:jc w:val="right"/>
              <w:ind w:right="262"/>
              <w:spacing w:after="0"/>
              <w:rPr>
                <w:sz w:val="20"/>
                <w:szCs w:val="20"/>
                <w:color w:val="auto"/>
              </w:rPr>
            </w:pPr>
            <w:r>
              <w:rPr>
                <w:rFonts w:ascii="Arial" w:cs="Arial" w:eastAsia="Arial" w:hAnsi="Arial"/>
                <w:sz w:val="16"/>
                <w:szCs w:val="16"/>
                <w:color w:val="auto"/>
              </w:rPr>
              <w:t>12,320,000</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17,600,000</w:t>
            </w:r>
          </w:p>
        </w:tc>
      </w:tr>
      <w:tr>
        <w:trPr>
          <w:trHeight w:val="35"/>
        </w:trPr>
        <w:tc>
          <w:tcPr>
            <w:tcW w:w="4000" w:type="dxa"/>
            <w:vAlign w:val="bottom"/>
            <w:tcBorders>
              <w:bottom w:val="single" w:sz="8" w:color="E6E7EB"/>
            </w:tcBorders>
          </w:tcPr>
          <w:p>
            <w:pPr>
              <w:spacing w:after="0"/>
              <w:rPr>
                <w:sz w:val="3"/>
                <w:szCs w:val="3"/>
                <w:color w:val="auto"/>
              </w:rPr>
            </w:pPr>
          </w:p>
        </w:tc>
        <w:tc>
          <w:tcPr>
            <w:tcW w:w="3280" w:type="dxa"/>
            <w:vAlign w:val="bottom"/>
            <w:tcBorders>
              <w:bottom w:val="single" w:sz="8" w:color="E6E7EB"/>
            </w:tcBorders>
          </w:tcPr>
          <w:p>
            <w:pPr>
              <w:spacing w:after="0"/>
              <w:rPr>
                <w:sz w:val="3"/>
                <w:szCs w:val="3"/>
                <w:color w:val="auto"/>
              </w:rPr>
            </w:pPr>
          </w:p>
        </w:tc>
        <w:tc>
          <w:tcPr>
            <w:tcW w:w="1440" w:type="dxa"/>
            <w:vAlign w:val="bottom"/>
            <w:tcBorders>
              <w:bottom w:val="single" w:sz="8" w:color="E6E7EB"/>
            </w:tcBorders>
          </w:tcPr>
          <w:p>
            <w:pPr>
              <w:spacing w:after="0"/>
              <w:rPr>
                <w:sz w:val="3"/>
                <w:szCs w:val="3"/>
                <w:color w:val="auto"/>
              </w:rPr>
            </w:pPr>
          </w:p>
        </w:tc>
        <w:tc>
          <w:tcPr>
            <w:tcW w:w="1280" w:type="dxa"/>
            <w:vAlign w:val="bottom"/>
            <w:tcBorders>
              <w:bottom w:val="single" w:sz="8" w:color="E6E7EB"/>
            </w:tcBorders>
          </w:tcPr>
          <w:p>
            <w:pPr>
              <w:spacing w:after="0"/>
              <w:rPr>
                <w:sz w:val="3"/>
                <w:szCs w:val="3"/>
                <w:color w:val="auto"/>
              </w:rPr>
            </w:pPr>
          </w:p>
        </w:tc>
        <w:tc>
          <w:tcPr>
            <w:tcW w:w="1240" w:type="dxa"/>
            <w:vAlign w:val="bottom"/>
            <w:tcBorders>
              <w:bottom w:val="single" w:sz="8" w:color="E6E7EB"/>
            </w:tcBorders>
          </w:tcPr>
          <w:p>
            <w:pPr>
              <w:spacing w:after="0"/>
              <w:rPr>
                <w:sz w:val="3"/>
                <w:szCs w:val="3"/>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3280" w:type="dxa"/>
            <w:vAlign w:val="bottom"/>
          </w:tcPr>
          <w:p>
            <w:pPr>
              <w:jc w:val="right"/>
              <w:ind w:right="262"/>
              <w:spacing w:after="0"/>
              <w:rPr>
                <w:sz w:val="20"/>
                <w:szCs w:val="20"/>
                <w:color w:val="auto"/>
              </w:rPr>
            </w:pPr>
            <w:r>
              <w:rPr>
                <w:rFonts w:ascii="Arial" w:cs="Arial" w:eastAsia="Arial" w:hAnsi="Arial"/>
                <w:sz w:val="16"/>
                <w:szCs w:val="16"/>
                <w:color w:val="auto"/>
              </w:rPr>
              <w:t>1,110,000</w:t>
            </w:r>
          </w:p>
        </w:tc>
        <w:tc>
          <w:tcPr>
            <w:tcW w:w="1440" w:type="dxa"/>
            <w:vAlign w:val="bottom"/>
          </w:tcPr>
          <w:p>
            <w:pPr>
              <w:jc w:val="right"/>
              <w:ind w:right="262"/>
              <w:spacing w:after="0"/>
              <w:rPr>
                <w:sz w:val="20"/>
                <w:szCs w:val="20"/>
                <w:color w:val="auto"/>
              </w:rPr>
            </w:pPr>
            <w:r>
              <w:rPr>
                <w:rFonts w:ascii="Arial" w:cs="Arial" w:eastAsia="Arial" w:hAnsi="Arial"/>
                <w:sz w:val="16"/>
                <w:szCs w:val="16"/>
                <w:color w:val="auto"/>
              </w:rPr>
              <w:t>1,480,000</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1,110,000</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3,700,000</w:t>
            </w:r>
          </w:p>
        </w:tc>
      </w:tr>
      <w:tr>
        <w:trPr>
          <w:trHeight w:val="35"/>
        </w:trPr>
        <w:tc>
          <w:tcPr>
            <w:tcW w:w="4000" w:type="dxa"/>
            <w:vAlign w:val="bottom"/>
            <w:tcBorders>
              <w:bottom w:val="single" w:sz="8" w:color="E6E7EB"/>
            </w:tcBorders>
          </w:tcPr>
          <w:p>
            <w:pPr>
              <w:spacing w:after="0"/>
              <w:rPr>
                <w:sz w:val="3"/>
                <w:szCs w:val="3"/>
                <w:color w:val="auto"/>
              </w:rPr>
            </w:pPr>
          </w:p>
        </w:tc>
        <w:tc>
          <w:tcPr>
            <w:tcW w:w="3280" w:type="dxa"/>
            <w:vAlign w:val="bottom"/>
            <w:tcBorders>
              <w:bottom w:val="single" w:sz="8" w:color="E6E7EB"/>
            </w:tcBorders>
          </w:tcPr>
          <w:p>
            <w:pPr>
              <w:spacing w:after="0"/>
              <w:rPr>
                <w:sz w:val="3"/>
                <w:szCs w:val="3"/>
                <w:color w:val="auto"/>
              </w:rPr>
            </w:pPr>
          </w:p>
        </w:tc>
        <w:tc>
          <w:tcPr>
            <w:tcW w:w="1440" w:type="dxa"/>
            <w:vAlign w:val="bottom"/>
            <w:tcBorders>
              <w:bottom w:val="single" w:sz="8" w:color="E6E7EB"/>
            </w:tcBorders>
          </w:tcPr>
          <w:p>
            <w:pPr>
              <w:spacing w:after="0"/>
              <w:rPr>
                <w:sz w:val="3"/>
                <w:szCs w:val="3"/>
                <w:color w:val="auto"/>
              </w:rPr>
            </w:pPr>
          </w:p>
        </w:tc>
        <w:tc>
          <w:tcPr>
            <w:tcW w:w="1280" w:type="dxa"/>
            <w:vAlign w:val="bottom"/>
            <w:tcBorders>
              <w:bottom w:val="single" w:sz="8" w:color="E6E7EB"/>
            </w:tcBorders>
          </w:tcPr>
          <w:p>
            <w:pPr>
              <w:spacing w:after="0"/>
              <w:rPr>
                <w:sz w:val="3"/>
                <w:szCs w:val="3"/>
                <w:color w:val="auto"/>
              </w:rPr>
            </w:pPr>
          </w:p>
        </w:tc>
        <w:tc>
          <w:tcPr>
            <w:tcW w:w="1240" w:type="dxa"/>
            <w:vAlign w:val="bottom"/>
            <w:tcBorders>
              <w:bottom w:val="single" w:sz="8" w:color="E6E7EB"/>
            </w:tcBorders>
          </w:tcPr>
          <w:p>
            <w:pPr>
              <w:spacing w:after="0"/>
              <w:rPr>
                <w:sz w:val="3"/>
                <w:szCs w:val="3"/>
                <w:color w:val="auto"/>
              </w:rPr>
            </w:pPr>
          </w:p>
        </w:tc>
      </w:tr>
      <w:tr>
        <w:trPr>
          <w:trHeight w:val="263"/>
        </w:trPr>
        <w:tc>
          <w:tcPr>
            <w:tcW w:w="4000" w:type="dxa"/>
            <w:vAlign w:val="bottom"/>
            <w:tcBorders>
              <w:bottom w:val="single" w:sz="8" w:color="E6E7EB"/>
            </w:tcBorders>
          </w:tcPr>
          <w:p>
            <w:pPr>
              <w:ind w:left="20"/>
              <w:spacing w:after="0"/>
              <w:rPr>
                <w:sz w:val="20"/>
                <w:szCs w:val="20"/>
                <w:color w:val="auto"/>
              </w:rPr>
            </w:pPr>
            <w:r>
              <w:rPr>
                <w:rFonts w:ascii="Arial" w:cs="Arial" w:eastAsia="Arial" w:hAnsi="Arial"/>
                <w:sz w:val="16"/>
                <w:szCs w:val="16"/>
                <w:b w:val="1"/>
                <w:bCs w:val="1"/>
                <w:color w:val="1A3FD6"/>
              </w:rPr>
              <w:t>Alvise J. Munari</w:t>
            </w:r>
            <w:r>
              <w:rPr>
                <w:rFonts w:ascii="Arial" w:cs="Arial" w:eastAsia="Arial" w:hAnsi="Arial"/>
                <w:sz w:val="21"/>
                <w:szCs w:val="21"/>
                <w:b w:val="1"/>
                <w:bCs w:val="1"/>
                <w:color w:val="1A3FD6"/>
                <w:vertAlign w:val="superscript"/>
              </w:rPr>
              <w:t>(1)</w:t>
            </w:r>
          </w:p>
        </w:tc>
        <w:tc>
          <w:tcPr>
            <w:tcW w:w="3280" w:type="dxa"/>
            <w:vAlign w:val="bottom"/>
            <w:tcBorders>
              <w:bottom w:val="single" w:sz="8" w:color="E6E7EB"/>
            </w:tcBorders>
          </w:tcPr>
          <w:p>
            <w:pPr>
              <w:jc w:val="right"/>
              <w:ind w:right="262"/>
              <w:spacing w:after="0"/>
              <w:rPr>
                <w:sz w:val="20"/>
                <w:szCs w:val="20"/>
                <w:color w:val="auto"/>
              </w:rPr>
            </w:pPr>
            <w:r>
              <w:rPr>
                <w:rFonts w:ascii="Arial" w:cs="Arial" w:eastAsia="Arial" w:hAnsi="Arial"/>
                <w:sz w:val="16"/>
                <w:szCs w:val="16"/>
                <w:color w:val="auto"/>
              </w:rPr>
              <w:t>1,320,000</w:t>
            </w:r>
          </w:p>
        </w:tc>
        <w:tc>
          <w:tcPr>
            <w:tcW w:w="1440" w:type="dxa"/>
            <w:vAlign w:val="bottom"/>
            <w:tcBorders>
              <w:bottom w:val="single" w:sz="8" w:color="E6E7EB"/>
            </w:tcBorders>
          </w:tcPr>
          <w:p>
            <w:pPr>
              <w:jc w:val="right"/>
              <w:ind w:right="262"/>
              <w:spacing w:after="0"/>
              <w:rPr>
                <w:sz w:val="20"/>
                <w:szCs w:val="20"/>
                <w:color w:val="auto"/>
              </w:rPr>
            </w:pPr>
            <w:r>
              <w:rPr>
                <w:rFonts w:ascii="Arial" w:cs="Arial" w:eastAsia="Arial" w:hAnsi="Arial"/>
                <w:sz w:val="16"/>
                <w:szCs w:val="16"/>
                <w:color w:val="auto"/>
              </w:rPr>
              <w:t>1,760,000</w:t>
            </w:r>
          </w:p>
        </w:tc>
        <w:tc>
          <w:tcPr>
            <w:tcW w:w="1280" w:type="dxa"/>
            <w:vAlign w:val="bottom"/>
            <w:tcBorders>
              <w:bottom w:val="single" w:sz="8" w:color="E6E7EB"/>
            </w:tcBorders>
          </w:tcPr>
          <w:p>
            <w:pPr>
              <w:jc w:val="right"/>
              <w:ind w:right="202"/>
              <w:spacing w:after="0"/>
              <w:rPr>
                <w:sz w:val="20"/>
                <w:szCs w:val="20"/>
                <w:color w:val="auto"/>
              </w:rPr>
            </w:pPr>
            <w:r>
              <w:rPr>
                <w:rFonts w:ascii="Arial" w:cs="Arial" w:eastAsia="Arial" w:hAnsi="Arial"/>
                <w:sz w:val="16"/>
                <w:szCs w:val="16"/>
                <w:color w:val="auto"/>
              </w:rPr>
              <w:t>1,320,000</w:t>
            </w:r>
          </w:p>
        </w:tc>
        <w:tc>
          <w:tcPr>
            <w:tcW w:w="1240" w:type="dxa"/>
            <w:vAlign w:val="bottom"/>
            <w:tcBorders>
              <w:bottom w:val="single" w:sz="8" w:color="E6E7EB"/>
            </w:tcBorders>
          </w:tcPr>
          <w:p>
            <w:pPr>
              <w:jc w:val="right"/>
              <w:ind w:right="3"/>
              <w:spacing w:after="0"/>
              <w:rPr>
                <w:sz w:val="20"/>
                <w:szCs w:val="20"/>
                <w:color w:val="auto"/>
              </w:rPr>
            </w:pPr>
            <w:r>
              <w:rPr>
                <w:rFonts w:ascii="Arial" w:cs="Arial" w:eastAsia="Arial" w:hAnsi="Arial"/>
                <w:sz w:val="16"/>
                <w:szCs w:val="16"/>
                <w:color w:val="auto"/>
              </w:rPr>
              <w:t>4,400,000</w:t>
            </w:r>
          </w:p>
        </w:tc>
      </w:tr>
      <w:tr>
        <w:trPr>
          <w:trHeight w:val="229"/>
        </w:trPr>
        <w:tc>
          <w:tcPr>
            <w:tcW w:w="400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3280" w:type="dxa"/>
            <w:vAlign w:val="bottom"/>
          </w:tcPr>
          <w:p>
            <w:pPr>
              <w:jc w:val="right"/>
              <w:ind w:right="262"/>
              <w:spacing w:after="0"/>
              <w:rPr>
                <w:sz w:val="20"/>
                <w:szCs w:val="20"/>
                <w:color w:val="auto"/>
              </w:rPr>
            </w:pPr>
            <w:r>
              <w:rPr>
                <w:rFonts w:ascii="Arial" w:cs="Arial" w:eastAsia="Arial" w:hAnsi="Arial"/>
                <w:sz w:val="16"/>
                <w:szCs w:val="16"/>
                <w:color w:val="auto"/>
              </w:rPr>
              <w:t>945,000</w:t>
            </w:r>
          </w:p>
        </w:tc>
        <w:tc>
          <w:tcPr>
            <w:tcW w:w="1440" w:type="dxa"/>
            <w:vAlign w:val="bottom"/>
          </w:tcPr>
          <w:p>
            <w:pPr>
              <w:jc w:val="right"/>
              <w:ind w:right="262"/>
              <w:spacing w:after="0"/>
              <w:rPr>
                <w:sz w:val="20"/>
                <w:szCs w:val="20"/>
                <w:color w:val="auto"/>
              </w:rPr>
            </w:pPr>
            <w:r>
              <w:rPr>
                <w:rFonts w:ascii="Arial" w:cs="Arial" w:eastAsia="Arial" w:hAnsi="Arial"/>
                <w:sz w:val="16"/>
                <w:szCs w:val="16"/>
                <w:color w:val="auto"/>
              </w:rPr>
              <w:t>1,260,000</w:t>
            </w:r>
          </w:p>
        </w:tc>
        <w:tc>
          <w:tcPr>
            <w:tcW w:w="1280" w:type="dxa"/>
            <w:vAlign w:val="bottom"/>
          </w:tcPr>
          <w:p>
            <w:pPr>
              <w:jc w:val="right"/>
              <w:ind w:right="202"/>
              <w:spacing w:after="0"/>
              <w:rPr>
                <w:sz w:val="20"/>
                <w:szCs w:val="20"/>
                <w:color w:val="auto"/>
              </w:rPr>
            </w:pPr>
            <w:r>
              <w:rPr>
                <w:rFonts w:ascii="Arial" w:cs="Arial" w:eastAsia="Arial" w:hAnsi="Arial"/>
                <w:sz w:val="16"/>
                <w:szCs w:val="16"/>
                <w:color w:val="auto"/>
              </w:rPr>
              <w:t>945,000</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3,150,000</w:t>
            </w:r>
          </w:p>
        </w:tc>
      </w:tr>
      <w:tr>
        <w:trPr>
          <w:trHeight w:val="34"/>
        </w:trPr>
        <w:tc>
          <w:tcPr>
            <w:tcW w:w="4000" w:type="dxa"/>
            <w:vAlign w:val="bottom"/>
            <w:tcBorders>
              <w:bottom w:val="single" w:sz="8" w:color="1A3FD6"/>
            </w:tcBorders>
          </w:tcPr>
          <w:p>
            <w:pPr>
              <w:spacing w:after="0"/>
              <w:rPr>
                <w:sz w:val="3"/>
                <w:szCs w:val="3"/>
                <w:color w:val="auto"/>
              </w:rPr>
            </w:pPr>
          </w:p>
        </w:tc>
        <w:tc>
          <w:tcPr>
            <w:tcW w:w="3280" w:type="dxa"/>
            <w:vAlign w:val="bottom"/>
            <w:tcBorders>
              <w:bottom w:val="single" w:sz="8" w:color="1A3FD6"/>
            </w:tcBorders>
          </w:tcPr>
          <w:p>
            <w:pPr>
              <w:spacing w:after="0"/>
              <w:rPr>
                <w:sz w:val="3"/>
                <w:szCs w:val="3"/>
                <w:color w:val="auto"/>
              </w:rPr>
            </w:pPr>
          </w:p>
        </w:tc>
        <w:tc>
          <w:tcPr>
            <w:tcW w:w="1440" w:type="dxa"/>
            <w:vAlign w:val="bottom"/>
            <w:tcBorders>
              <w:bottom w:val="single" w:sz="8" w:color="1A3FD6"/>
            </w:tcBorders>
          </w:tcPr>
          <w:p>
            <w:pPr>
              <w:spacing w:after="0"/>
              <w:rPr>
                <w:sz w:val="3"/>
                <w:szCs w:val="3"/>
                <w:color w:val="auto"/>
              </w:rPr>
            </w:pPr>
          </w:p>
        </w:tc>
        <w:tc>
          <w:tcPr>
            <w:tcW w:w="1280" w:type="dxa"/>
            <w:vAlign w:val="bottom"/>
            <w:tcBorders>
              <w:bottom w:val="single" w:sz="8" w:color="1A3FD6"/>
            </w:tcBorders>
          </w:tcPr>
          <w:p>
            <w:pPr>
              <w:spacing w:after="0"/>
              <w:rPr>
                <w:sz w:val="3"/>
                <w:szCs w:val="3"/>
                <w:color w:val="auto"/>
              </w:rPr>
            </w:pPr>
          </w:p>
        </w:tc>
        <w:tc>
          <w:tcPr>
            <w:tcW w:w="1240" w:type="dxa"/>
            <w:vAlign w:val="bottom"/>
            <w:tcBorders>
              <w:bottom w:val="single" w:sz="8" w:color="1A3FD6"/>
            </w:tcBorders>
          </w:tcPr>
          <w:p>
            <w:pPr>
              <w:spacing w:after="0"/>
              <w:rPr>
                <w:sz w:val="3"/>
                <w:szCs w:val="3"/>
                <w:color w:val="auto"/>
              </w:rPr>
            </w:pPr>
          </w:p>
        </w:tc>
      </w:tr>
    </w:tbl>
    <w:p>
      <w:pPr>
        <w:spacing w:after="0" w:line="193" w:lineRule="exact"/>
        <w:rPr>
          <w:sz w:val="20"/>
          <w:szCs w:val="20"/>
          <w:color w:val="auto"/>
        </w:rPr>
      </w:pPr>
    </w:p>
    <w:p>
      <w:pPr>
        <w:ind w:left="260" w:right="20" w:hanging="252"/>
        <w:spacing w:after="0" w:line="249" w:lineRule="auto"/>
        <w:tabs>
          <w:tab w:leader="none" w:pos="264"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The table above does not reflect special retention PSOs granted to Mr. Munari in early 2026 with a grant date value of $1,400,000 and special retention RSUs granted to Mr. Munari in early 2026 with a grant date value of $600,000 in connection with his promotion to Head of Client Segments, in addition to his role as Chief Product Officer. See page 76 of this Proxy Statement for additional information on Mr. Munari’s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429895</wp:posOffset>
            </wp:positionV>
            <wp:extent cx="556895" cy="146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Benefits</w:t>
      </w:r>
    </w:p>
    <w:p>
      <w:pPr>
        <w:spacing w:after="0" w:line="11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Company provides health, welfare and other benefits to remain competitive in hiring and retaining its employees. Our NEOs are eligible to participate in these benefit plans on the same terms and conditions as all other employees. We do not provide any special or enhanced benefits to our NEOs.</w:t>
      </w:r>
    </w:p>
    <w:p>
      <w:pPr>
        <w:spacing w:after="0" w:line="7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In the United States and the United Kingdom, the Company has established defined contribution plans for all eligible employees. Contributions by the Company to these defined contribution plans for our NEOs for the applicable period are disclosed in the “All Other Compensation” column in the Summary Compensation Table below.</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Employment Agreements</w:t>
      </w:r>
    </w:p>
    <w:p>
      <w:pPr>
        <w:spacing w:after="0" w:line="11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All of the NEOs are employed on an “at-will” basis, and the Company does not have any individual employment agreements with the NEOs providing for a fixed duration of employment. As a result, the Company has the flexibility to alter or revise its compensation programs as circumstances dictate.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Wiechmann’s Offer Letter and Mr. Pettit’s Employment Letters</w:t>
      </w:r>
    </w:p>
    <w:p>
      <w:pPr>
        <w:spacing w:after="0" w:line="17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Under Mr. Wiechmann’s offer letter with the Company and Mr. Pettit’s employment letter with a subsidiary of the Company, in the event of an involuntary termination of employment without cause, each of Messrs. Wiechmann and Pettit is eligible to receive, subject to his compliance with certain conditions, (i) a lump sum cash payment equal to the sum of his then-current annual base salary plus target annual bonus opportunity and (ii) a prorated cash bonus under the AIP for the year of termination based on actual performance through the date of termination (as of December 31, 2025, assuming 100% achievement of the annual bonus opportunity, such amounts would have equaled $2,100,000 for Mr. Wiechmann and $3,197,106 for Mr. Pettit; the amount for Mr. Pettit is shown as being paid in British pounds sterling and converted to U.S. dollars using the fiscal year average of daily spot rates of £1 to $1.3184 for fiscal 2025).</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Transition Arrangements with Mr. Pettit</w:t>
      </w:r>
    </w:p>
    <w:p>
      <w:pPr>
        <w:spacing w:after="0" w:line="16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Mr. Pettit ceased serving in his position as President and as a member of the Board of Directors effective March 1, 2026 and transitioned to an advisory role with the Company as of such date. In connection with his transition of services, Mr. Pettit entered into a Transition and Advisory Agreement with MSCI Inc. (the “Advisory Agreement”) and a Settlement Agreement with MSCI Limited, each dated January 28, 2026. Under these agreements, Mr. Pettit serves as a senior advisor to the Chief Executive Officer from March 1, 2026 through August 15, 2026 at a monthly advisory fee of £20,000, and will continue to vest in his outstanding equity awards through his service termination date. Under the Settlement Agreement, Mr. Pettit waived his entitlement to severance benefits under his employment letter with MSCI Limited, including the severance practice described therein. Under the Advisory Agreement, Mr. Pettit remains subject to customary confidentiality obligations and restrictive covenants.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Control Severance Plan</w:t>
      </w:r>
    </w:p>
    <w:p>
      <w:pPr>
        <w:spacing w:after="0" w:line="16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addition, we maintain a Change in Control Severance Plan for the benefit of eligible senior executives of the Company (including the NEOs) that provides for severance benefits on a “double-trigger” basis—i.e., in the event of a qualifying termination of the executive’s employment by the Company without “cause” or by the participant for “good reason” in connection with a change in control.</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Additional information on post-termination and change in control benefits for our NEOs, assuming a qualifying event occurred as of December 31, 2025, is provided in the section titled “Potential Payments upon Termination or Change in Control,” on page 95 of this Proxy Statement.</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 Excessive Perquisites</w:t>
      </w:r>
    </w:p>
    <w:p>
      <w:pPr>
        <w:spacing w:after="0" w:line="119"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Based on the Company’s philosophy that its executive compensation program should be straightforward and directly linked to performance, the compensation program for the NEOs does not include any excessive perquisites, excise tax gross-ups or supplemental executive retirement benefits.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85</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Stock Ownership Guidelines</w:t>
      </w:r>
    </w:p>
    <w:p>
      <w:pPr>
        <w:spacing w:after="0" w:line="11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Compensation Committee believes that significant stock ownership at the Management Committee level, among MSCI’s senior-most leadership, which includes our NEOs, aligns management’s interests with those of our shareholders and encourages an “owner-operator” mindset. As part of the Compensation Committee’s ongoing assessment of the Company’s compensation policies and practices to ensure furtherance of the goals identified above and for alignment with best practices, effective January 1, 2019, the Compensation Committee adopted stock ownership guidelines.</w:t>
      </w:r>
    </w:p>
    <w:p>
      <w:pPr>
        <w:spacing w:after="0" w:line="10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stock ownership guidelines reflect among the highest multiples of base salary in our peer group, as detailed below. As of the date of this Proxy Statement, all Management Committee members, including our NEOs, are in compliance with the current stock ownership guidelines. Our CEO significantly exceeds his applicable stock ownership guidelines (see page 109 of this Proxy Statement for additional details).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c>
          <w:tcPr>
            <w:tcW w:w="4300" w:type="dxa"/>
            <w:vAlign w:val="bottom"/>
          </w:tcPr>
          <w:p>
            <w:pPr>
              <w:jc w:val="right"/>
              <w:spacing w:after="0"/>
              <w:rPr>
                <w:sz w:val="20"/>
                <w:szCs w:val="20"/>
                <w:color w:val="auto"/>
              </w:rPr>
            </w:pPr>
            <w:r>
              <w:rPr>
                <w:rFonts w:ascii="Arial" w:cs="Arial" w:eastAsia="Arial" w:hAnsi="Arial"/>
                <w:sz w:val="14"/>
                <w:szCs w:val="14"/>
                <w:b w:val="1"/>
                <w:bCs w:val="1"/>
                <w:color w:val="auto"/>
              </w:rPr>
              <w:t>Stock Ownership Guidelines</w:t>
            </w:r>
          </w:p>
        </w:tc>
      </w:tr>
      <w:tr>
        <w:trPr>
          <w:trHeight w:val="29"/>
        </w:trPr>
        <w:tc>
          <w:tcPr>
            <w:tcW w:w="6940" w:type="dxa"/>
            <w:vAlign w:val="bottom"/>
            <w:tcBorders>
              <w:bottom w:val="single" w:sz="8" w:color="1A3FD6"/>
            </w:tcBorders>
          </w:tcPr>
          <w:p>
            <w:pPr>
              <w:spacing w:after="0"/>
              <w:rPr>
                <w:sz w:val="2"/>
                <w:szCs w:val="2"/>
                <w:color w:val="auto"/>
              </w:rPr>
            </w:pPr>
          </w:p>
        </w:tc>
        <w:tc>
          <w:tcPr>
            <w:tcW w:w="4300" w:type="dxa"/>
            <w:vAlign w:val="bottom"/>
            <w:tcBorders>
              <w:bottom w:val="single" w:sz="8" w:color="1A3FD6"/>
            </w:tcBorders>
          </w:tcPr>
          <w:p>
            <w:pPr>
              <w:spacing w:after="0"/>
              <w:rPr>
                <w:sz w:val="2"/>
                <w:szCs w:val="2"/>
                <w:color w:val="auto"/>
              </w:rPr>
            </w:pPr>
          </w:p>
        </w:tc>
      </w:tr>
      <w:tr>
        <w:trPr>
          <w:trHeight w:val="221"/>
        </w:trPr>
        <w:tc>
          <w:tcPr>
            <w:tcW w:w="694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4300" w:type="dxa"/>
            <w:vAlign w:val="bottom"/>
          </w:tcPr>
          <w:p>
            <w:pPr>
              <w:jc w:val="right"/>
              <w:spacing w:after="0"/>
              <w:rPr>
                <w:sz w:val="20"/>
                <w:szCs w:val="20"/>
                <w:color w:val="auto"/>
              </w:rPr>
            </w:pPr>
            <w:r>
              <w:rPr>
                <w:rFonts w:ascii="Arial" w:cs="Arial" w:eastAsia="Arial" w:hAnsi="Arial"/>
                <w:sz w:val="16"/>
                <w:szCs w:val="16"/>
                <w:color w:val="auto"/>
              </w:rPr>
              <w:t>12x base salary</w:t>
            </w:r>
          </w:p>
        </w:tc>
      </w:tr>
      <w:tr>
        <w:trPr>
          <w:trHeight w:val="43"/>
        </w:trPr>
        <w:tc>
          <w:tcPr>
            <w:tcW w:w="6940" w:type="dxa"/>
            <w:vAlign w:val="bottom"/>
            <w:tcBorders>
              <w:bottom w:val="single" w:sz="8" w:color="E6E7E8"/>
            </w:tcBorders>
          </w:tcPr>
          <w:p>
            <w:pPr>
              <w:spacing w:after="0"/>
              <w:rPr>
                <w:sz w:val="3"/>
                <w:szCs w:val="3"/>
                <w:color w:val="auto"/>
              </w:rPr>
            </w:pPr>
          </w:p>
        </w:tc>
        <w:tc>
          <w:tcPr>
            <w:tcW w:w="4300" w:type="dxa"/>
            <w:vAlign w:val="bottom"/>
            <w:tcBorders>
              <w:bottom w:val="single" w:sz="8" w:color="E6E7E8"/>
            </w:tcBorders>
          </w:tcPr>
          <w:p>
            <w:pPr>
              <w:spacing w:after="0"/>
              <w:rPr>
                <w:sz w:val="3"/>
                <w:szCs w:val="3"/>
                <w:color w:val="auto"/>
              </w:rPr>
            </w:pPr>
          </w:p>
        </w:tc>
      </w:tr>
      <w:tr>
        <w:trPr>
          <w:trHeight w:val="221"/>
        </w:trPr>
        <w:tc>
          <w:tcPr>
            <w:tcW w:w="6940" w:type="dxa"/>
            <w:vAlign w:val="bottom"/>
          </w:tcPr>
          <w:p>
            <w:pPr>
              <w:ind w:left="20"/>
              <w:spacing w:after="0"/>
              <w:rPr>
                <w:sz w:val="20"/>
                <w:szCs w:val="20"/>
                <w:color w:val="auto"/>
              </w:rPr>
            </w:pPr>
            <w:r>
              <w:rPr>
                <w:rFonts w:ascii="Arial" w:cs="Arial" w:eastAsia="Arial" w:hAnsi="Arial"/>
                <w:sz w:val="16"/>
                <w:szCs w:val="16"/>
                <w:color w:val="auto"/>
              </w:rPr>
              <w:t>Other Management Committee Members, including other NEOs</w:t>
            </w:r>
          </w:p>
        </w:tc>
        <w:tc>
          <w:tcPr>
            <w:tcW w:w="4300" w:type="dxa"/>
            <w:vAlign w:val="bottom"/>
          </w:tcPr>
          <w:p>
            <w:pPr>
              <w:jc w:val="right"/>
              <w:spacing w:after="0"/>
              <w:rPr>
                <w:sz w:val="20"/>
                <w:szCs w:val="20"/>
                <w:color w:val="auto"/>
              </w:rPr>
            </w:pPr>
            <w:r>
              <w:rPr>
                <w:rFonts w:ascii="Arial" w:cs="Arial" w:eastAsia="Arial" w:hAnsi="Arial"/>
                <w:sz w:val="16"/>
                <w:szCs w:val="16"/>
                <w:color w:val="auto"/>
              </w:rPr>
              <w:t>8x base salary</w:t>
            </w:r>
          </w:p>
        </w:tc>
      </w:tr>
      <w:tr>
        <w:trPr>
          <w:trHeight w:val="43"/>
        </w:trPr>
        <w:tc>
          <w:tcPr>
            <w:tcW w:w="6940" w:type="dxa"/>
            <w:vAlign w:val="bottom"/>
            <w:tcBorders>
              <w:bottom w:val="single" w:sz="8" w:color="1A3FD6"/>
            </w:tcBorders>
          </w:tcPr>
          <w:p>
            <w:pPr>
              <w:spacing w:after="0"/>
              <w:rPr>
                <w:sz w:val="3"/>
                <w:szCs w:val="3"/>
                <w:color w:val="auto"/>
              </w:rPr>
            </w:pPr>
          </w:p>
        </w:tc>
        <w:tc>
          <w:tcPr>
            <w:tcW w:w="4300" w:type="dxa"/>
            <w:vAlign w:val="bottom"/>
            <w:tcBorders>
              <w:bottom w:val="single" w:sz="8" w:color="1A3FD6"/>
            </w:tcBorders>
          </w:tcPr>
          <w:p>
            <w:pPr>
              <w:spacing w:after="0"/>
              <w:rPr>
                <w:sz w:val="3"/>
                <w:szCs w:val="3"/>
                <w:color w:val="auto"/>
              </w:rPr>
            </w:pPr>
          </w:p>
        </w:tc>
      </w:tr>
    </w:tbl>
    <w:p>
      <w:pPr>
        <w:spacing w:after="0" w:line="2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All Management Committee members are required to meet the applicable ownership guidelines under the current stock ownership guidelines within five years following the date of such executive’s appointment to the Management Committee. For the purpose of determining whether each individual is in compliance with these stock ownership guidelines and requirements, the following are counted towards satisfaction of the minimum ownership requirements:</w:t>
      </w:r>
    </w:p>
    <w:p>
      <w:pPr>
        <w:spacing w:after="0" w:line="104"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6"/>
          <w:szCs w:val="16"/>
          <w:b w:val="1"/>
          <w:bCs w:val="1"/>
          <w:color w:val="1A3FD6"/>
        </w:rPr>
      </w:pPr>
      <w:r>
        <w:rPr>
          <w:rFonts w:ascii="Arial" w:cs="Arial" w:eastAsia="Arial" w:hAnsi="Arial"/>
          <w:sz w:val="16"/>
          <w:szCs w:val="16"/>
          <w:color w:val="auto"/>
        </w:rPr>
        <w:t>shares beneficially owned individually, directly or indirectly;</w:t>
      </w:r>
    </w:p>
    <w:p>
      <w:pPr>
        <w:spacing w:after="0" w:line="86" w:lineRule="exact"/>
        <w:rPr>
          <w:rFonts w:ascii="Arial" w:cs="Arial" w:eastAsia="Arial" w:hAnsi="Arial"/>
          <w:sz w:val="16"/>
          <w:szCs w:val="16"/>
          <w:b w:val="1"/>
          <w:bCs w:val="1"/>
          <w:color w:val="1A3FD6"/>
        </w:rPr>
      </w:pPr>
    </w:p>
    <w:p>
      <w:pPr>
        <w:ind w:left="260" w:hanging="252"/>
        <w:spacing w:after="0"/>
        <w:tabs>
          <w:tab w:leader="none" w:pos="260" w:val="left"/>
        </w:tabs>
        <w:numPr>
          <w:ilvl w:val="0"/>
          <w:numId w:val="96"/>
        </w:numPr>
        <w:rPr>
          <w:rFonts w:ascii="Arial" w:cs="Arial" w:eastAsia="Arial" w:hAnsi="Arial"/>
          <w:sz w:val="16"/>
          <w:szCs w:val="16"/>
          <w:b w:val="1"/>
          <w:bCs w:val="1"/>
          <w:color w:val="1A3FD6"/>
        </w:rPr>
      </w:pPr>
      <w:r>
        <w:rPr>
          <w:rFonts w:ascii="Arial" w:cs="Arial" w:eastAsia="Arial" w:hAnsi="Arial"/>
          <w:sz w:val="16"/>
          <w:szCs w:val="16"/>
          <w:color w:val="auto"/>
        </w:rPr>
        <w:t>shares beneficially owned jointly with, or separately by, immediate family members residing in the same household, either directly or indirectly; and</w:t>
      </w:r>
    </w:p>
    <w:p>
      <w:pPr>
        <w:spacing w:after="0" w:line="86" w:lineRule="exact"/>
        <w:rPr>
          <w:rFonts w:ascii="Arial" w:cs="Arial" w:eastAsia="Arial" w:hAnsi="Arial"/>
          <w:sz w:val="16"/>
          <w:szCs w:val="16"/>
          <w:b w:val="1"/>
          <w:bCs w:val="1"/>
          <w:color w:val="1A3FD6"/>
        </w:rPr>
      </w:pPr>
    </w:p>
    <w:p>
      <w:pPr>
        <w:ind w:left="240" w:hanging="232"/>
        <w:spacing w:after="0"/>
        <w:tabs>
          <w:tab w:leader="none" w:pos="240" w:val="left"/>
        </w:tabs>
        <w:numPr>
          <w:ilvl w:val="0"/>
          <w:numId w:val="96"/>
        </w:numPr>
        <w:rPr>
          <w:rFonts w:ascii="Arial" w:cs="Arial" w:eastAsia="Arial" w:hAnsi="Arial"/>
          <w:sz w:val="16"/>
          <w:szCs w:val="16"/>
          <w:b w:val="1"/>
          <w:bCs w:val="1"/>
          <w:color w:val="1A3FD6"/>
        </w:rPr>
      </w:pPr>
      <w:r>
        <w:rPr>
          <w:rFonts w:ascii="Arial" w:cs="Arial" w:eastAsia="Arial" w:hAnsi="Arial"/>
          <w:sz w:val="16"/>
          <w:szCs w:val="16"/>
          <w:color w:val="auto"/>
        </w:rPr>
        <w:t>shares underlying unvested RSUs.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Unexercised stock options and unearned performance awards do not count toward satisfaction of the minimum ownership requirements.</w:t>
      </w:r>
    </w:p>
    <w:p>
      <w:pPr>
        <w:spacing w:after="0" w:line="15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Until the expected ownership levels are achieved, each Management Committee member is required to retain 50% of the Net Shares resulting from the vesting, settlement or exercise, as applicable, of all PSUs, stock options, RSUs or other equity awards granted to such executive.</w:t>
      </w:r>
    </w:p>
    <w:p>
      <w:pPr>
        <w:spacing w:after="0" w:line="8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In addition to the minimum ownership requirements, the share retention requirements of the stock ownership guidelines provide that until an executive ceases to serve on the Company’s Management Committee, such executive will be required to retain a number of shares equivalent to, in the aggregate, 25% of the “Net Shares” resulting from the vesting, settlement or exercise, as applicable, of all equity incentive awards granted to such executive after January 1, 2022 (or, if later, the date such executive becomes a member of the Management Committee). The Compensation Committee determined that the addition of this 25% “Net Shares” holding requirement would further enhance our goal of reinforcing an “owner-operator” mindset among senior leaders. This approach will ensure that a portion of the Net Shares received from every award will be retained while an individual serves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Committee.</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Award Timing</w:t>
      </w:r>
    </w:p>
    <w:p>
      <w:pPr>
        <w:spacing w:after="0" w:line="9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Although we do not have a formal policy with respect to the timing of grants of our LTIP awards, the Compensation Committee has historically granted such awards on a predetermined annual schedule, following its January meeting each year. We also periodically grant off-cycle LTIP awards in connection with specific circumstances such as new hires, promotions, retention efforts or as replacement grants.</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Company has never granted, and has no plans to grant, any LTIP award to current or new employees in anticipation of the release of material nonpublic information, and we do not accelerate or delay the release of material nonpublic information based on equity award grant dates or for the purpose of affecting the value of executive compensation. The Company does not backdate stock options or restricted stock units. The exercise price of stock options is no less than the closing price of MSCI stock on the effective date of the grant.</w:t>
      </w:r>
    </w:p>
    <w:p>
      <w:pPr>
        <w:spacing w:after="0" w:line="105"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During 2025, no equity awards were granted to named executive officers within four business days preceding or one business day after the filing of any Form 10-K, 10-Q or 8-K disclosing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389890</wp:posOffset>
            </wp:positionV>
            <wp:extent cx="556895" cy="146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Other Policies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Clawback Policies</w:t>
      </w:r>
    </w:p>
    <w:p>
      <w:pPr>
        <w:spacing w:after="0" w:line="1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seek to recover, to the extent practicable, performance-based compensation from members of our Management Committee and the Company’s Principal Accounting Officer under certain circumstances. In 2023, the Board adopted the Company’s Financial Statement Compensation Recoupment Policy in accordance with Rule 10D-1 and revised its Management Committee Compensation Recoupment Policy. Under the Company’s Financial Statement Compensation Recoupment Policy, the Compensation Committee, will, to the extent permitted by law, recoup any incentive compensation (cash and equity) received by the Company’s Executive Officers, in the event of a restatement of financial-based measures (regardless of whether detrimental conduct has occurred). In the case of a restatement of financial-based measures, the Compensation Committee will reasonably promptly recover the amount by which the incentive compensation received exceeds the amount that would have been received if the error had not been made within the three years preceding the date on which the Board determines that the financial measure contains a material error.</w:t>
      </w:r>
    </w:p>
    <w:p>
      <w:pPr>
        <w:spacing w:after="0" w:line="107"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Under the Company’s revised Management Committee Compensation Recoupment Policy, the Compensation Committee may, to the extent permitted by applicable law, recoup any incentive compensation (cash and equity) received by members of the Company’s Management Committee and the Company’s Principal Accounting Officer in the event of a restatement of financial or other performance-based measures (regardless of whether detrimental conduct has occurred) or in the event that detrimental conduct results in an increased level of performance goal achievement or otherwise causes material financial and/or reputational harm to the Company, as described below. In the case of a restatement of financial or other performance-based measures, the Compensation Committee may recover up to the amount by which the incentive compensation received exceeds the amount that would have been received if the error had not been made within the two years preceding the date on which the Board or the Compensation Committee determines that the financial or other measure contains a material error.</w:t>
      </w:r>
    </w:p>
    <w:p>
      <w:pPr>
        <w:spacing w:after="0" w:line="11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Under the Company’s revised Management Committee Compensation Recoupment Policy, in the case of detrimental conduct that, in the sole discretion of the Compensation Committee, has resulted in a level of achievement of a performance-based measure or caused material financial or reputational harm to the Company, the Board may recover incentive compensation, including service-vesting awards, received by the person during the two-year period immediately preceding the date on which such person engaged in such detrimental conduct (or the date on which the Compensation Committee discovers that such person engaged in detrimental conduct). Detrimental conduct consists of:</w:t>
      </w:r>
    </w:p>
    <w:p>
      <w:pPr>
        <w:spacing w:after="0" w:line="101" w:lineRule="exact"/>
        <w:rPr>
          <w:sz w:val="20"/>
          <w:szCs w:val="20"/>
          <w:color w:val="auto"/>
        </w:rPr>
      </w:pPr>
    </w:p>
    <w:p>
      <w:pPr>
        <w:ind w:left="160" w:hanging="152"/>
        <w:spacing w:after="0"/>
        <w:tabs>
          <w:tab w:leader="none" w:pos="160" w:val="left"/>
        </w:tabs>
        <w:numPr>
          <w:ilvl w:val="0"/>
          <w:numId w:val="97"/>
        </w:numPr>
        <w:rPr>
          <w:rFonts w:ascii="Arial" w:cs="Arial" w:eastAsia="Arial" w:hAnsi="Arial"/>
          <w:sz w:val="16"/>
          <w:szCs w:val="16"/>
          <w:color w:val="00A798"/>
        </w:rPr>
      </w:pPr>
      <w:r>
        <w:rPr>
          <w:rFonts w:ascii="Arial" w:cs="Arial" w:eastAsia="Arial" w:hAnsi="Arial"/>
          <w:sz w:val="16"/>
          <w:szCs w:val="16"/>
          <w:color w:val="auto"/>
        </w:rPr>
        <w:t>willful misconduct or breach of a fiduciary duty with respect to the Company or any of its subsidiaries;</w:t>
      </w:r>
    </w:p>
    <w:p>
      <w:pPr>
        <w:spacing w:after="0" w:line="99" w:lineRule="exact"/>
        <w:rPr>
          <w:rFonts w:ascii="Arial" w:cs="Arial" w:eastAsia="Arial" w:hAnsi="Arial"/>
          <w:sz w:val="16"/>
          <w:szCs w:val="16"/>
          <w:color w:val="00A798"/>
        </w:rPr>
      </w:pPr>
    </w:p>
    <w:p>
      <w:pPr>
        <w:ind w:left="200" w:right="580" w:hanging="192"/>
        <w:spacing w:after="0" w:line="304" w:lineRule="auto"/>
        <w:tabs>
          <w:tab w:leader="none" w:pos="157" w:val="left"/>
        </w:tabs>
        <w:numPr>
          <w:ilvl w:val="0"/>
          <w:numId w:val="97"/>
        </w:numPr>
        <w:rPr>
          <w:rFonts w:ascii="Arial" w:cs="Arial" w:eastAsia="Arial" w:hAnsi="Arial"/>
          <w:sz w:val="16"/>
          <w:szCs w:val="16"/>
          <w:color w:val="00A798"/>
        </w:rPr>
      </w:pPr>
      <w:r>
        <w:rPr>
          <w:rFonts w:ascii="Arial" w:cs="Arial" w:eastAsia="Arial" w:hAnsi="Arial"/>
          <w:sz w:val="16"/>
          <w:szCs w:val="16"/>
          <w:color w:val="auto"/>
        </w:rPr>
        <w:t>conviction of, or having entered a plea bargain or settlement admitting guilt for, any crime of moral turpitude or felony under any applicable law with respect to the Company or any of its subsidiaries;</w:t>
      </w:r>
    </w:p>
    <w:p>
      <w:pPr>
        <w:spacing w:after="0" w:line="19" w:lineRule="exact"/>
        <w:rPr>
          <w:rFonts w:ascii="Arial" w:cs="Arial" w:eastAsia="Arial" w:hAnsi="Arial"/>
          <w:sz w:val="16"/>
          <w:szCs w:val="16"/>
          <w:color w:val="00A798"/>
        </w:rPr>
      </w:pPr>
    </w:p>
    <w:p>
      <w:pPr>
        <w:ind w:left="160" w:hanging="152"/>
        <w:spacing w:after="0"/>
        <w:tabs>
          <w:tab w:leader="none" w:pos="160" w:val="left"/>
        </w:tabs>
        <w:numPr>
          <w:ilvl w:val="0"/>
          <w:numId w:val="97"/>
        </w:numPr>
        <w:rPr>
          <w:rFonts w:ascii="Arial" w:cs="Arial" w:eastAsia="Arial" w:hAnsi="Arial"/>
          <w:sz w:val="16"/>
          <w:szCs w:val="16"/>
          <w:color w:val="00A798"/>
        </w:rPr>
      </w:pPr>
      <w:r>
        <w:rPr>
          <w:rFonts w:ascii="Arial" w:cs="Arial" w:eastAsia="Arial" w:hAnsi="Arial"/>
          <w:sz w:val="16"/>
          <w:szCs w:val="16"/>
          <w:color w:val="auto"/>
        </w:rPr>
        <w:t>commission of an act of fraud, embezzlement or misappropriation, with respect to the Company or any of its subsidiaries;</w:t>
      </w:r>
    </w:p>
    <w:p>
      <w:pPr>
        <w:spacing w:after="0" w:line="99" w:lineRule="exact"/>
        <w:rPr>
          <w:rFonts w:ascii="Arial" w:cs="Arial" w:eastAsia="Arial" w:hAnsi="Arial"/>
          <w:sz w:val="16"/>
          <w:szCs w:val="16"/>
          <w:color w:val="00A798"/>
        </w:rPr>
      </w:pPr>
    </w:p>
    <w:p>
      <w:pPr>
        <w:ind w:left="200" w:right="180" w:hanging="192"/>
        <w:spacing w:after="0" w:line="321" w:lineRule="auto"/>
        <w:tabs>
          <w:tab w:leader="none" w:pos="157" w:val="left"/>
        </w:tabs>
        <w:numPr>
          <w:ilvl w:val="0"/>
          <w:numId w:val="97"/>
        </w:numPr>
        <w:rPr>
          <w:rFonts w:ascii="Arial" w:cs="Arial" w:eastAsia="Arial" w:hAnsi="Arial"/>
          <w:sz w:val="16"/>
          <w:szCs w:val="16"/>
          <w:color w:val="00A798"/>
        </w:rPr>
      </w:pPr>
      <w:r>
        <w:rPr>
          <w:rFonts w:ascii="Arial" w:cs="Arial" w:eastAsia="Arial" w:hAnsi="Arial"/>
          <w:sz w:val="16"/>
          <w:szCs w:val="16"/>
          <w:color w:val="auto"/>
        </w:rPr>
        <w:t>breach of any restrictive covenant to which such person is subject contained in any applicable agreement or arrangement with the Company or any of its subsidiaries; and</w:t>
      </w:r>
    </w:p>
    <w:p>
      <w:pPr>
        <w:spacing w:after="0" w:line="7" w:lineRule="exact"/>
        <w:rPr>
          <w:rFonts w:ascii="Arial" w:cs="Arial" w:eastAsia="Arial" w:hAnsi="Arial"/>
          <w:sz w:val="16"/>
          <w:szCs w:val="16"/>
          <w:color w:val="00A798"/>
        </w:rPr>
      </w:pPr>
    </w:p>
    <w:p>
      <w:pPr>
        <w:ind w:left="200" w:right="420" w:hanging="192"/>
        <w:spacing w:after="0" w:line="304" w:lineRule="auto"/>
        <w:tabs>
          <w:tab w:leader="none" w:pos="157" w:val="left"/>
        </w:tabs>
        <w:numPr>
          <w:ilvl w:val="0"/>
          <w:numId w:val="97"/>
        </w:numPr>
        <w:rPr>
          <w:rFonts w:ascii="Arial" w:cs="Arial" w:eastAsia="Arial" w:hAnsi="Arial"/>
          <w:sz w:val="16"/>
          <w:szCs w:val="16"/>
          <w:color w:val="00A798"/>
        </w:rPr>
      </w:pPr>
      <w:r>
        <w:rPr>
          <w:rFonts w:ascii="Arial" w:cs="Arial" w:eastAsia="Arial" w:hAnsi="Arial"/>
          <w:sz w:val="16"/>
          <w:szCs w:val="16"/>
          <w:color w:val="auto"/>
        </w:rPr>
        <w:t>failure to take action with respect to any acts or conduct described above when taken by another person that such person has actual knowledge of or directing any other person to take any of the actions described above.</w:t>
      </w:r>
    </w:p>
    <w:p>
      <w:pPr>
        <w:spacing w:after="0" w:line="10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Management Committee Compensation Recoupment Policy applies to all incentive compensation (cash and equity, including service-vesting awards in the case of detrimental conduct) granted on or after February 7, 2019. The Financial Statement Compensation Recoupment Policy applies to all incentive compensation (cash and equity) that is determined based on goals attained in any of the three completed fiscal years (i.e., compensation is “received”), beginning with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Anti-Hedging and Anti-Pledging Policy</w:t>
      </w:r>
    </w:p>
    <w:p>
      <w:pPr>
        <w:spacing w:after="0" w:line="119"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prohibit all directors and employees, including all NEOs, from hedging or pledging the Company’s common stock or engaging in short sales, purchases or sales of options, puts or calls, as well as derivatives such as swaps, forwards or futures and trading on a short-term basis in the Company’s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Tax Considerations</w:t>
      </w:r>
    </w:p>
    <w:p>
      <w:pPr>
        <w:spacing w:after="0" w:line="194"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Compensation Committee takes into consideration the tax implications of our executive compensation program, including with respect to the tax deductibility of compensation paid under Section 162(m) of the Internal Revenue Code.</w:t>
      </w:r>
    </w:p>
    <w:p>
      <w:pPr>
        <w:spacing w:after="0" w:line="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the exercise of its business judgment, and in accordance with its compensation philosophy, the Compensation Committee continues to have flexibility to award compensation that is not tax deductible if it determines that such award is in our shareholders’ best interests and is necessary to comply with contractual commitments, or to maintain flexibility needed to attract talent, promote retention or recognize and reward desired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Compensation Risk Assessment</w:t>
      </w:r>
    </w:p>
    <w:p>
      <w:pPr>
        <w:spacing w:after="0" w:line="181"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The Compensation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w:t>
      </w:r>
    </w:p>
    <w:p>
      <w:pPr>
        <w:spacing w:after="0" w:line="98" w:lineRule="exact"/>
        <w:rPr>
          <w:sz w:val="20"/>
          <w:szCs w:val="20"/>
          <w:color w:val="auto"/>
        </w:rPr>
      </w:pPr>
    </w:p>
    <w:p>
      <w:pPr>
        <w:ind w:left="200" w:right="540" w:hanging="192"/>
        <w:spacing w:after="0" w:line="292" w:lineRule="auto"/>
        <w:tabs>
          <w:tab w:leader="none" w:pos="157" w:val="left"/>
        </w:tabs>
        <w:numPr>
          <w:ilvl w:val="0"/>
          <w:numId w:val="98"/>
        </w:numPr>
        <w:rPr>
          <w:rFonts w:ascii="Arial" w:cs="Arial" w:eastAsia="Arial" w:hAnsi="Arial"/>
          <w:sz w:val="16"/>
          <w:szCs w:val="16"/>
          <w:color w:val="00A798"/>
        </w:rPr>
      </w:pPr>
      <w:r>
        <w:rPr>
          <w:rFonts w:ascii="Arial" w:cs="Arial" w:eastAsia="Arial" w:hAnsi="Arial"/>
          <w:sz w:val="16"/>
          <w:szCs w:val="16"/>
          <w:color w:val="auto"/>
        </w:rPr>
        <w:t>The compensation framework used for making compensation decisions is multi-faceted as it incorporates multiple metrics, including company-wide financial measures and stock price performance, over varying time periods and is subject to the application of informed judgment by the Compensation Committee.</w:t>
      </w:r>
    </w:p>
    <w:p>
      <w:pPr>
        <w:spacing w:after="0" w:line="30" w:lineRule="exact"/>
        <w:rPr>
          <w:rFonts w:ascii="Arial" w:cs="Arial" w:eastAsia="Arial" w:hAnsi="Arial"/>
          <w:sz w:val="16"/>
          <w:szCs w:val="16"/>
          <w:color w:val="00A798"/>
        </w:rPr>
      </w:pPr>
    </w:p>
    <w:p>
      <w:pPr>
        <w:ind w:left="200" w:right="100" w:hanging="192"/>
        <w:spacing w:after="0" w:line="289" w:lineRule="auto"/>
        <w:tabs>
          <w:tab w:leader="none" w:pos="157" w:val="left"/>
        </w:tabs>
        <w:numPr>
          <w:ilvl w:val="0"/>
          <w:numId w:val="98"/>
        </w:numPr>
        <w:rPr>
          <w:rFonts w:ascii="Arial" w:cs="Arial" w:eastAsia="Arial" w:hAnsi="Arial"/>
          <w:sz w:val="16"/>
          <w:szCs w:val="16"/>
          <w:color w:val="00A798"/>
        </w:rPr>
      </w:pPr>
      <w:r>
        <w:rPr>
          <w:rFonts w:ascii="Arial" w:cs="Arial" w:eastAsia="Arial" w:hAnsi="Arial"/>
          <w:sz w:val="16"/>
          <w:szCs w:val="16"/>
          <w:color w:val="auto"/>
        </w:rPr>
        <w:t>To further ensure that the interests of our NEOs are aligned with those of our shareholders, a significant portion of executive officer long-term incentive compensation is awarded as equity, delivered through a mix of PSUs, PSOs and RSUs, subject to vesting requirements. Awards vest over a multi-year period, and in the case of performance-based awards, vest based on achievement of applicable performance goals at the end of a relevant performance period.</w:t>
      </w:r>
    </w:p>
    <w:p>
      <w:pPr>
        <w:spacing w:after="0" w:line="31" w:lineRule="exact"/>
        <w:rPr>
          <w:rFonts w:ascii="Arial" w:cs="Arial" w:eastAsia="Arial" w:hAnsi="Arial"/>
          <w:sz w:val="16"/>
          <w:szCs w:val="16"/>
          <w:color w:val="00A798"/>
        </w:rPr>
      </w:pPr>
    </w:p>
    <w:p>
      <w:pPr>
        <w:ind w:left="200" w:hanging="192"/>
        <w:spacing w:after="0" w:line="316" w:lineRule="auto"/>
        <w:tabs>
          <w:tab w:leader="none" w:pos="157" w:val="left"/>
        </w:tabs>
        <w:numPr>
          <w:ilvl w:val="0"/>
          <w:numId w:val="98"/>
        </w:numPr>
        <w:rPr>
          <w:rFonts w:ascii="Arial" w:cs="Arial" w:eastAsia="Arial" w:hAnsi="Arial"/>
          <w:sz w:val="16"/>
          <w:szCs w:val="16"/>
          <w:color w:val="00A798"/>
        </w:rPr>
      </w:pPr>
      <w:r>
        <w:rPr>
          <w:rFonts w:ascii="Arial" w:cs="Arial" w:eastAsia="Arial" w:hAnsi="Arial"/>
          <w:sz w:val="16"/>
          <w:szCs w:val="16"/>
          <w:color w:val="auto"/>
        </w:rPr>
        <w:t>Management Committee members are required to meet the applicable stock ownership guidelines described under “Stock Ownership Guidelines” on page 86 of this Proxy Statement.</w:t>
      </w:r>
    </w:p>
    <w:p>
      <w:pPr>
        <w:spacing w:after="0" w:line="1" w:lineRule="exact"/>
        <w:rPr>
          <w:rFonts w:ascii="Arial" w:cs="Arial" w:eastAsia="Arial" w:hAnsi="Arial"/>
          <w:sz w:val="16"/>
          <w:szCs w:val="16"/>
          <w:color w:val="00A798"/>
        </w:rPr>
      </w:pPr>
    </w:p>
    <w:p>
      <w:pPr>
        <w:ind w:left="160" w:hanging="152"/>
        <w:spacing w:after="0"/>
        <w:tabs>
          <w:tab w:leader="none" w:pos="160" w:val="left"/>
        </w:tabs>
        <w:numPr>
          <w:ilvl w:val="0"/>
          <w:numId w:val="98"/>
        </w:numPr>
        <w:rPr>
          <w:rFonts w:ascii="Arial" w:cs="Arial" w:eastAsia="Arial" w:hAnsi="Arial"/>
          <w:sz w:val="16"/>
          <w:szCs w:val="16"/>
          <w:color w:val="00A798"/>
        </w:rPr>
      </w:pPr>
      <w:r>
        <w:rPr>
          <w:rFonts w:ascii="Arial" w:cs="Arial" w:eastAsia="Arial" w:hAnsi="Arial"/>
          <w:sz w:val="16"/>
          <w:szCs w:val="16"/>
          <w:color w:val="auto"/>
        </w:rPr>
        <w:t>Incentive compensation is subject to the clawback policies described under “Clawback Policies” on page 87 of this Proxy Statement.</w:t>
      </w:r>
    </w:p>
    <w:p>
      <w:pPr>
        <w:spacing w:after="0" w:line="181"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auto"/>
        </w:rPr>
        <w:t>Based on these features, we believe our executive compensation program effectively (i) ensures that our compensation opportunities do not encourage excessive risk taking, (ii) keeps our NEOs focused on the creation of long-term, sustainable value for our shareholders and (iii) provides competitive and appropriate levels of compensation over time.</w:t>
      </w:r>
    </w:p>
    <w:p>
      <w:pPr>
        <w:spacing w:after="0" w:line="98"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In 2025, the Compensation Committee, with the assistance of its independent compensation consultant, reviewed our compensation practices and policies as generally applicable to all of our employees and believes that our practices and policies do not encourage excessive or unnecessary risk-taking and that any level of risk they do encourage is not reasonably likely to have a material adverse effect on the Company.</w:t>
      </w:r>
    </w:p>
    <w:p>
      <w:pPr>
        <w:spacing w:after="0" w:line="111" w:lineRule="exact"/>
        <w:rPr>
          <w:sz w:val="20"/>
          <w:szCs w:val="20"/>
          <w:color w:val="auto"/>
        </w:rPr>
      </w:pPr>
    </w:p>
    <w:p>
      <w:pPr>
        <w:jc w:val="both"/>
        <w:ind w:right="240"/>
        <w:spacing w:after="0" w:line="283" w:lineRule="auto"/>
        <w:rPr>
          <w:sz w:val="20"/>
          <w:szCs w:val="20"/>
          <w:color w:val="auto"/>
        </w:rPr>
      </w:pPr>
      <w:r>
        <w:rPr>
          <w:rFonts w:ascii="Arial" w:cs="Arial" w:eastAsia="Arial" w:hAnsi="Arial"/>
          <w:sz w:val="16"/>
          <w:szCs w:val="16"/>
          <w:color w:val="auto"/>
        </w:rPr>
        <w:t>In connection with its 2025 assessment, the Compensation Committee also engaged Aon to evaluate the Company’s executive, broad-based and client-coverage compensation programs from a risk and governance perspective. Aon concluded that the Company’s 2025 executive, broad-based, and client-coverage incentive compensation policies and practices are not reasonably likely to promote excessive risk-taking behavior or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417830</wp:posOffset>
            </wp:positionV>
            <wp:extent cx="556895" cy="146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Compensation, Talent and Culture Committee Report</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the Compensation Committee of the Board of Directors of MSCI Inc., have reviewed and discussed with management the Compensation Discussion and Analysis above. Based on this review and these discussions, the Compensation Committee recommended to the Board that the Compensation Discussion and Analysis be included in this Proxy Statement and incorporated by reference into the Company’s 2025 Annual Report on Form 10-K filed with the Securities and Exchange Commission.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 xml:space="preserve">Jacques P. Perold </w:t>
      </w:r>
      <w:r>
        <w:rPr>
          <w:rFonts w:ascii="Arial" w:cs="Arial" w:eastAsia="Arial" w:hAnsi="Arial"/>
          <w:sz w:val="16"/>
          <w:szCs w:val="16"/>
          <w:color w:val="000000"/>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Robin L. Matlock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Linda H. Riefler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Paula Volent</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374"/>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Executive Compensation Tables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Compensation Table</w:t>
      </w:r>
    </w:p>
    <w:p>
      <w:pPr>
        <w:spacing w:after="0" w:line="119"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The following table sets forth information regarding compensation paid or awarded by MSCI to the Company’s NEOs during fiscal years 2025, 2024 and 2023.</w:t>
      </w:r>
    </w:p>
    <w:p>
      <w:pPr>
        <w:spacing w:after="0" w:line="75"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Certain amounts paid to Mr. Pettit accrued in British pounds sterling. In the tables below, where applicable, these amounts were converted to U.S. dollars using the fiscal year average of daily spot rates of £1 to $1.3184, $1.2780 and $1.2433 for fiscal 2025, 2024 and 2023, respectively.</w:t>
      </w:r>
    </w:p>
    <w:p>
      <w:pPr>
        <w:spacing w:after="0" w:line="75"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Certain amounts paid to Mr. Munari accrued in Swiss francs. In the tables below, where applicable, these amounts were converted to U.S. dollars using the fiscal year average of daily spot rates of CHF 1 to $1.2065 for fiscal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26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Option</w:t>
            </w:r>
          </w:p>
        </w:tc>
        <w:tc>
          <w:tcPr>
            <w:tcW w:w="1440" w:type="dxa"/>
            <w:vAlign w:val="bottom"/>
          </w:tcPr>
          <w:p>
            <w:pPr>
              <w:jc w:val="right"/>
              <w:ind w:right="144"/>
              <w:spacing w:after="0"/>
              <w:rPr>
                <w:sz w:val="20"/>
                <w:szCs w:val="20"/>
                <w:color w:val="auto"/>
              </w:rPr>
            </w:pPr>
            <w:r>
              <w:rPr>
                <w:rFonts w:ascii="Arial" w:cs="Arial" w:eastAsia="Arial" w:hAnsi="Arial"/>
                <w:sz w:val="14"/>
                <w:szCs w:val="14"/>
                <w:b w:val="1"/>
                <w:bCs w:val="1"/>
                <w:color w:val="auto"/>
              </w:rPr>
              <w:t>Non-Equity</w:t>
            </w:r>
          </w:p>
        </w:tc>
        <w:tc>
          <w:tcPr>
            <w:tcW w:w="142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440" w:type="dxa"/>
            <w:vAlign w:val="bottom"/>
          </w:tcPr>
          <w:p>
            <w:pPr>
              <w:jc w:val="right"/>
              <w:ind w:right="144"/>
              <w:spacing w:after="0"/>
              <w:rPr>
                <w:sz w:val="20"/>
                <w:szCs w:val="20"/>
                <w:color w:val="auto"/>
              </w:rPr>
            </w:pPr>
            <w:r>
              <w:rPr>
                <w:rFonts w:ascii="Arial" w:cs="Arial" w:eastAsia="Arial" w:hAnsi="Arial"/>
                <w:sz w:val="14"/>
                <w:szCs w:val="14"/>
                <w:b w:val="1"/>
                <w:bCs w:val="1"/>
                <w:color w:val="auto"/>
              </w:rPr>
              <w:t>Incentive Plan</w:t>
            </w:r>
          </w:p>
        </w:tc>
        <w:tc>
          <w:tcPr>
            <w:tcW w:w="14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Name and</w:t>
            </w:r>
          </w:p>
        </w:tc>
        <w:tc>
          <w:tcPr>
            <w:tcW w:w="820" w:type="dxa"/>
            <w:vAlign w:val="bottom"/>
          </w:tcPr>
          <w:p>
            <w:pPr>
              <w:jc w:val="right"/>
              <w:ind w:right="104"/>
              <w:spacing w:after="0"/>
              <w:rPr>
                <w:sz w:val="20"/>
                <w:szCs w:val="20"/>
                <w:color w:val="auto"/>
              </w:rPr>
            </w:pPr>
            <w:r>
              <w:rPr>
                <w:rFonts w:ascii="Arial" w:cs="Arial" w:eastAsia="Arial" w:hAnsi="Arial"/>
                <w:sz w:val="14"/>
                <w:szCs w:val="14"/>
                <w:b w:val="1"/>
                <w:bCs w:val="1"/>
                <w:color w:val="auto"/>
              </w:rPr>
              <w:t>Fiscal</w:t>
            </w: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Salary</w:t>
            </w:r>
          </w:p>
        </w:tc>
        <w:tc>
          <w:tcPr>
            <w:tcW w:w="780" w:type="dxa"/>
            <w:vAlign w:val="bottom"/>
          </w:tcPr>
          <w:p>
            <w:pPr>
              <w:jc w:val="right"/>
              <w:ind w:right="124"/>
              <w:spacing w:after="0"/>
              <w:rPr>
                <w:sz w:val="20"/>
                <w:szCs w:val="20"/>
                <w:color w:val="auto"/>
              </w:rPr>
            </w:pPr>
            <w:r>
              <w:rPr>
                <w:rFonts w:ascii="Arial" w:cs="Arial" w:eastAsia="Arial" w:hAnsi="Arial"/>
                <w:sz w:val="14"/>
                <w:szCs w:val="14"/>
                <w:b w:val="1"/>
                <w:bCs w:val="1"/>
                <w:color w:val="auto"/>
              </w:rPr>
              <w:t>Bonus</w:t>
            </w:r>
          </w:p>
        </w:tc>
        <w:tc>
          <w:tcPr>
            <w:tcW w:w="1120" w:type="dxa"/>
            <w:vAlign w:val="bottom"/>
          </w:tcPr>
          <w:p>
            <w:pPr>
              <w:jc w:val="right"/>
              <w:ind w:right="124"/>
              <w:spacing w:after="0"/>
              <w:rPr>
                <w:sz w:val="20"/>
                <w:szCs w:val="20"/>
                <w:color w:val="auto"/>
              </w:rPr>
            </w:pPr>
            <w:r>
              <w:rPr>
                <w:rFonts w:ascii="Arial" w:cs="Arial" w:eastAsia="Arial" w:hAnsi="Arial"/>
                <w:sz w:val="14"/>
                <w:szCs w:val="14"/>
                <w:b w:val="1"/>
                <w:bCs w:val="1"/>
                <w:color w:val="auto"/>
              </w:rPr>
              <w:t>Awards</w:t>
            </w:r>
          </w:p>
        </w:tc>
        <w:tc>
          <w:tcPr>
            <w:tcW w:w="1260" w:type="dxa"/>
            <w:vAlign w:val="bottom"/>
          </w:tcPr>
          <w:p>
            <w:pPr>
              <w:jc w:val="right"/>
              <w:ind w:right="144"/>
              <w:spacing w:after="0"/>
              <w:rPr>
                <w:sz w:val="20"/>
                <w:szCs w:val="20"/>
                <w:color w:val="auto"/>
              </w:rPr>
            </w:pPr>
            <w:r>
              <w:rPr>
                <w:rFonts w:ascii="Arial" w:cs="Arial" w:eastAsia="Arial" w:hAnsi="Arial"/>
                <w:sz w:val="14"/>
                <w:szCs w:val="14"/>
                <w:b w:val="1"/>
                <w:bCs w:val="1"/>
                <w:color w:val="auto"/>
              </w:rPr>
              <w:t>Awards</w:t>
            </w:r>
          </w:p>
        </w:tc>
        <w:tc>
          <w:tcPr>
            <w:tcW w:w="1440" w:type="dxa"/>
            <w:vAlign w:val="bottom"/>
          </w:tcPr>
          <w:p>
            <w:pPr>
              <w:jc w:val="right"/>
              <w:ind w:right="144"/>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jc w:val="right"/>
              <w:ind w:right="126"/>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8"/>
        </w:trPr>
        <w:tc>
          <w:tcPr>
            <w:tcW w:w="23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820" w:type="dxa"/>
            <w:vAlign w:val="bottom"/>
            <w:tcBorders>
              <w:bottom w:val="single" w:sz="8" w:color="1A3FD6"/>
            </w:tcBorders>
          </w:tcPr>
          <w:p>
            <w:pPr>
              <w:jc w:val="right"/>
              <w:ind w:right="104"/>
              <w:spacing w:after="0"/>
              <w:rPr>
                <w:sz w:val="20"/>
                <w:szCs w:val="20"/>
                <w:color w:val="auto"/>
              </w:rPr>
            </w:pPr>
            <w:r>
              <w:rPr>
                <w:rFonts w:ascii="Arial" w:cs="Arial" w:eastAsia="Arial" w:hAnsi="Arial"/>
                <w:sz w:val="14"/>
                <w:szCs w:val="14"/>
                <w:b w:val="1"/>
                <w:bCs w:val="1"/>
                <w:color w:val="auto"/>
              </w:rPr>
              <w:t>Year</w:t>
            </w:r>
          </w:p>
        </w:tc>
        <w:tc>
          <w:tcPr>
            <w:tcW w:w="1040" w:type="dxa"/>
            <w:vAlign w:val="bottom"/>
            <w:tcBorders>
              <w:bottom w:val="single" w:sz="8" w:color="1A3FD6"/>
            </w:tcBorders>
          </w:tcPr>
          <w:p>
            <w:pPr>
              <w:jc w:val="right"/>
              <w:ind w:right="4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780" w:type="dxa"/>
            <w:vAlign w:val="bottom"/>
            <w:tcBorders>
              <w:bottom w:val="single" w:sz="8" w:color="1A3FD6"/>
            </w:tcBorders>
          </w:tcPr>
          <w:p>
            <w:pPr>
              <w:jc w:val="right"/>
              <w:ind w:right="124"/>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1A3FD6"/>
            </w:tcBorders>
          </w:tcPr>
          <w:p>
            <w:pPr>
              <w:jc w:val="right"/>
              <w:ind w:right="12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260" w:type="dxa"/>
            <w:vAlign w:val="bottom"/>
            <w:tcBorders>
              <w:bottom w:val="single" w:sz="8" w:color="1A3FD6"/>
            </w:tcBorders>
          </w:tcPr>
          <w:p>
            <w:pPr>
              <w:jc w:val="right"/>
              <w:ind w:right="14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440" w:type="dxa"/>
            <w:vAlign w:val="bottom"/>
            <w:tcBorders>
              <w:bottom w:val="single" w:sz="8" w:color="1A3FD6"/>
            </w:tcBorders>
          </w:tcPr>
          <w:p>
            <w:pPr>
              <w:jc w:val="right"/>
              <w:ind w:right="14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420" w:type="dxa"/>
            <w:vAlign w:val="bottom"/>
            <w:tcBorders>
              <w:bottom w:val="single" w:sz="8" w:color="1A3FD6"/>
            </w:tcBorders>
          </w:tcPr>
          <w:p>
            <w:pPr>
              <w:jc w:val="right"/>
              <w:ind w:right="126"/>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(4)(5)(6)(7)</w:t>
            </w:r>
          </w:p>
        </w:tc>
        <w:tc>
          <w:tcPr>
            <w:tcW w:w="10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1A3FD6"/>
              </w:rPr>
              <w:t>Henry A. Fernandez</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2025</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1,000,000</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4,380,024</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25,220,304</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1,346,950</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1,373,312</w:t>
            </w:r>
          </w:p>
        </w:tc>
        <w:tc>
          <w:tcPr>
            <w:tcW w:w="1040" w:type="dxa"/>
            <w:vAlign w:val="bottom"/>
          </w:tcPr>
          <w:p>
            <w:pPr>
              <w:jc w:val="right"/>
              <w:spacing w:after="0"/>
              <w:rPr>
                <w:sz w:val="20"/>
                <w:szCs w:val="20"/>
                <w:color w:val="auto"/>
              </w:rPr>
            </w:pPr>
            <w:r>
              <w:rPr>
                <w:rFonts w:ascii="Arial" w:cs="Arial" w:eastAsia="Arial" w:hAnsi="Arial"/>
                <w:sz w:val="15"/>
                <w:szCs w:val="15"/>
                <w:color w:val="auto"/>
              </w:rPr>
              <w:t>33,320,590</w:t>
            </w:r>
          </w:p>
        </w:tc>
        <w:tc>
          <w:tcPr>
            <w:tcW w:w="0" w:type="dxa"/>
            <w:vAlign w:val="bottom"/>
          </w:tcPr>
          <w:p>
            <w:pPr>
              <w:spacing w:after="0"/>
              <w:rPr>
                <w:sz w:val="1"/>
                <w:szCs w:val="1"/>
                <w:color w:val="auto"/>
              </w:rPr>
            </w:pPr>
          </w:p>
        </w:tc>
      </w:tr>
      <w:tr>
        <w:trPr>
          <w:trHeight w:val="44"/>
        </w:trPr>
        <w:tc>
          <w:tcPr>
            <w:tcW w:w="2320" w:type="dxa"/>
            <w:vAlign w:val="bottom"/>
            <w:vMerge w:val="restart"/>
          </w:tcPr>
          <w:p>
            <w:pPr>
              <w:ind w:left="20"/>
              <w:spacing w:after="0"/>
              <w:rPr>
                <w:sz w:val="20"/>
                <w:szCs w:val="20"/>
                <w:color w:val="auto"/>
              </w:rPr>
            </w:pPr>
            <w:r>
              <w:rPr>
                <w:rFonts w:ascii="Arial" w:cs="Arial" w:eastAsia="Arial" w:hAnsi="Arial"/>
                <w:sz w:val="15"/>
                <w:szCs w:val="15"/>
                <w:color w:val="auto"/>
              </w:rPr>
              <w:t>Chairman,</w:t>
            </w:r>
          </w:p>
        </w:tc>
        <w:tc>
          <w:tcPr>
            <w:tcW w:w="82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c>
          <w:tcPr>
            <w:tcW w:w="78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1260" w:type="dxa"/>
            <w:vAlign w:val="bottom"/>
            <w:tcBorders>
              <w:bottom w:val="single" w:sz="8" w:color="E6E7E8"/>
            </w:tcBorders>
          </w:tcPr>
          <w:p>
            <w:pPr>
              <w:spacing w:after="0"/>
              <w:rPr>
                <w:sz w:val="3"/>
                <w:szCs w:val="3"/>
                <w:color w:val="auto"/>
              </w:rPr>
            </w:pPr>
          </w:p>
        </w:tc>
        <w:tc>
          <w:tcPr>
            <w:tcW w:w="14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2024</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1,000,000</w:t>
            </w:r>
          </w:p>
        </w:tc>
        <w:tc>
          <w:tcPr>
            <w:tcW w:w="780" w:type="dxa"/>
            <w:vAlign w:val="bottom"/>
            <w:vMerge w:val="restart"/>
          </w:tcPr>
          <w:p>
            <w:pPr>
              <w:ind w:left="38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84"/>
              <w:spacing w:after="0"/>
              <w:rPr>
                <w:sz w:val="20"/>
                <w:szCs w:val="20"/>
                <w:color w:val="auto"/>
              </w:rPr>
            </w:pPr>
            <w:r>
              <w:rPr>
                <w:rFonts w:ascii="Arial" w:cs="Arial" w:eastAsia="Arial" w:hAnsi="Arial"/>
                <w:sz w:val="15"/>
                <w:szCs w:val="15"/>
                <w:color w:val="auto"/>
              </w:rPr>
              <w:t>3,480,002</w:t>
            </w: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color w:val="auto"/>
              </w:rPr>
              <w:t>8,120,159</w:t>
            </w:r>
          </w:p>
        </w:tc>
        <w:tc>
          <w:tcPr>
            <w:tcW w:w="1440" w:type="dxa"/>
            <w:vAlign w:val="bottom"/>
            <w:vMerge w:val="restart"/>
          </w:tcPr>
          <w:p>
            <w:pPr>
              <w:jc w:val="right"/>
              <w:ind w:right="184"/>
              <w:spacing w:after="0"/>
              <w:rPr>
                <w:sz w:val="20"/>
                <w:szCs w:val="20"/>
                <w:color w:val="auto"/>
              </w:rPr>
            </w:pPr>
            <w:r>
              <w:rPr>
                <w:rFonts w:ascii="Arial" w:cs="Arial" w:eastAsia="Arial" w:hAnsi="Arial"/>
                <w:sz w:val="15"/>
                <w:szCs w:val="15"/>
                <w:color w:val="auto"/>
              </w:rPr>
              <w:t>1,357,720</w:t>
            </w:r>
          </w:p>
        </w:tc>
        <w:tc>
          <w:tcPr>
            <w:tcW w:w="1420" w:type="dxa"/>
            <w:vAlign w:val="bottom"/>
            <w:vMerge w:val="restart"/>
          </w:tcPr>
          <w:p>
            <w:pPr>
              <w:jc w:val="right"/>
              <w:ind w:right="166"/>
              <w:spacing w:after="0"/>
              <w:rPr>
                <w:sz w:val="20"/>
                <w:szCs w:val="20"/>
                <w:color w:val="auto"/>
              </w:rPr>
            </w:pPr>
            <w:r>
              <w:rPr>
                <w:rFonts w:ascii="Arial" w:cs="Arial" w:eastAsia="Arial" w:hAnsi="Arial"/>
                <w:sz w:val="15"/>
                <w:szCs w:val="15"/>
                <w:color w:val="auto"/>
              </w:rPr>
              <w:t>1,738,726</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15,696,607</w:t>
            </w:r>
          </w:p>
        </w:tc>
        <w:tc>
          <w:tcPr>
            <w:tcW w:w="0" w:type="dxa"/>
            <w:vAlign w:val="bottom"/>
          </w:tcPr>
          <w:p>
            <w:pPr>
              <w:spacing w:after="0"/>
              <w:rPr>
                <w:sz w:val="1"/>
                <w:szCs w:val="1"/>
                <w:color w:val="auto"/>
              </w:rPr>
            </w:pPr>
          </w:p>
        </w:tc>
      </w:tr>
      <w:tr>
        <w:trPr>
          <w:trHeight w:val="92"/>
        </w:trPr>
        <w:tc>
          <w:tcPr>
            <w:tcW w:w="2320" w:type="dxa"/>
            <w:vAlign w:val="bottom"/>
            <w:vMerge w:val="restart"/>
          </w:tcPr>
          <w:p>
            <w:pPr>
              <w:ind w:left="20"/>
              <w:spacing w:after="0" w:line="133" w:lineRule="exact"/>
              <w:rPr>
                <w:sz w:val="20"/>
                <w:szCs w:val="20"/>
                <w:color w:val="auto"/>
              </w:rPr>
            </w:pPr>
            <w:r>
              <w:rPr>
                <w:rFonts w:ascii="Arial" w:cs="Arial" w:eastAsia="Arial" w:hAnsi="Arial"/>
                <w:sz w:val="15"/>
                <w:szCs w:val="15"/>
                <w:color w:val="auto"/>
              </w:rPr>
              <w:t>Chief Executive Officer and</w:t>
            </w:r>
          </w:p>
        </w:tc>
        <w:tc>
          <w:tcPr>
            <w:tcW w:w="8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320" w:type="dxa"/>
            <w:vAlign w:val="bottom"/>
            <w:vMerge w:val="continue"/>
          </w:tcPr>
          <w:p>
            <w:pPr>
              <w:spacing w:after="0"/>
              <w:rPr>
                <w:sz w:val="4"/>
                <w:szCs w:val="4"/>
                <w:color w:val="auto"/>
              </w:rPr>
            </w:pPr>
          </w:p>
        </w:tc>
        <w:tc>
          <w:tcPr>
            <w:tcW w:w="820" w:type="dxa"/>
            <w:vAlign w:val="bottom"/>
            <w:tcBorders>
              <w:bottom w:val="single" w:sz="8" w:color="E6E7E8"/>
            </w:tcBorders>
          </w:tcPr>
          <w:p>
            <w:pPr>
              <w:spacing w:after="0"/>
              <w:rPr>
                <w:sz w:val="4"/>
                <w:szCs w:val="4"/>
                <w:color w:val="auto"/>
              </w:rPr>
            </w:pPr>
          </w:p>
        </w:tc>
        <w:tc>
          <w:tcPr>
            <w:tcW w:w="104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1120" w:type="dxa"/>
            <w:vAlign w:val="bottom"/>
            <w:tcBorders>
              <w:bottom w:val="single" w:sz="8" w:color="E6E7E8"/>
            </w:tcBorders>
          </w:tcPr>
          <w:p>
            <w:pPr>
              <w:spacing w:after="0"/>
              <w:rPr>
                <w:sz w:val="4"/>
                <w:szCs w:val="4"/>
                <w:color w:val="auto"/>
              </w:rPr>
            </w:pPr>
          </w:p>
        </w:tc>
        <w:tc>
          <w:tcPr>
            <w:tcW w:w="1260" w:type="dxa"/>
            <w:vAlign w:val="bottom"/>
            <w:tcBorders>
              <w:bottom w:val="single" w:sz="8" w:color="E6E7E8"/>
            </w:tcBorders>
          </w:tcPr>
          <w:p>
            <w:pPr>
              <w:spacing w:after="0"/>
              <w:rPr>
                <w:sz w:val="4"/>
                <w:szCs w:val="4"/>
                <w:color w:val="auto"/>
              </w:rPr>
            </w:pPr>
          </w:p>
        </w:tc>
        <w:tc>
          <w:tcPr>
            <w:tcW w:w="1440" w:type="dxa"/>
            <w:vAlign w:val="bottom"/>
            <w:tcBorders>
              <w:bottom w:val="single" w:sz="8" w:color="E6E7E8"/>
            </w:tcBorders>
          </w:tcPr>
          <w:p>
            <w:pPr>
              <w:spacing w:after="0"/>
              <w:rPr>
                <w:sz w:val="4"/>
                <w:szCs w:val="4"/>
                <w:color w:val="auto"/>
              </w:rPr>
            </w:pPr>
          </w:p>
        </w:tc>
        <w:tc>
          <w:tcPr>
            <w:tcW w:w="1420" w:type="dxa"/>
            <w:vAlign w:val="bottom"/>
            <w:tcBorders>
              <w:bottom w:val="single" w:sz="8" w:color="E6E7E8"/>
            </w:tcBorders>
          </w:tcPr>
          <w:p>
            <w:pPr>
              <w:spacing w:after="0"/>
              <w:rPr>
                <w:sz w:val="4"/>
                <w:szCs w:val="4"/>
                <w:color w:val="auto"/>
              </w:rPr>
            </w:pPr>
          </w:p>
        </w:tc>
        <w:tc>
          <w:tcPr>
            <w:tcW w:w="1040" w:type="dxa"/>
            <w:vAlign w:val="bottom"/>
            <w:tcBorders>
              <w:bottom w:val="single" w:sz="8" w:color="E6E7E8"/>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320" w:type="dxa"/>
            <w:vAlign w:val="bottom"/>
          </w:tcPr>
          <w:p>
            <w:pPr>
              <w:ind w:left="20"/>
              <w:spacing w:after="0"/>
              <w:rPr>
                <w:sz w:val="20"/>
                <w:szCs w:val="20"/>
                <w:color w:val="auto"/>
              </w:rPr>
            </w:pPr>
            <w:r>
              <w:rPr>
                <w:rFonts w:ascii="Arial" w:cs="Arial" w:eastAsia="Arial" w:hAnsi="Arial"/>
                <w:sz w:val="15"/>
                <w:szCs w:val="15"/>
                <w:color w:val="auto"/>
              </w:rPr>
              <w:t>President</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2023</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1,000,000</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5,500,207</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5,500,190</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1,449,830</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342,918</w:t>
            </w:r>
          </w:p>
        </w:tc>
        <w:tc>
          <w:tcPr>
            <w:tcW w:w="1040" w:type="dxa"/>
            <w:vAlign w:val="bottom"/>
          </w:tcPr>
          <w:p>
            <w:pPr>
              <w:jc w:val="right"/>
              <w:spacing w:after="0"/>
              <w:rPr>
                <w:sz w:val="20"/>
                <w:szCs w:val="20"/>
                <w:color w:val="auto"/>
              </w:rPr>
            </w:pPr>
            <w:r>
              <w:rPr>
                <w:rFonts w:ascii="Arial" w:cs="Arial" w:eastAsia="Arial" w:hAnsi="Arial"/>
                <w:sz w:val="15"/>
                <w:szCs w:val="15"/>
                <w:color w:val="auto"/>
              </w:rPr>
              <w:t>13,793,145</w:t>
            </w:r>
          </w:p>
        </w:tc>
        <w:tc>
          <w:tcPr>
            <w:tcW w:w="0" w:type="dxa"/>
            <w:vAlign w:val="bottom"/>
          </w:tcPr>
          <w:p>
            <w:pPr>
              <w:spacing w:after="0"/>
              <w:rPr>
                <w:sz w:val="1"/>
                <w:szCs w:val="1"/>
                <w:color w:val="auto"/>
              </w:rPr>
            </w:pPr>
          </w:p>
        </w:tc>
      </w:tr>
      <w:tr>
        <w:trPr>
          <w:trHeight w:val="33"/>
        </w:trPr>
        <w:tc>
          <w:tcPr>
            <w:tcW w:w="232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1A3FD6"/>
              </w:rPr>
              <w:t>Andrew C. Wiechmann</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2025</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600,000</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1,800,544</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1,200,108</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721,580</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108,351</w:t>
            </w:r>
          </w:p>
        </w:tc>
        <w:tc>
          <w:tcPr>
            <w:tcW w:w="1040" w:type="dxa"/>
            <w:vAlign w:val="bottom"/>
          </w:tcPr>
          <w:p>
            <w:pPr>
              <w:jc w:val="right"/>
              <w:spacing w:after="0"/>
              <w:rPr>
                <w:sz w:val="20"/>
                <w:szCs w:val="20"/>
                <w:color w:val="auto"/>
              </w:rPr>
            </w:pPr>
            <w:r>
              <w:rPr>
                <w:rFonts w:ascii="Arial" w:cs="Arial" w:eastAsia="Arial" w:hAnsi="Arial"/>
                <w:sz w:val="15"/>
                <w:szCs w:val="15"/>
                <w:color w:val="auto"/>
              </w:rPr>
              <w:t>4,430,583</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auto"/>
              </w:rPr>
              <w:t>Chief Financial Officer</w:t>
            </w: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2024</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550,000</w:t>
            </w:r>
          </w:p>
        </w:tc>
        <w:tc>
          <w:tcPr>
            <w:tcW w:w="780" w:type="dxa"/>
            <w:vAlign w:val="bottom"/>
            <w:vMerge w:val="restart"/>
          </w:tcPr>
          <w:p>
            <w:pPr>
              <w:ind w:left="38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84"/>
              <w:spacing w:after="0"/>
              <w:rPr>
                <w:sz w:val="20"/>
                <w:szCs w:val="20"/>
                <w:color w:val="auto"/>
              </w:rPr>
            </w:pPr>
            <w:r>
              <w:rPr>
                <w:rFonts w:ascii="Arial" w:cs="Arial" w:eastAsia="Arial" w:hAnsi="Arial"/>
                <w:sz w:val="15"/>
                <w:szCs w:val="15"/>
                <w:color w:val="auto"/>
              </w:rPr>
              <w:t>1,590,679</w:t>
            </w: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color w:val="auto"/>
              </w:rPr>
              <w:t>1,060,070</w:t>
            </w:r>
          </w:p>
        </w:tc>
        <w:tc>
          <w:tcPr>
            <w:tcW w:w="1440" w:type="dxa"/>
            <w:vAlign w:val="bottom"/>
            <w:vMerge w:val="restart"/>
          </w:tcPr>
          <w:p>
            <w:pPr>
              <w:jc w:val="right"/>
              <w:ind w:right="184"/>
              <w:spacing w:after="0"/>
              <w:rPr>
                <w:sz w:val="20"/>
                <w:szCs w:val="20"/>
                <w:color w:val="auto"/>
              </w:rPr>
            </w:pPr>
            <w:r>
              <w:rPr>
                <w:rFonts w:ascii="Arial" w:cs="Arial" w:eastAsia="Arial" w:hAnsi="Arial"/>
                <w:sz w:val="15"/>
                <w:szCs w:val="15"/>
                <w:color w:val="auto"/>
              </w:rPr>
              <w:t>727,350</w:t>
            </w:r>
          </w:p>
        </w:tc>
        <w:tc>
          <w:tcPr>
            <w:tcW w:w="1420" w:type="dxa"/>
            <w:vAlign w:val="bottom"/>
            <w:vMerge w:val="restart"/>
          </w:tcPr>
          <w:p>
            <w:pPr>
              <w:jc w:val="right"/>
              <w:ind w:right="166"/>
              <w:spacing w:after="0"/>
              <w:rPr>
                <w:sz w:val="20"/>
                <w:szCs w:val="20"/>
                <w:color w:val="auto"/>
              </w:rPr>
            </w:pPr>
            <w:r>
              <w:rPr>
                <w:rFonts w:ascii="Arial" w:cs="Arial" w:eastAsia="Arial" w:hAnsi="Arial"/>
                <w:sz w:val="15"/>
                <w:szCs w:val="15"/>
                <w:color w:val="auto"/>
              </w:rPr>
              <w:t>83,756</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4,011,855</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2023</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550,000</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1,366,050</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735,092</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776,700</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55,616</w:t>
            </w:r>
          </w:p>
        </w:tc>
        <w:tc>
          <w:tcPr>
            <w:tcW w:w="1040" w:type="dxa"/>
            <w:vAlign w:val="bottom"/>
          </w:tcPr>
          <w:p>
            <w:pPr>
              <w:jc w:val="right"/>
              <w:spacing w:after="0"/>
              <w:rPr>
                <w:sz w:val="20"/>
                <w:szCs w:val="20"/>
                <w:color w:val="auto"/>
              </w:rPr>
            </w:pPr>
            <w:r>
              <w:rPr>
                <w:rFonts w:ascii="Arial" w:cs="Arial" w:eastAsia="Arial" w:hAnsi="Arial"/>
                <w:sz w:val="15"/>
                <w:szCs w:val="15"/>
                <w:color w:val="auto"/>
              </w:rPr>
              <w:t>3,483,458</w:t>
            </w:r>
          </w:p>
        </w:tc>
        <w:tc>
          <w:tcPr>
            <w:tcW w:w="0" w:type="dxa"/>
            <w:vAlign w:val="bottom"/>
          </w:tcPr>
          <w:p>
            <w:pPr>
              <w:spacing w:after="0"/>
              <w:rPr>
                <w:sz w:val="1"/>
                <w:szCs w:val="1"/>
                <w:color w:val="auto"/>
              </w:rPr>
            </w:pPr>
          </w:p>
        </w:tc>
      </w:tr>
      <w:tr>
        <w:trPr>
          <w:trHeight w:val="33"/>
        </w:trPr>
        <w:tc>
          <w:tcPr>
            <w:tcW w:w="232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1A3FD6"/>
              </w:rPr>
              <w:t>C.D. Baer Pettit</w:t>
            </w:r>
            <w:r>
              <w:rPr>
                <w:rFonts w:ascii="Arial" w:cs="Arial" w:eastAsia="Arial" w:hAnsi="Arial"/>
                <w:sz w:val="19"/>
                <w:szCs w:val="19"/>
                <w:b w:val="1"/>
                <w:bCs w:val="1"/>
                <w:color w:val="1A3FD6"/>
                <w:vertAlign w:val="superscript"/>
              </w:rPr>
              <w:t>(8)</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2025</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823,996</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2,160,219</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5,040,054</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1,141,598</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688,637</w:t>
            </w:r>
          </w:p>
        </w:tc>
        <w:tc>
          <w:tcPr>
            <w:tcW w:w="1040" w:type="dxa"/>
            <w:vAlign w:val="bottom"/>
          </w:tcPr>
          <w:p>
            <w:pPr>
              <w:jc w:val="right"/>
              <w:spacing w:after="0"/>
              <w:rPr>
                <w:sz w:val="20"/>
                <w:szCs w:val="20"/>
                <w:color w:val="auto"/>
              </w:rPr>
            </w:pPr>
            <w:r>
              <w:rPr>
                <w:rFonts w:ascii="Arial" w:cs="Arial" w:eastAsia="Arial" w:hAnsi="Arial"/>
                <w:sz w:val="15"/>
                <w:szCs w:val="15"/>
                <w:color w:val="auto"/>
              </w:rPr>
              <w:t>9,854,504</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auto"/>
              </w:rPr>
              <w:t>Former President and COO</w:t>
            </w: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2024</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798,743</w:t>
            </w:r>
          </w:p>
        </w:tc>
        <w:tc>
          <w:tcPr>
            <w:tcW w:w="780" w:type="dxa"/>
            <w:vAlign w:val="bottom"/>
            <w:vMerge w:val="restart"/>
          </w:tcPr>
          <w:p>
            <w:pPr>
              <w:ind w:left="38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84"/>
              <w:spacing w:after="0"/>
              <w:rPr>
                <w:sz w:val="20"/>
                <w:szCs w:val="20"/>
                <w:color w:val="auto"/>
              </w:rPr>
            </w:pPr>
            <w:r>
              <w:rPr>
                <w:rFonts w:ascii="Arial" w:cs="Arial" w:eastAsia="Arial" w:hAnsi="Arial"/>
                <w:sz w:val="15"/>
                <w:szCs w:val="15"/>
                <w:color w:val="auto"/>
              </w:rPr>
              <w:t>1,950,088</w:t>
            </w: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color w:val="auto"/>
              </w:rPr>
              <w:t>4,550,206</w:t>
            </w:r>
          </w:p>
        </w:tc>
        <w:tc>
          <w:tcPr>
            <w:tcW w:w="1440" w:type="dxa"/>
            <w:vAlign w:val="bottom"/>
            <w:vMerge w:val="restart"/>
          </w:tcPr>
          <w:p>
            <w:pPr>
              <w:jc w:val="right"/>
              <w:ind w:right="184"/>
              <w:spacing w:after="0"/>
              <w:rPr>
                <w:sz w:val="20"/>
                <w:szCs w:val="20"/>
                <w:color w:val="auto"/>
              </w:rPr>
            </w:pPr>
            <w:r>
              <w:rPr>
                <w:rFonts w:ascii="Arial" w:cs="Arial" w:eastAsia="Arial" w:hAnsi="Arial"/>
                <w:sz w:val="15"/>
                <w:szCs w:val="15"/>
                <w:color w:val="auto"/>
              </w:rPr>
              <w:t>1,109,703</w:t>
            </w:r>
          </w:p>
        </w:tc>
        <w:tc>
          <w:tcPr>
            <w:tcW w:w="1420" w:type="dxa"/>
            <w:vAlign w:val="bottom"/>
            <w:vMerge w:val="restart"/>
          </w:tcPr>
          <w:p>
            <w:pPr>
              <w:jc w:val="right"/>
              <w:ind w:right="166"/>
              <w:spacing w:after="0"/>
              <w:rPr>
                <w:sz w:val="20"/>
                <w:szCs w:val="20"/>
                <w:color w:val="auto"/>
              </w:rPr>
            </w:pPr>
            <w:r>
              <w:rPr>
                <w:rFonts w:ascii="Arial" w:cs="Arial" w:eastAsia="Arial" w:hAnsi="Arial"/>
                <w:sz w:val="15"/>
                <w:szCs w:val="15"/>
                <w:color w:val="auto"/>
              </w:rPr>
              <w:t>586,225</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8,994,965</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2023</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777,076</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3,100,354</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3,100,111</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1,158,826</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295,318</w:t>
            </w:r>
          </w:p>
        </w:tc>
        <w:tc>
          <w:tcPr>
            <w:tcW w:w="1040" w:type="dxa"/>
            <w:vAlign w:val="bottom"/>
          </w:tcPr>
          <w:p>
            <w:pPr>
              <w:jc w:val="right"/>
              <w:spacing w:after="0"/>
              <w:rPr>
                <w:sz w:val="20"/>
                <w:szCs w:val="20"/>
                <w:color w:val="auto"/>
              </w:rPr>
            </w:pPr>
            <w:r>
              <w:rPr>
                <w:rFonts w:ascii="Arial" w:cs="Arial" w:eastAsia="Arial" w:hAnsi="Arial"/>
                <w:sz w:val="15"/>
                <w:szCs w:val="15"/>
                <w:color w:val="auto"/>
              </w:rPr>
              <w:t>8,431,685</w:t>
            </w:r>
          </w:p>
        </w:tc>
        <w:tc>
          <w:tcPr>
            <w:tcW w:w="0" w:type="dxa"/>
            <w:vAlign w:val="bottom"/>
          </w:tcPr>
          <w:p>
            <w:pPr>
              <w:spacing w:after="0"/>
              <w:rPr>
                <w:sz w:val="1"/>
                <w:szCs w:val="1"/>
                <w:color w:val="auto"/>
              </w:rPr>
            </w:pPr>
          </w:p>
        </w:tc>
      </w:tr>
      <w:tr>
        <w:trPr>
          <w:trHeight w:val="33"/>
        </w:trPr>
        <w:tc>
          <w:tcPr>
            <w:tcW w:w="232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5"/>
                <w:szCs w:val="15"/>
                <w:b w:val="1"/>
                <w:bCs w:val="1"/>
                <w:color w:val="1A3FD6"/>
              </w:rPr>
              <w:t>Alvise J. Munari</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2025</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663,568</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1,800,544</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1,200,108</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986,654</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323,994</w:t>
            </w:r>
          </w:p>
        </w:tc>
        <w:tc>
          <w:tcPr>
            <w:tcW w:w="1040" w:type="dxa"/>
            <w:vAlign w:val="bottom"/>
          </w:tcPr>
          <w:p>
            <w:pPr>
              <w:jc w:val="right"/>
              <w:spacing w:after="0"/>
              <w:rPr>
                <w:sz w:val="20"/>
                <w:szCs w:val="20"/>
                <w:color w:val="auto"/>
              </w:rPr>
            </w:pPr>
            <w:r>
              <w:rPr>
                <w:rFonts w:ascii="Arial" w:cs="Arial" w:eastAsia="Arial" w:hAnsi="Arial"/>
                <w:sz w:val="15"/>
                <w:szCs w:val="15"/>
                <w:color w:val="auto"/>
              </w:rPr>
              <w:t>4,974,868</w:t>
            </w:r>
          </w:p>
        </w:tc>
        <w:tc>
          <w:tcPr>
            <w:tcW w:w="0" w:type="dxa"/>
            <w:vAlign w:val="bottom"/>
          </w:tcPr>
          <w:p>
            <w:pPr>
              <w:spacing w:after="0"/>
              <w:rPr>
                <w:sz w:val="1"/>
                <w:szCs w:val="1"/>
                <w:color w:val="auto"/>
              </w:rPr>
            </w:pPr>
          </w:p>
        </w:tc>
      </w:tr>
      <w:tr>
        <w:trPr>
          <w:trHeight w:val="44"/>
        </w:trPr>
        <w:tc>
          <w:tcPr>
            <w:tcW w:w="2320" w:type="dxa"/>
            <w:vAlign w:val="bottom"/>
            <w:vMerge w:val="restart"/>
          </w:tcPr>
          <w:p>
            <w:pPr>
              <w:ind w:left="20"/>
              <w:spacing w:after="0"/>
              <w:rPr>
                <w:sz w:val="20"/>
                <w:szCs w:val="20"/>
                <w:color w:val="auto"/>
              </w:rPr>
            </w:pPr>
            <w:r>
              <w:rPr>
                <w:rFonts w:ascii="Arial" w:cs="Arial" w:eastAsia="Arial" w:hAnsi="Arial"/>
                <w:sz w:val="15"/>
                <w:szCs w:val="15"/>
                <w:color w:val="auto"/>
              </w:rPr>
              <w:t>Chief Product Officer and Head</w:t>
            </w:r>
          </w:p>
        </w:tc>
        <w:tc>
          <w:tcPr>
            <w:tcW w:w="82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c>
          <w:tcPr>
            <w:tcW w:w="78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1260" w:type="dxa"/>
            <w:vAlign w:val="bottom"/>
            <w:tcBorders>
              <w:bottom w:val="single" w:sz="8" w:color="E6E7E8"/>
            </w:tcBorders>
          </w:tcPr>
          <w:p>
            <w:pPr>
              <w:spacing w:after="0"/>
              <w:rPr>
                <w:sz w:val="3"/>
                <w:szCs w:val="3"/>
                <w:color w:val="auto"/>
              </w:rPr>
            </w:pPr>
          </w:p>
        </w:tc>
        <w:tc>
          <w:tcPr>
            <w:tcW w:w="14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104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320" w:type="dxa"/>
            <w:vAlign w:val="bottom"/>
            <w:vMerge w:val="continue"/>
          </w:tcPr>
          <w:p>
            <w:pPr>
              <w:spacing w:after="0"/>
              <w:rPr>
                <w:sz w:val="9"/>
                <w:szCs w:val="9"/>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2024</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ind w:left="38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color w:val="auto"/>
              </w:rPr>
              <w:t>—</w:t>
            </w:r>
          </w:p>
        </w:tc>
        <w:tc>
          <w:tcPr>
            <w:tcW w:w="14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1420" w:type="dxa"/>
            <w:vAlign w:val="bottom"/>
            <w:vMerge w:val="restart"/>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6"/>
        </w:trPr>
        <w:tc>
          <w:tcPr>
            <w:tcW w:w="2320" w:type="dxa"/>
            <w:vAlign w:val="bottom"/>
            <w:vMerge w:val="restart"/>
          </w:tcPr>
          <w:p>
            <w:pPr>
              <w:ind w:left="20"/>
              <w:spacing w:after="0" w:line="133" w:lineRule="exact"/>
              <w:rPr>
                <w:sz w:val="20"/>
                <w:szCs w:val="20"/>
                <w:color w:val="auto"/>
              </w:rPr>
            </w:pPr>
            <w:r>
              <w:rPr>
                <w:rFonts w:ascii="Arial" w:cs="Arial" w:eastAsia="Arial" w:hAnsi="Arial"/>
                <w:sz w:val="15"/>
                <w:szCs w:val="15"/>
                <w:color w:val="auto"/>
              </w:rPr>
              <w:t>of Client Segments</w:t>
            </w:r>
          </w:p>
        </w:tc>
        <w:tc>
          <w:tcPr>
            <w:tcW w:w="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320" w:type="dxa"/>
            <w:vAlign w:val="bottom"/>
            <w:vMerge w:val="continue"/>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2023</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232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320" w:type="dxa"/>
            <w:vAlign w:val="bottom"/>
          </w:tcPr>
          <w:p>
            <w:pPr>
              <w:ind w:left="20"/>
              <w:spacing w:after="0"/>
              <w:rPr>
                <w:sz w:val="20"/>
                <w:szCs w:val="20"/>
                <w:color w:val="auto"/>
              </w:rPr>
            </w:pPr>
            <w:r>
              <w:rPr>
                <w:rFonts w:ascii="Arial" w:cs="Arial" w:eastAsia="Arial" w:hAnsi="Arial"/>
                <w:sz w:val="15"/>
                <w:szCs w:val="15"/>
                <w:b w:val="1"/>
                <w:bCs w:val="1"/>
                <w:color w:val="1A3FD6"/>
              </w:rPr>
              <w:t>Scott A. Crum</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2025</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550,000</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1,440,533</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960,042</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673,480</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176,088</w:t>
            </w:r>
          </w:p>
        </w:tc>
        <w:tc>
          <w:tcPr>
            <w:tcW w:w="1040" w:type="dxa"/>
            <w:vAlign w:val="bottom"/>
          </w:tcPr>
          <w:p>
            <w:pPr>
              <w:jc w:val="right"/>
              <w:spacing w:after="0"/>
              <w:rPr>
                <w:sz w:val="20"/>
                <w:szCs w:val="20"/>
                <w:color w:val="auto"/>
              </w:rPr>
            </w:pPr>
            <w:r>
              <w:rPr>
                <w:rFonts w:ascii="Arial" w:cs="Arial" w:eastAsia="Arial" w:hAnsi="Arial"/>
                <w:sz w:val="15"/>
                <w:szCs w:val="15"/>
                <w:color w:val="auto"/>
              </w:rPr>
              <w:t>3,800,143</w:t>
            </w:r>
          </w:p>
        </w:tc>
        <w:tc>
          <w:tcPr>
            <w:tcW w:w="0" w:type="dxa"/>
            <w:vAlign w:val="bottom"/>
          </w:tcPr>
          <w:p>
            <w:pPr>
              <w:spacing w:after="0"/>
              <w:rPr>
                <w:sz w:val="1"/>
                <w:szCs w:val="1"/>
                <w:color w:val="auto"/>
              </w:rPr>
            </w:pPr>
          </w:p>
        </w:tc>
      </w:tr>
      <w:tr>
        <w:trPr>
          <w:trHeight w:val="31"/>
        </w:trPr>
        <w:tc>
          <w:tcPr>
            <w:tcW w:w="2320" w:type="dxa"/>
            <w:vAlign w:val="bottom"/>
            <w:vMerge w:val="restart"/>
          </w:tcPr>
          <w:p>
            <w:pPr>
              <w:ind w:left="20"/>
              <w:spacing w:after="0"/>
              <w:rPr>
                <w:sz w:val="20"/>
                <w:szCs w:val="20"/>
                <w:color w:val="auto"/>
              </w:rPr>
            </w:pPr>
            <w:r>
              <w:rPr>
                <w:rFonts w:ascii="Arial" w:cs="Arial" w:eastAsia="Arial" w:hAnsi="Arial"/>
                <w:sz w:val="15"/>
                <w:szCs w:val="15"/>
                <w:color w:val="auto"/>
              </w:rPr>
              <w:t>Chief Human Resources Officer</w:t>
            </w: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320" w:type="dxa"/>
            <w:vAlign w:val="bottom"/>
            <w:vMerge w:val="continue"/>
          </w:tcPr>
          <w:p>
            <w:pPr>
              <w:spacing w:after="0"/>
              <w:rPr>
                <w:sz w:val="13"/>
                <w:szCs w:val="13"/>
                <w:color w:val="auto"/>
              </w:rPr>
            </w:pPr>
          </w:p>
        </w:tc>
        <w:tc>
          <w:tcPr>
            <w:tcW w:w="820" w:type="dxa"/>
            <w:vAlign w:val="bottom"/>
            <w:vMerge w:val="restart"/>
          </w:tcPr>
          <w:p>
            <w:pPr>
              <w:jc w:val="right"/>
              <w:ind w:right="104"/>
              <w:spacing w:after="0"/>
              <w:rPr>
                <w:sz w:val="20"/>
                <w:szCs w:val="20"/>
                <w:color w:val="auto"/>
              </w:rPr>
            </w:pPr>
            <w:r>
              <w:rPr>
                <w:rFonts w:ascii="Arial" w:cs="Arial" w:eastAsia="Arial" w:hAnsi="Arial"/>
                <w:sz w:val="15"/>
                <w:szCs w:val="15"/>
                <w:color w:val="auto"/>
              </w:rPr>
              <w:t>2024</w:t>
            </w:r>
          </w:p>
        </w:tc>
        <w:tc>
          <w:tcPr>
            <w:tcW w:w="1040" w:type="dxa"/>
            <w:vAlign w:val="bottom"/>
            <w:vMerge w:val="restart"/>
          </w:tcPr>
          <w:p>
            <w:pPr>
              <w:jc w:val="right"/>
              <w:ind w:right="104"/>
              <w:spacing w:after="0"/>
              <w:rPr>
                <w:sz w:val="20"/>
                <w:szCs w:val="20"/>
                <w:color w:val="auto"/>
              </w:rPr>
            </w:pPr>
            <w:r>
              <w:rPr>
                <w:rFonts w:ascii="Arial" w:cs="Arial" w:eastAsia="Arial" w:hAnsi="Arial"/>
                <w:sz w:val="15"/>
                <w:szCs w:val="15"/>
                <w:color w:val="auto"/>
              </w:rPr>
              <w:t>550,000</w:t>
            </w:r>
          </w:p>
        </w:tc>
        <w:tc>
          <w:tcPr>
            <w:tcW w:w="780" w:type="dxa"/>
            <w:vAlign w:val="bottom"/>
            <w:vMerge w:val="restart"/>
          </w:tcPr>
          <w:p>
            <w:pPr>
              <w:ind w:left="38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84"/>
              <w:spacing w:after="0"/>
              <w:rPr>
                <w:sz w:val="20"/>
                <w:szCs w:val="20"/>
                <w:color w:val="auto"/>
              </w:rPr>
            </w:pPr>
            <w:r>
              <w:rPr>
                <w:rFonts w:ascii="Arial" w:cs="Arial" w:eastAsia="Arial" w:hAnsi="Arial"/>
                <w:sz w:val="15"/>
                <w:szCs w:val="15"/>
                <w:color w:val="auto"/>
              </w:rPr>
              <w:t>1,200,520</w:t>
            </w:r>
          </w:p>
        </w:tc>
        <w:tc>
          <w:tcPr>
            <w:tcW w:w="1260" w:type="dxa"/>
            <w:vAlign w:val="bottom"/>
            <w:vMerge w:val="restart"/>
          </w:tcPr>
          <w:p>
            <w:pPr>
              <w:jc w:val="right"/>
              <w:ind w:right="204"/>
              <w:spacing w:after="0"/>
              <w:rPr>
                <w:sz w:val="20"/>
                <w:szCs w:val="20"/>
                <w:color w:val="auto"/>
              </w:rPr>
            </w:pPr>
            <w:r>
              <w:rPr>
                <w:rFonts w:ascii="Arial" w:cs="Arial" w:eastAsia="Arial" w:hAnsi="Arial"/>
                <w:sz w:val="15"/>
                <w:szCs w:val="15"/>
                <w:color w:val="auto"/>
              </w:rPr>
              <w:t>800,166</w:t>
            </w:r>
          </w:p>
        </w:tc>
        <w:tc>
          <w:tcPr>
            <w:tcW w:w="1440" w:type="dxa"/>
            <w:vAlign w:val="bottom"/>
            <w:vMerge w:val="restart"/>
          </w:tcPr>
          <w:p>
            <w:pPr>
              <w:jc w:val="right"/>
              <w:ind w:right="184"/>
              <w:spacing w:after="0"/>
              <w:rPr>
                <w:sz w:val="20"/>
                <w:szCs w:val="20"/>
                <w:color w:val="auto"/>
              </w:rPr>
            </w:pPr>
            <w:r>
              <w:rPr>
                <w:rFonts w:ascii="Arial" w:cs="Arial" w:eastAsia="Arial" w:hAnsi="Arial"/>
                <w:sz w:val="15"/>
                <w:szCs w:val="15"/>
                <w:color w:val="auto"/>
              </w:rPr>
              <w:t>678,860</w:t>
            </w:r>
          </w:p>
        </w:tc>
        <w:tc>
          <w:tcPr>
            <w:tcW w:w="1420" w:type="dxa"/>
            <w:vAlign w:val="bottom"/>
            <w:vMerge w:val="restart"/>
          </w:tcPr>
          <w:p>
            <w:pPr>
              <w:jc w:val="right"/>
              <w:ind w:right="166"/>
              <w:spacing w:after="0"/>
              <w:rPr>
                <w:sz w:val="20"/>
                <w:szCs w:val="20"/>
                <w:color w:val="auto"/>
              </w:rPr>
            </w:pPr>
            <w:r>
              <w:rPr>
                <w:rFonts w:ascii="Arial" w:cs="Arial" w:eastAsia="Arial" w:hAnsi="Arial"/>
                <w:sz w:val="15"/>
                <w:szCs w:val="15"/>
                <w:color w:val="auto"/>
              </w:rPr>
              <w:t>168,588</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3,398,134</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1260" w:type="dxa"/>
            <w:vAlign w:val="bottom"/>
            <w:tcBorders>
              <w:bottom w:val="single" w:sz="8" w:color="E6E7E8"/>
            </w:tcBorders>
          </w:tcPr>
          <w:p>
            <w:pPr>
              <w:spacing w:after="0"/>
              <w:rPr>
                <w:sz w:val="2"/>
                <w:szCs w:val="2"/>
                <w:color w:val="auto"/>
              </w:rPr>
            </w:pPr>
          </w:p>
        </w:tc>
        <w:tc>
          <w:tcPr>
            <w:tcW w:w="144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4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2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2023</w:t>
            </w:r>
          </w:p>
        </w:tc>
        <w:tc>
          <w:tcPr>
            <w:tcW w:w="1040" w:type="dxa"/>
            <w:vAlign w:val="bottom"/>
          </w:tcPr>
          <w:p>
            <w:pPr>
              <w:jc w:val="right"/>
              <w:ind w:right="104"/>
              <w:spacing w:after="0"/>
              <w:rPr>
                <w:sz w:val="20"/>
                <w:szCs w:val="20"/>
                <w:color w:val="auto"/>
              </w:rPr>
            </w:pPr>
            <w:r>
              <w:rPr>
                <w:rFonts w:ascii="Arial" w:cs="Arial" w:eastAsia="Arial" w:hAnsi="Arial"/>
                <w:sz w:val="15"/>
                <w:szCs w:val="15"/>
                <w:color w:val="auto"/>
              </w:rPr>
              <w:t>550,000</w:t>
            </w:r>
          </w:p>
        </w:tc>
        <w:tc>
          <w:tcPr>
            <w:tcW w:w="780" w:type="dxa"/>
            <w:vAlign w:val="bottom"/>
          </w:tcPr>
          <w:p>
            <w:pPr>
              <w:ind w:left="38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84"/>
              <w:spacing w:after="0"/>
              <w:rPr>
                <w:sz w:val="20"/>
                <w:szCs w:val="20"/>
                <w:color w:val="auto"/>
              </w:rPr>
            </w:pPr>
            <w:r>
              <w:rPr>
                <w:rFonts w:ascii="Arial" w:cs="Arial" w:eastAsia="Arial" w:hAnsi="Arial"/>
                <w:sz w:val="15"/>
                <w:szCs w:val="15"/>
                <w:color w:val="auto"/>
              </w:rPr>
              <w:t>1,202,643</w:t>
            </w:r>
          </w:p>
        </w:tc>
        <w:tc>
          <w:tcPr>
            <w:tcW w:w="1260" w:type="dxa"/>
            <w:vAlign w:val="bottom"/>
          </w:tcPr>
          <w:p>
            <w:pPr>
              <w:jc w:val="right"/>
              <w:ind w:right="204"/>
              <w:spacing w:after="0"/>
              <w:rPr>
                <w:sz w:val="20"/>
                <w:szCs w:val="20"/>
                <w:color w:val="auto"/>
              </w:rPr>
            </w:pPr>
            <w:r>
              <w:rPr>
                <w:rFonts w:ascii="Arial" w:cs="Arial" w:eastAsia="Arial" w:hAnsi="Arial"/>
                <w:sz w:val="15"/>
                <w:szCs w:val="15"/>
                <w:color w:val="auto"/>
              </w:rPr>
              <w:t>647,637</w:t>
            </w:r>
          </w:p>
        </w:tc>
        <w:tc>
          <w:tcPr>
            <w:tcW w:w="1440" w:type="dxa"/>
            <w:vAlign w:val="bottom"/>
          </w:tcPr>
          <w:p>
            <w:pPr>
              <w:jc w:val="right"/>
              <w:ind w:right="184"/>
              <w:spacing w:after="0"/>
              <w:rPr>
                <w:sz w:val="20"/>
                <w:szCs w:val="20"/>
                <w:color w:val="auto"/>
              </w:rPr>
            </w:pPr>
            <w:r>
              <w:rPr>
                <w:rFonts w:ascii="Arial" w:cs="Arial" w:eastAsia="Arial" w:hAnsi="Arial"/>
                <w:sz w:val="15"/>
                <w:szCs w:val="15"/>
                <w:color w:val="auto"/>
              </w:rPr>
              <w:t>724,920</w:t>
            </w:r>
          </w:p>
        </w:tc>
        <w:tc>
          <w:tcPr>
            <w:tcW w:w="1420" w:type="dxa"/>
            <w:vAlign w:val="bottom"/>
          </w:tcPr>
          <w:p>
            <w:pPr>
              <w:jc w:val="right"/>
              <w:ind w:right="166"/>
              <w:spacing w:after="0"/>
              <w:rPr>
                <w:sz w:val="20"/>
                <w:szCs w:val="20"/>
                <w:color w:val="auto"/>
              </w:rPr>
            </w:pPr>
            <w:r>
              <w:rPr>
                <w:rFonts w:ascii="Arial" w:cs="Arial" w:eastAsia="Arial" w:hAnsi="Arial"/>
                <w:sz w:val="15"/>
                <w:szCs w:val="15"/>
                <w:color w:val="auto"/>
              </w:rPr>
              <w:t>83,436</w:t>
            </w:r>
          </w:p>
        </w:tc>
        <w:tc>
          <w:tcPr>
            <w:tcW w:w="1040" w:type="dxa"/>
            <w:vAlign w:val="bottom"/>
          </w:tcPr>
          <w:p>
            <w:pPr>
              <w:jc w:val="right"/>
              <w:spacing w:after="0"/>
              <w:rPr>
                <w:sz w:val="20"/>
                <w:szCs w:val="20"/>
                <w:color w:val="auto"/>
              </w:rPr>
            </w:pPr>
            <w:r>
              <w:rPr>
                <w:rFonts w:ascii="Arial" w:cs="Arial" w:eastAsia="Arial" w:hAnsi="Arial"/>
                <w:sz w:val="15"/>
                <w:szCs w:val="15"/>
                <w:color w:val="auto"/>
              </w:rPr>
              <w:t>3,208,636</w:t>
            </w:r>
          </w:p>
        </w:tc>
        <w:tc>
          <w:tcPr>
            <w:tcW w:w="0" w:type="dxa"/>
            <w:vAlign w:val="bottom"/>
          </w:tcPr>
          <w:p>
            <w:pPr>
              <w:spacing w:after="0"/>
              <w:rPr>
                <w:sz w:val="1"/>
                <w:szCs w:val="1"/>
                <w:color w:val="auto"/>
              </w:rPr>
            </w:pPr>
          </w:p>
        </w:tc>
      </w:tr>
      <w:tr>
        <w:trPr>
          <w:trHeight w:val="33"/>
        </w:trPr>
        <w:tc>
          <w:tcPr>
            <w:tcW w:w="2320" w:type="dxa"/>
            <w:vAlign w:val="bottom"/>
            <w:tcBorders>
              <w:bottom w:val="single" w:sz="8" w:color="1A3FD6"/>
            </w:tcBorders>
          </w:tcPr>
          <w:p>
            <w:pPr>
              <w:spacing w:after="0"/>
              <w:rPr>
                <w:sz w:val="2"/>
                <w:szCs w:val="2"/>
                <w:color w:val="auto"/>
              </w:rPr>
            </w:pPr>
          </w:p>
        </w:tc>
        <w:tc>
          <w:tcPr>
            <w:tcW w:w="820" w:type="dxa"/>
            <w:vAlign w:val="bottom"/>
            <w:tcBorders>
              <w:bottom w:val="single" w:sz="8" w:color="1A3FD6"/>
            </w:tcBorders>
          </w:tcPr>
          <w:p>
            <w:pPr>
              <w:spacing w:after="0"/>
              <w:rPr>
                <w:sz w:val="2"/>
                <w:szCs w:val="2"/>
                <w:color w:val="auto"/>
              </w:rPr>
            </w:pPr>
          </w:p>
        </w:tc>
        <w:tc>
          <w:tcPr>
            <w:tcW w:w="104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1260" w:type="dxa"/>
            <w:vAlign w:val="bottom"/>
            <w:tcBorders>
              <w:bottom w:val="single" w:sz="8" w:color="1A3FD6"/>
            </w:tcBorders>
          </w:tcPr>
          <w:p>
            <w:pPr>
              <w:spacing w:after="0"/>
              <w:rPr>
                <w:sz w:val="2"/>
                <w:szCs w:val="2"/>
                <w:color w:val="auto"/>
              </w:rPr>
            </w:pPr>
          </w:p>
        </w:tc>
        <w:tc>
          <w:tcPr>
            <w:tcW w:w="1440" w:type="dxa"/>
            <w:vAlign w:val="bottom"/>
            <w:tcBorders>
              <w:bottom w:val="single" w:sz="8" w:color="1A3FD6"/>
            </w:tcBorders>
          </w:tcPr>
          <w:p>
            <w:pPr>
              <w:spacing w:after="0"/>
              <w:rPr>
                <w:sz w:val="2"/>
                <w:szCs w:val="2"/>
                <w:color w:val="auto"/>
              </w:rPr>
            </w:pPr>
          </w:p>
        </w:tc>
        <w:tc>
          <w:tcPr>
            <w:tcW w:w="1420" w:type="dxa"/>
            <w:vAlign w:val="bottom"/>
            <w:tcBorders>
              <w:bottom w:val="single" w:sz="8" w:color="1A3FD6"/>
            </w:tcBorders>
          </w:tcPr>
          <w:p>
            <w:pPr>
              <w:spacing w:after="0"/>
              <w:rPr>
                <w:sz w:val="2"/>
                <w:szCs w:val="2"/>
                <w:color w:val="auto"/>
              </w:rPr>
            </w:pPr>
          </w:p>
        </w:tc>
        <w:tc>
          <w:tcPr>
            <w:tcW w:w="104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Mr. Pettit’s 2025 base salary rate was £625,000. Mr. Munari’s base salary rate was CHF 550,000.</w:t>
      </w:r>
    </w:p>
    <w:p>
      <w:pPr>
        <w:spacing w:after="0" w:line="66" w:lineRule="exact"/>
        <w:rPr>
          <w:rFonts w:ascii="Arial" w:cs="Arial" w:eastAsia="Arial" w:hAnsi="Arial"/>
          <w:sz w:val="19"/>
          <w:szCs w:val="19"/>
          <w:color w:val="auto"/>
          <w:vertAlign w:val="superscript"/>
        </w:rPr>
      </w:pPr>
    </w:p>
    <w:p>
      <w:pPr>
        <w:ind w:left="260" w:right="240" w:hanging="252"/>
        <w:spacing w:after="0" w:line="264" w:lineRule="auto"/>
        <w:tabs>
          <w:tab w:leader="none" w:pos="25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Represents the grant date fair value of stock and option awards granted during each fiscal year, as computed in accordance with FASB ASC Topic 718-10, excluding the effect of estimated forfeitures, and does not reflect whether the NEO will actually receive a financial benefit from the award. The awards reported in this column were granted in February 2023, February 2024 and January 2025 as part of the annual compensation process. The following table represents the grant date fair value of stock and option awards granted during January 2025:</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Grant Date Fair Value of Stock Units Granted During 2025 ($)</w:t>
      </w:r>
    </w:p>
    <w:p>
      <w:pPr>
        <w:spacing w:after="0" w:line="168"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29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380" w:type="dxa"/>
            <w:vAlign w:val="bottom"/>
          </w:tcPr>
          <w:p>
            <w:pPr>
              <w:jc w:val="right"/>
              <w:ind w:right="230"/>
              <w:spacing w:after="0"/>
              <w:rPr>
                <w:sz w:val="20"/>
                <w:szCs w:val="20"/>
                <w:color w:val="auto"/>
              </w:rPr>
            </w:pPr>
            <w:r>
              <w:rPr>
                <w:rFonts w:ascii="Arial" w:cs="Arial" w:eastAsia="Arial" w:hAnsi="Arial"/>
                <w:sz w:val="13"/>
                <w:szCs w:val="13"/>
                <w:b w:val="1"/>
                <w:bCs w:val="1"/>
                <w:color w:val="auto"/>
              </w:rPr>
              <w:t>PSUs</w:t>
            </w:r>
          </w:p>
        </w:tc>
        <w:tc>
          <w:tcPr>
            <w:tcW w:w="1400" w:type="dxa"/>
            <w:vAlign w:val="bottom"/>
          </w:tcPr>
          <w:p>
            <w:pPr>
              <w:jc w:val="right"/>
              <w:ind w:right="250"/>
              <w:spacing w:after="0"/>
              <w:rPr>
                <w:sz w:val="20"/>
                <w:szCs w:val="20"/>
                <w:color w:val="auto"/>
              </w:rPr>
            </w:pPr>
            <w:r>
              <w:rPr>
                <w:rFonts w:ascii="Arial" w:cs="Arial" w:eastAsia="Arial" w:hAnsi="Arial"/>
                <w:sz w:val="13"/>
                <w:szCs w:val="13"/>
                <w:b w:val="1"/>
                <w:bCs w:val="1"/>
                <w:color w:val="auto"/>
              </w:rPr>
              <w:t>PSOs</w:t>
            </w:r>
          </w:p>
        </w:tc>
        <w:tc>
          <w:tcPr>
            <w:tcW w:w="1500" w:type="dxa"/>
            <w:vAlign w:val="bottom"/>
          </w:tcPr>
          <w:p>
            <w:pPr>
              <w:jc w:val="right"/>
              <w:ind w:right="347"/>
              <w:spacing w:after="0"/>
              <w:rPr>
                <w:sz w:val="20"/>
                <w:szCs w:val="20"/>
                <w:color w:val="auto"/>
              </w:rPr>
            </w:pPr>
            <w:r>
              <w:rPr>
                <w:rFonts w:ascii="Arial" w:cs="Arial" w:eastAsia="Arial" w:hAnsi="Arial"/>
                <w:sz w:val="13"/>
                <w:szCs w:val="13"/>
                <w:b w:val="1"/>
                <w:bCs w:val="1"/>
                <w:color w:val="auto"/>
              </w:rPr>
              <w:t>PPOs</w:t>
            </w:r>
          </w:p>
        </w:tc>
        <w:tc>
          <w:tcPr>
            <w:tcW w:w="1280" w:type="dxa"/>
            <w:vAlign w:val="bottom"/>
          </w:tcPr>
          <w:p>
            <w:pPr>
              <w:jc w:val="right"/>
              <w:ind w:right="250"/>
              <w:spacing w:after="0"/>
              <w:rPr>
                <w:sz w:val="20"/>
                <w:szCs w:val="20"/>
                <w:color w:val="auto"/>
              </w:rPr>
            </w:pPr>
            <w:r>
              <w:rPr>
                <w:rFonts w:ascii="Arial" w:cs="Arial" w:eastAsia="Arial" w:hAnsi="Arial"/>
                <w:sz w:val="13"/>
                <w:szCs w:val="13"/>
                <w:b w:val="1"/>
                <w:bCs w:val="1"/>
                <w:color w:val="auto"/>
              </w:rPr>
              <w:t>RSUs</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
        </w:trPr>
        <w:tc>
          <w:tcPr>
            <w:tcW w:w="2980" w:type="dxa"/>
            <w:vAlign w:val="bottom"/>
            <w:tcBorders>
              <w:bottom w:val="single" w:sz="8" w:color="1A3FD6"/>
            </w:tcBorders>
          </w:tcPr>
          <w:p>
            <w:pPr>
              <w:spacing w:after="0" w:line="20" w:lineRule="exact"/>
              <w:rPr>
                <w:sz w:val="1"/>
                <w:szCs w:val="1"/>
                <w:color w:val="auto"/>
              </w:rPr>
            </w:pPr>
          </w:p>
        </w:tc>
        <w:tc>
          <w:tcPr>
            <w:tcW w:w="2380" w:type="dxa"/>
            <w:vAlign w:val="bottom"/>
            <w:tcBorders>
              <w:bottom w:val="single" w:sz="8" w:color="1A3FD6"/>
            </w:tcBorders>
          </w:tcPr>
          <w:p>
            <w:pPr>
              <w:spacing w:after="0" w:line="20" w:lineRule="exact"/>
              <w:rPr>
                <w:sz w:val="1"/>
                <w:szCs w:val="1"/>
                <w:color w:val="auto"/>
              </w:rPr>
            </w:pPr>
          </w:p>
        </w:tc>
        <w:tc>
          <w:tcPr>
            <w:tcW w:w="1400" w:type="dxa"/>
            <w:vAlign w:val="bottom"/>
            <w:tcBorders>
              <w:bottom w:val="single" w:sz="8" w:color="1A3FD6"/>
            </w:tcBorders>
          </w:tcPr>
          <w:p>
            <w:pPr>
              <w:spacing w:after="0" w:line="20" w:lineRule="exact"/>
              <w:rPr>
                <w:sz w:val="1"/>
                <w:szCs w:val="1"/>
                <w:color w:val="auto"/>
              </w:rPr>
            </w:pPr>
          </w:p>
        </w:tc>
        <w:tc>
          <w:tcPr>
            <w:tcW w:w="1500" w:type="dxa"/>
            <w:vAlign w:val="bottom"/>
            <w:tcBorders>
              <w:bottom w:val="single" w:sz="8" w:color="1A3FD6"/>
            </w:tcBorders>
          </w:tcPr>
          <w:p>
            <w:pPr>
              <w:spacing w:after="0" w:line="20" w:lineRule="exact"/>
              <w:rPr>
                <w:sz w:val="1"/>
                <w:szCs w:val="1"/>
                <w:color w:val="auto"/>
              </w:rPr>
            </w:pPr>
          </w:p>
        </w:tc>
        <w:tc>
          <w:tcPr>
            <w:tcW w:w="1280" w:type="dxa"/>
            <w:vAlign w:val="bottom"/>
            <w:tcBorders>
              <w:bottom w:val="single" w:sz="8" w:color="1A3FD6"/>
            </w:tcBorders>
          </w:tcPr>
          <w:p>
            <w:pPr>
              <w:spacing w:after="0" w:line="20" w:lineRule="exact"/>
              <w:rPr>
                <w:sz w:val="1"/>
                <w:szCs w:val="1"/>
                <w:color w:val="auto"/>
              </w:rPr>
            </w:pPr>
          </w:p>
        </w:tc>
        <w:tc>
          <w:tcPr>
            <w:tcW w:w="1080" w:type="dxa"/>
            <w:vAlign w:val="bottom"/>
            <w:tcBorders>
              <w:bottom w:val="single" w:sz="8" w:color="1A3FD6"/>
            </w:tcBorders>
          </w:tcPr>
          <w:p>
            <w:pPr>
              <w:spacing w:after="0" w:line="20" w:lineRule="exact"/>
              <w:rPr>
                <w:sz w:val="1"/>
                <w:szCs w:val="1"/>
                <w:color w:val="auto"/>
              </w:rPr>
            </w:pPr>
          </w:p>
        </w:tc>
      </w:tr>
      <w:tr>
        <w:trPr>
          <w:trHeight w:val="208"/>
        </w:trPr>
        <w:tc>
          <w:tcPr>
            <w:tcW w:w="298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2380" w:type="dxa"/>
            <w:vAlign w:val="bottom"/>
          </w:tcPr>
          <w:p>
            <w:pPr>
              <w:jc w:val="right"/>
              <w:ind w:right="290"/>
              <w:spacing w:after="0"/>
              <w:rPr>
                <w:sz w:val="20"/>
                <w:szCs w:val="20"/>
                <w:color w:val="auto"/>
              </w:rPr>
            </w:pPr>
            <w:r>
              <w:rPr>
                <w:rFonts w:ascii="Arial" w:cs="Arial" w:eastAsia="Arial" w:hAnsi="Arial"/>
                <w:sz w:val="14"/>
                <w:szCs w:val="14"/>
                <w:color w:val="auto"/>
              </w:rPr>
              <w:t>4,380,024</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10,220,222</w:t>
            </w:r>
          </w:p>
        </w:tc>
        <w:tc>
          <w:tcPr>
            <w:tcW w:w="1500" w:type="dxa"/>
            <w:vAlign w:val="bottom"/>
          </w:tcPr>
          <w:p>
            <w:pPr>
              <w:jc w:val="right"/>
              <w:ind w:right="407"/>
              <w:spacing w:after="0"/>
              <w:rPr>
                <w:sz w:val="20"/>
                <w:szCs w:val="20"/>
                <w:color w:val="auto"/>
              </w:rPr>
            </w:pPr>
            <w:r>
              <w:rPr>
                <w:rFonts w:ascii="Arial" w:cs="Arial" w:eastAsia="Arial" w:hAnsi="Arial"/>
                <w:sz w:val="14"/>
                <w:szCs w:val="14"/>
                <w:color w:val="auto"/>
              </w:rPr>
              <w:t>15,000,082</w:t>
            </w:r>
          </w:p>
        </w:tc>
        <w:tc>
          <w:tcPr>
            <w:tcW w:w="12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29,600,328</w:t>
            </w:r>
          </w:p>
        </w:tc>
      </w:tr>
      <w:tr>
        <w:trPr>
          <w:trHeight w:val="29"/>
        </w:trPr>
        <w:tc>
          <w:tcPr>
            <w:tcW w:w="2980" w:type="dxa"/>
            <w:vAlign w:val="bottom"/>
            <w:tcBorders>
              <w:bottom w:val="single" w:sz="8" w:color="E6E7E8"/>
            </w:tcBorders>
          </w:tcPr>
          <w:p>
            <w:pPr>
              <w:spacing w:after="0"/>
              <w:rPr>
                <w:sz w:val="2"/>
                <w:szCs w:val="2"/>
                <w:color w:val="auto"/>
              </w:rPr>
            </w:pPr>
          </w:p>
        </w:tc>
        <w:tc>
          <w:tcPr>
            <w:tcW w:w="238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1500" w:type="dxa"/>
            <w:vAlign w:val="bottom"/>
            <w:tcBorders>
              <w:bottom w:val="single" w:sz="8" w:color="E6E7E8"/>
            </w:tcBorders>
          </w:tcPr>
          <w:p>
            <w:pPr>
              <w:spacing w:after="0"/>
              <w:rPr>
                <w:sz w:val="2"/>
                <w:szCs w:val="2"/>
                <w:color w:val="auto"/>
              </w:rPr>
            </w:pPr>
          </w:p>
        </w:tc>
        <w:tc>
          <w:tcPr>
            <w:tcW w:w="1280" w:type="dxa"/>
            <w:vAlign w:val="bottom"/>
            <w:tcBorders>
              <w:bottom w:val="single" w:sz="8" w:color="E6E7E8"/>
            </w:tcBorders>
          </w:tcPr>
          <w:p>
            <w:pPr>
              <w:spacing w:after="0"/>
              <w:rPr>
                <w:sz w:val="2"/>
                <w:szCs w:val="2"/>
                <w:color w:val="auto"/>
              </w:rPr>
            </w:pPr>
          </w:p>
        </w:tc>
        <w:tc>
          <w:tcPr>
            <w:tcW w:w="1080" w:type="dxa"/>
            <w:vAlign w:val="bottom"/>
            <w:tcBorders>
              <w:bottom w:val="single" w:sz="8" w:color="E6E7E8"/>
            </w:tcBorders>
          </w:tcPr>
          <w:p>
            <w:pPr>
              <w:spacing w:after="0"/>
              <w:rPr>
                <w:sz w:val="2"/>
                <w:szCs w:val="2"/>
                <w:color w:val="auto"/>
              </w:rPr>
            </w:pPr>
          </w:p>
        </w:tc>
      </w:tr>
      <w:tr>
        <w:trPr>
          <w:trHeight w:val="221"/>
        </w:trPr>
        <w:tc>
          <w:tcPr>
            <w:tcW w:w="2980" w:type="dxa"/>
            <w:vAlign w:val="bottom"/>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2380" w:type="dxa"/>
            <w:vAlign w:val="bottom"/>
          </w:tcPr>
          <w:p>
            <w:pPr>
              <w:jc w:val="right"/>
              <w:ind w:right="290"/>
              <w:spacing w:after="0"/>
              <w:rPr>
                <w:sz w:val="20"/>
                <w:szCs w:val="20"/>
                <w:color w:val="auto"/>
              </w:rPr>
            </w:pPr>
            <w:r>
              <w:rPr>
                <w:rFonts w:ascii="Arial" w:cs="Arial" w:eastAsia="Arial" w:hAnsi="Arial"/>
                <w:sz w:val="14"/>
                <w:szCs w:val="14"/>
                <w:color w:val="auto"/>
              </w:rPr>
              <w:t>900,272</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1,200,108</w:t>
            </w:r>
          </w:p>
        </w:tc>
        <w:tc>
          <w:tcPr>
            <w:tcW w:w="150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auto"/>
              </w:rPr>
              <w:t>900,272</w:t>
            </w:r>
          </w:p>
        </w:tc>
        <w:tc>
          <w:tcPr>
            <w:tcW w:w="1080" w:type="dxa"/>
            <w:vAlign w:val="bottom"/>
          </w:tcPr>
          <w:p>
            <w:pPr>
              <w:jc w:val="right"/>
              <w:spacing w:after="0"/>
              <w:rPr>
                <w:sz w:val="20"/>
                <w:szCs w:val="20"/>
                <w:color w:val="auto"/>
              </w:rPr>
            </w:pPr>
            <w:r>
              <w:rPr>
                <w:rFonts w:ascii="Arial" w:cs="Arial" w:eastAsia="Arial" w:hAnsi="Arial"/>
                <w:sz w:val="14"/>
                <w:szCs w:val="14"/>
                <w:color w:val="auto"/>
              </w:rPr>
              <w:t>3,000,652</w:t>
            </w:r>
          </w:p>
        </w:tc>
      </w:tr>
      <w:tr>
        <w:trPr>
          <w:trHeight w:val="29"/>
        </w:trPr>
        <w:tc>
          <w:tcPr>
            <w:tcW w:w="2980" w:type="dxa"/>
            <w:vAlign w:val="bottom"/>
            <w:tcBorders>
              <w:bottom w:val="single" w:sz="8" w:color="E6E7E8"/>
            </w:tcBorders>
          </w:tcPr>
          <w:p>
            <w:pPr>
              <w:spacing w:after="0"/>
              <w:rPr>
                <w:sz w:val="2"/>
                <w:szCs w:val="2"/>
                <w:color w:val="auto"/>
              </w:rPr>
            </w:pPr>
          </w:p>
        </w:tc>
        <w:tc>
          <w:tcPr>
            <w:tcW w:w="238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1500" w:type="dxa"/>
            <w:vAlign w:val="bottom"/>
            <w:tcBorders>
              <w:bottom w:val="single" w:sz="8" w:color="E6E7E8"/>
            </w:tcBorders>
          </w:tcPr>
          <w:p>
            <w:pPr>
              <w:spacing w:after="0"/>
              <w:rPr>
                <w:sz w:val="2"/>
                <w:szCs w:val="2"/>
                <w:color w:val="auto"/>
              </w:rPr>
            </w:pPr>
          </w:p>
        </w:tc>
        <w:tc>
          <w:tcPr>
            <w:tcW w:w="1280" w:type="dxa"/>
            <w:vAlign w:val="bottom"/>
            <w:tcBorders>
              <w:bottom w:val="single" w:sz="8" w:color="E6E7E8"/>
            </w:tcBorders>
          </w:tcPr>
          <w:p>
            <w:pPr>
              <w:spacing w:after="0"/>
              <w:rPr>
                <w:sz w:val="2"/>
                <w:szCs w:val="2"/>
                <w:color w:val="auto"/>
              </w:rPr>
            </w:pPr>
          </w:p>
        </w:tc>
        <w:tc>
          <w:tcPr>
            <w:tcW w:w="1080" w:type="dxa"/>
            <w:vAlign w:val="bottom"/>
            <w:tcBorders>
              <w:bottom w:val="single" w:sz="8" w:color="E6E7E8"/>
            </w:tcBorders>
          </w:tcPr>
          <w:p>
            <w:pPr>
              <w:spacing w:after="0"/>
              <w:rPr>
                <w:sz w:val="2"/>
                <w:szCs w:val="2"/>
                <w:color w:val="auto"/>
              </w:rPr>
            </w:pPr>
          </w:p>
        </w:tc>
      </w:tr>
      <w:tr>
        <w:trPr>
          <w:trHeight w:val="221"/>
        </w:trPr>
        <w:tc>
          <w:tcPr>
            <w:tcW w:w="298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p>
        </w:tc>
        <w:tc>
          <w:tcPr>
            <w:tcW w:w="2380" w:type="dxa"/>
            <w:vAlign w:val="bottom"/>
          </w:tcPr>
          <w:p>
            <w:pPr>
              <w:jc w:val="right"/>
              <w:ind w:right="290"/>
              <w:spacing w:after="0"/>
              <w:rPr>
                <w:sz w:val="20"/>
                <w:szCs w:val="20"/>
                <w:color w:val="auto"/>
              </w:rPr>
            </w:pPr>
            <w:r>
              <w:rPr>
                <w:rFonts w:ascii="Arial" w:cs="Arial" w:eastAsia="Arial" w:hAnsi="Arial"/>
                <w:sz w:val="14"/>
                <w:szCs w:val="14"/>
                <w:color w:val="auto"/>
              </w:rPr>
              <w:t>2,160,219</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5,040,054</w:t>
            </w:r>
          </w:p>
        </w:tc>
        <w:tc>
          <w:tcPr>
            <w:tcW w:w="150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7,200,273</w:t>
            </w:r>
          </w:p>
        </w:tc>
      </w:tr>
      <w:tr>
        <w:trPr>
          <w:trHeight w:val="29"/>
        </w:trPr>
        <w:tc>
          <w:tcPr>
            <w:tcW w:w="2980" w:type="dxa"/>
            <w:vAlign w:val="bottom"/>
            <w:tcBorders>
              <w:bottom w:val="single" w:sz="8" w:color="E6E7E8"/>
            </w:tcBorders>
          </w:tcPr>
          <w:p>
            <w:pPr>
              <w:spacing w:after="0"/>
              <w:rPr>
                <w:sz w:val="2"/>
                <w:szCs w:val="2"/>
                <w:color w:val="auto"/>
              </w:rPr>
            </w:pPr>
          </w:p>
        </w:tc>
        <w:tc>
          <w:tcPr>
            <w:tcW w:w="238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1500" w:type="dxa"/>
            <w:vAlign w:val="bottom"/>
            <w:tcBorders>
              <w:bottom w:val="single" w:sz="8" w:color="E6E7E8"/>
            </w:tcBorders>
          </w:tcPr>
          <w:p>
            <w:pPr>
              <w:spacing w:after="0"/>
              <w:rPr>
                <w:sz w:val="2"/>
                <w:szCs w:val="2"/>
                <w:color w:val="auto"/>
              </w:rPr>
            </w:pPr>
          </w:p>
        </w:tc>
        <w:tc>
          <w:tcPr>
            <w:tcW w:w="1280" w:type="dxa"/>
            <w:vAlign w:val="bottom"/>
            <w:tcBorders>
              <w:bottom w:val="single" w:sz="8" w:color="E6E7E8"/>
            </w:tcBorders>
          </w:tcPr>
          <w:p>
            <w:pPr>
              <w:spacing w:after="0"/>
              <w:rPr>
                <w:sz w:val="2"/>
                <w:szCs w:val="2"/>
                <w:color w:val="auto"/>
              </w:rPr>
            </w:pPr>
          </w:p>
        </w:tc>
        <w:tc>
          <w:tcPr>
            <w:tcW w:w="1080" w:type="dxa"/>
            <w:vAlign w:val="bottom"/>
            <w:tcBorders>
              <w:bottom w:val="single" w:sz="8" w:color="E6E7E8"/>
            </w:tcBorders>
          </w:tcPr>
          <w:p>
            <w:pPr>
              <w:spacing w:after="0"/>
              <w:rPr>
                <w:sz w:val="2"/>
                <w:szCs w:val="2"/>
                <w:color w:val="auto"/>
              </w:rPr>
            </w:pPr>
          </w:p>
        </w:tc>
      </w:tr>
      <w:tr>
        <w:trPr>
          <w:trHeight w:val="221"/>
        </w:trPr>
        <w:tc>
          <w:tcPr>
            <w:tcW w:w="2980" w:type="dxa"/>
            <w:vAlign w:val="bottom"/>
          </w:tcPr>
          <w:p>
            <w:pPr>
              <w:ind w:left="20"/>
              <w:spacing w:after="0"/>
              <w:rPr>
                <w:sz w:val="20"/>
                <w:szCs w:val="20"/>
                <w:color w:val="auto"/>
              </w:rPr>
            </w:pPr>
            <w:r>
              <w:rPr>
                <w:rFonts w:ascii="Arial" w:cs="Arial" w:eastAsia="Arial" w:hAnsi="Arial"/>
                <w:sz w:val="14"/>
                <w:szCs w:val="14"/>
                <w:b w:val="1"/>
                <w:bCs w:val="1"/>
                <w:color w:val="1A3FD6"/>
              </w:rPr>
              <w:t>Alvise J. Munari</w:t>
            </w:r>
          </w:p>
        </w:tc>
        <w:tc>
          <w:tcPr>
            <w:tcW w:w="2380" w:type="dxa"/>
            <w:vAlign w:val="bottom"/>
          </w:tcPr>
          <w:p>
            <w:pPr>
              <w:jc w:val="right"/>
              <w:ind w:right="290"/>
              <w:spacing w:after="0"/>
              <w:rPr>
                <w:sz w:val="20"/>
                <w:szCs w:val="20"/>
                <w:color w:val="auto"/>
              </w:rPr>
            </w:pPr>
            <w:r>
              <w:rPr>
                <w:rFonts w:ascii="Arial" w:cs="Arial" w:eastAsia="Arial" w:hAnsi="Arial"/>
                <w:sz w:val="14"/>
                <w:szCs w:val="14"/>
                <w:color w:val="auto"/>
              </w:rPr>
              <w:t>900,272</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1,200,108</w:t>
            </w:r>
          </w:p>
        </w:tc>
        <w:tc>
          <w:tcPr>
            <w:tcW w:w="150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auto"/>
              </w:rPr>
              <w:t>900,272</w:t>
            </w:r>
          </w:p>
        </w:tc>
        <w:tc>
          <w:tcPr>
            <w:tcW w:w="1080" w:type="dxa"/>
            <w:vAlign w:val="bottom"/>
          </w:tcPr>
          <w:p>
            <w:pPr>
              <w:jc w:val="right"/>
              <w:spacing w:after="0"/>
              <w:rPr>
                <w:sz w:val="20"/>
                <w:szCs w:val="20"/>
                <w:color w:val="auto"/>
              </w:rPr>
            </w:pPr>
            <w:r>
              <w:rPr>
                <w:rFonts w:ascii="Arial" w:cs="Arial" w:eastAsia="Arial" w:hAnsi="Arial"/>
                <w:sz w:val="14"/>
                <w:szCs w:val="14"/>
                <w:color w:val="auto"/>
              </w:rPr>
              <w:t>3,000,652</w:t>
            </w:r>
          </w:p>
        </w:tc>
      </w:tr>
      <w:tr>
        <w:trPr>
          <w:trHeight w:val="29"/>
        </w:trPr>
        <w:tc>
          <w:tcPr>
            <w:tcW w:w="2980" w:type="dxa"/>
            <w:vAlign w:val="bottom"/>
            <w:tcBorders>
              <w:bottom w:val="single" w:sz="8" w:color="E6E7E8"/>
            </w:tcBorders>
          </w:tcPr>
          <w:p>
            <w:pPr>
              <w:spacing w:after="0"/>
              <w:rPr>
                <w:sz w:val="2"/>
                <w:szCs w:val="2"/>
                <w:color w:val="auto"/>
              </w:rPr>
            </w:pPr>
          </w:p>
        </w:tc>
        <w:tc>
          <w:tcPr>
            <w:tcW w:w="238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1500" w:type="dxa"/>
            <w:vAlign w:val="bottom"/>
            <w:tcBorders>
              <w:bottom w:val="single" w:sz="8" w:color="E6E7E8"/>
            </w:tcBorders>
          </w:tcPr>
          <w:p>
            <w:pPr>
              <w:spacing w:after="0"/>
              <w:rPr>
                <w:sz w:val="2"/>
                <w:szCs w:val="2"/>
                <w:color w:val="auto"/>
              </w:rPr>
            </w:pPr>
          </w:p>
        </w:tc>
        <w:tc>
          <w:tcPr>
            <w:tcW w:w="1280" w:type="dxa"/>
            <w:vAlign w:val="bottom"/>
            <w:tcBorders>
              <w:bottom w:val="single" w:sz="8" w:color="E6E7E8"/>
            </w:tcBorders>
          </w:tcPr>
          <w:p>
            <w:pPr>
              <w:spacing w:after="0"/>
              <w:rPr>
                <w:sz w:val="2"/>
                <w:szCs w:val="2"/>
                <w:color w:val="auto"/>
              </w:rPr>
            </w:pPr>
          </w:p>
        </w:tc>
        <w:tc>
          <w:tcPr>
            <w:tcW w:w="1080" w:type="dxa"/>
            <w:vAlign w:val="bottom"/>
            <w:tcBorders>
              <w:bottom w:val="single" w:sz="8" w:color="E6E7E8"/>
            </w:tcBorders>
          </w:tcPr>
          <w:p>
            <w:pPr>
              <w:spacing w:after="0"/>
              <w:rPr>
                <w:sz w:val="2"/>
                <w:szCs w:val="2"/>
                <w:color w:val="auto"/>
              </w:rPr>
            </w:pPr>
          </w:p>
        </w:tc>
      </w:tr>
      <w:tr>
        <w:trPr>
          <w:trHeight w:val="221"/>
        </w:trPr>
        <w:tc>
          <w:tcPr>
            <w:tcW w:w="2980" w:type="dxa"/>
            <w:vAlign w:val="bottom"/>
          </w:tcPr>
          <w:p>
            <w:pPr>
              <w:ind w:left="20"/>
              <w:spacing w:after="0"/>
              <w:rPr>
                <w:sz w:val="20"/>
                <w:szCs w:val="20"/>
                <w:color w:val="auto"/>
              </w:rPr>
            </w:pPr>
            <w:r>
              <w:rPr>
                <w:rFonts w:ascii="Arial" w:cs="Arial" w:eastAsia="Arial" w:hAnsi="Arial"/>
                <w:sz w:val="14"/>
                <w:szCs w:val="14"/>
                <w:b w:val="1"/>
                <w:bCs w:val="1"/>
                <w:color w:val="1A3FD6"/>
              </w:rPr>
              <w:t>Scott A. Crum</w:t>
            </w:r>
          </w:p>
        </w:tc>
        <w:tc>
          <w:tcPr>
            <w:tcW w:w="2380" w:type="dxa"/>
            <w:vAlign w:val="bottom"/>
          </w:tcPr>
          <w:p>
            <w:pPr>
              <w:jc w:val="right"/>
              <w:ind w:right="290"/>
              <w:spacing w:after="0"/>
              <w:rPr>
                <w:sz w:val="20"/>
                <w:szCs w:val="20"/>
                <w:color w:val="auto"/>
              </w:rPr>
            </w:pPr>
            <w:r>
              <w:rPr>
                <w:rFonts w:ascii="Arial" w:cs="Arial" w:eastAsia="Arial" w:hAnsi="Arial"/>
                <w:sz w:val="14"/>
                <w:szCs w:val="14"/>
                <w:color w:val="auto"/>
              </w:rPr>
              <w:t>720,434</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960,042</w:t>
            </w:r>
          </w:p>
        </w:tc>
        <w:tc>
          <w:tcPr>
            <w:tcW w:w="150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250"/>
              <w:spacing w:after="0"/>
              <w:rPr>
                <w:sz w:val="20"/>
                <w:szCs w:val="20"/>
                <w:color w:val="auto"/>
              </w:rPr>
            </w:pPr>
            <w:r>
              <w:rPr>
                <w:rFonts w:ascii="Arial" w:cs="Arial" w:eastAsia="Arial" w:hAnsi="Arial"/>
                <w:sz w:val="14"/>
                <w:szCs w:val="14"/>
                <w:color w:val="auto"/>
              </w:rPr>
              <w:t>720,099</w:t>
            </w:r>
          </w:p>
        </w:tc>
        <w:tc>
          <w:tcPr>
            <w:tcW w:w="1080" w:type="dxa"/>
            <w:vAlign w:val="bottom"/>
          </w:tcPr>
          <w:p>
            <w:pPr>
              <w:jc w:val="right"/>
              <w:spacing w:after="0"/>
              <w:rPr>
                <w:sz w:val="20"/>
                <w:szCs w:val="20"/>
                <w:color w:val="auto"/>
              </w:rPr>
            </w:pPr>
            <w:r>
              <w:rPr>
                <w:rFonts w:ascii="Arial" w:cs="Arial" w:eastAsia="Arial" w:hAnsi="Arial"/>
                <w:sz w:val="14"/>
                <w:szCs w:val="14"/>
                <w:color w:val="auto"/>
              </w:rPr>
              <w:t>2,400,575</w:t>
            </w:r>
          </w:p>
        </w:tc>
      </w:tr>
      <w:tr>
        <w:trPr>
          <w:trHeight w:val="29"/>
        </w:trPr>
        <w:tc>
          <w:tcPr>
            <w:tcW w:w="2980" w:type="dxa"/>
            <w:vAlign w:val="bottom"/>
            <w:tcBorders>
              <w:bottom w:val="single" w:sz="8" w:color="1A3FD6"/>
            </w:tcBorders>
          </w:tcPr>
          <w:p>
            <w:pPr>
              <w:spacing w:after="0"/>
              <w:rPr>
                <w:sz w:val="2"/>
                <w:szCs w:val="2"/>
                <w:color w:val="auto"/>
              </w:rPr>
            </w:pPr>
          </w:p>
        </w:tc>
        <w:tc>
          <w:tcPr>
            <w:tcW w:w="2380" w:type="dxa"/>
            <w:vAlign w:val="bottom"/>
            <w:tcBorders>
              <w:bottom w:val="single" w:sz="8" w:color="1A3FD6"/>
            </w:tcBorders>
          </w:tcPr>
          <w:p>
            <w:pPr>
              <w:spacing w:after="0"/>
              <w:rPr>
                <w:sz w:val="2"/>
                <w:szCs w:val="2"/>
                <w:color w:val="auto"/>
              </w:rPr>
            </w:pPr>
          </w:p>
        </w:tc>
        <w:tc>
          <w:tcPr>
            <w:tcW w:w="1400" w:type="dxa"/>
            <w:vAlign w:val="bottom"/>
            <w:tcBorders>
              <w:bottom w:val="single" w:sz="8" w:color="1A3FD6"/>
            </w:tcBorders>
          </w:tcPr>
          <w:p>
            <w:pPr>
              <w:spacing w:after="0"/>
              <w:rPr>
                <w:sz w:val="2"/>
                <w:szCs w:val="2"/>
                <w:color w:val="auto"/>
              </w:rPr>
            </w:pPr>
          </w:p>
        </w:tc>
        <w:tc>
          <w:tcPr>
            <w:tcW w:w="1500" w:type="dxa"/>
            <w:vAlign w:val="bottom"/>
            <w:tcBorders>
              <w:bottom w:val="single" w:sz="8" w:color="1A3FD6"/>
            </w:tcBorders>
          </w:tcPr>
          <w:p>
            <w:pPr>
              <w:spacing w:after="0"/>
              <w:rPr>
                <w:sz w:val="2"/>
                <w:szCs w:val="2"/>
                <w:color w:val="auto"/>
              </w:rPr>
            </w:pPr>
          </w:p>
        </w:tc>
        <w:tc>
          <w:tcPr>
            <w:tcW w:w="128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r>
    </w:tbl>
    <w:p>
      <w:pPr>
        <w:spacing w:after="0" w:line="180" w:lineRule="exact"/>
        <w:rPr>
          <w:sz w:val="20"/>
          <w:szCs w:val="20"/>
          <w:color w:val="auto"/>
        </w:rPr>
      </w:pPr>
    </w:p>
    <w:p>
      <w:pPr>
        <w:jc w:val="both"/>
        <w:ind w:left="260" w:right="160"/>
        <w:spacing w:after="0" w:line="303" w:lineRule="auto"/>
        <w:rPr>
          <w:sz w:val="20"/>
          <w:szCs w:val="20"/>
          <w:color w:val="auto"/>
        </w:rPr>
      </w:pPr>
      <w:r>
        <w:rPr>
          <w:rFonts w:ascii="Arial" w:cs="Arial" w:eastAsia="Arial" w:hAnsi="Arial"/>
          <w:sz w:val="14"/>
          <w:szCs w:val="14"/>
          <w:color w:val="auto"/>
        </w:rPr>
        <w:t>The grant date fair value of the PSUs granted to the NEOs during 2025 was calculated based on the probable outcome of the performance conditions as of the grant date, consistent with the estimate of aggregate compensation cost to be recognized over the service period determined as of the grant date under FASB ASC Subtopic 718-10, excluding the effect of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269875</wp:posOffset>
            </wp:positionV>
            <wp:extent cx="556895" cy="1454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80"/>
        <w:spacing w:after="0" w:line="287" w:lineRule="auto"/>
        <w:rPr>
          <w:sz w:val="20"/>
          <w:szCs w:val="20"/>
          <w:color w:val="auto"/>
        </w:rPr>
      </w:pPr>
      <w:r>
        <w:rPr>
          <w:rFonts w:ascii="Arial" w:cs="Arial" w:eastAsia="Arial" w:hAnsi="Arial"/>
          <w:sz w:val="14"/>
          <w:szCs w:val="14"/>
          <w:color w:val="auto"/>
        </w:rPr>
        <w:t>forfeitures. The grant date value of the PSUs granted to the NEOs in 2025 and reported in the table above, assuming the highest level of performance conditions will be achieved (200% of target levels), is $8,760,048 for Mr. Fernandez, $1,800,544 for Mr. Wiechmann, $4,320,439 for Mr. Pettit, $1,800,544 for Mr. Munari and $1,440,868 for Mr. Crum. The grant date value of the PSUs is calculated using a Monte-Carlo simulation valuation model that takes into account all possible outcomes of the performance-based condition, including consideration of maximum payout value. The amounts reflected in this column and in this footnote do not represent the actual amounts that will be paid to or realized by our NEOs for awards made during the respective fiscal year.</w:t>
      </w:r>
    </w:p>
    <w:p>
      <w:pPr>
        <w:spacing w:after="0" w:line="50" w:lineRule="exact"/>
        <w:rPr>
          <w:sz w:val="20"/>
          <w:szCs w:val="20"/>
          <w:color w:val="auto"/>
        </w:rPr>
      </w:pPr>
    </w:p>
    <w:p>
      <w:pPr>
        <w:ind w:left="260"/>
        <w:spacing w:after="0" w:line="295" w:lineRule="auto"/>
        <w:rPr>
          <w:sz w:val="20"/>
          <w:szCs w:val="20"/>
          <w:color w:val="auto"/>
        </w:rPr>
      </w:pPr>
      <w:r>
        <w:rPr>
          <w:rFonts w:ascii="Arial" w:cs="Arial" w:eastAsia="Arial" w:hAnsi="Arial"/>
          <w:sz w:val="14"/>
          <w:szCs w:val="14"/>
          <w:color w:val="auto"/>
        </w:rPr>
        <w:t>The grant date fair value of the PSOs granted to the NEOs during 2025 was calculated using the Black-Scholes option pricing model, in accordance with FASB ASC Subtopic 718-10. The grant date value of the PSOs granted to the NEOs in 2025 and reported in the table above, assuming the highest level of performance conditions will be achieved (200% of target levels), is $20,440,445 for Mr. Fernandez, $2,400,217 for Mr. Wiechmann, $10,080,109 for Mr. Pettit, $2,400,217 for Mr. Munari and $1,920,084 for Mr. Crum.</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grant date fair value of the PPOs granted to Mr. Fernandez during 2025 was calculated using Hull-White lattice model, in accordance with FASB ASC Subtopic 718-10.</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grant date value of the PPOs granted to Mr. Fernandez in 2025 and reported in the table above is $15,000,082.</w:t>
      </w:r>
    </w:p>
    <w:p>
      <w:pPr>
        <w:spacing w:after="0" w:line="94" w:lineRule="exact"/>
        <w:rPr>
          <w:sz w:val="20"/>
          <w:szCs w:val="20"/>
          <w:color w:val="auto"/>
        </w:rPr>
      </w:pPr>
    </w:p>
    <w:p>
      <w:pPr>
        <w:ind w:left="260" w:right="240"/>
        <w:spacing w:after="0" w:line="325" w:lineRule="auto"/>
        <w:rPr>
          <w:sz w:val="20"/>
          <w:szCs w:val="20"/>
          <w:color w:val="auto"/>
        </w:rPr>
      </w:pPr>
      <w:r>
        <w:rPr>
          <w:rFonts w:ascii="Arial" w:cs="Arial" w:eastAsia="Arial" w:hAnsi="Arial"/>
          <w:sz w:val="14"/>
          <w:szCs w:val="14"/>
          <w:color w:val="auto"/>
        </w:rPr>
        <w:t>Information regarding the assumptions used to value these awards is set forth in note 11 to the consolidated financial statements included in the Company’s 2025 Annual Report on Form 10-K.</w:t>
      </w:r>
    </w:p>
    <w:p>
      <w:pPr>
        <w:spacing w:after="0" w:line="9" w:lineRule="exact"/>
        <w:rPr>
          <w:sz w:val="20"/>
          <w:szCs w:val="20"/>
          <w:color w:val="auto"/>
        </w:rPr>
      </w:pPr>
    </w:p>
    <w:p>
      <w:pPr>
        <w:ind w:left="260" w:right="40" w:hanging="252"/>
        <w:spacing w:after="0" w:line="303" w:lineRule="auto"/>
        <w:tabs>
          <w:tab w:leader="none" w:pos="250" w:val="left"/>
        </w:tabs>
        <w:numPr>
          <w:ilvl w:val="0"/>
          <w:numId w:val="100"/>
        </w:numPr>
        <w:rPr>
          <w:rFonts w:ascii="Arial" w:cs="Arial" w:eastAsia="Arial" w:hAnsi="Arial"/>
          <w:sz w:val="9"/>
          <w:szCs w:val="9"/>
          <w:color w:val="auto"/>
        </w:rPr>
      </w:pPr>
      <w:r>
        <w:rPr>
          <w:rFonts w:ascii="Arial" w:cs="Arial" w:eastAsia="Arial" w:hAnsi="Arial"/>
          <w:sz w:val="14"/>
          <w:szCs w:val="14"/>
          <w:color w:val="auto"/>
        </w:rPr>
        <w:t>Represents the annual cash bonus paid for 2025, 2024 and 2023 performance, as applicable, (i) under the 2025 AIP in February 2026 with respect to the 2025 performance year, (ii) under the 2024 AIP in February 2025 with respect to the 2024 performance year and (iii) under the 2023 AIP in February 2024 with respect to the 2023 performance year.</w:t>
      </w:r>
    </w:p>
    <w:p>
      <w:pPr>
        <w:spacing w:after="0" w:line="24" w:lineRule="exact"/>
        <w:rPr>
          <w:rFonts w:ascii="Arial" w:cs="Arial" w:eastAsia="Arial" w:hAnsi="Arial"/>
          <w:sz w:val="9"/>
          <w:szCs w:val="9"/>
          <w:color w:val="auto"/>
        </w:rPr>
      </w:pPr>
    </w:p>
    <w:p>
      <w:pPr>
        <w:ind w:left="260" w:hanging="252"/>
        <w:spacing w:after="0"/>
        <w:tabs>
          <w:tab w:leader="none" w:pos="260" w:val="left"/>
        </w:tabs>
        <w:numPr>
          <w:ilvl w:val="0"/>
          <w:numId w:val="100"/>
        </w:numPr>
        <w:rPr>
          <w:rFonts w:ascii="Arial" w:cs="Arial" w:eastAsia="Arial" w:hAnsi="Arial"/>
          <w:sz w:val="9"/>
          <w:szCs w:val="9"/>
          <w:color w:val="auto"/>
        </w:rPr>
      </w:pPr>
      <w:r>
        <w:rPr>
          <w:rFonts w:ascii="Arial" w:cs="Arial" w:eastAsia="Arial" w:hAnsi="Arial"/>
          <w:sz w:val="14"/>
          <w:szCs w:val="14"/>
          <w:color w:val="auto"/>
        </w:rPr>
        <w:t>The Company does not offer defined benefit pension plans or a nonqualified deferred compensation plan to NEOs.</w:t>
      </w:r>
    </w:p>
    <w:p>
      <w:pPr>
        <w:spacing w:after="0" w:line="109" w:lineRule="exact"/>
        <w:rPr>
          <w:rFonts w:ascii="Arial" w:cs="Arial" w:eastAsia="Arial" w:hAnsi="Arial"/>
          <w:sz w:val="9"/>
          <w:szCs w:val="9"/>
          <w:color w:val="auto"/>
        </w:rPr>
      </w:pPr>
    </w:p>
    <w:p>
      <w:pPr>
        <w:ind w:left="260" w:right="440" w:hanging="252"/>
        <w:spacing w:after="0" w:line="249" w:lineRule="auto"/>
        <w:tabs>
          <w:tab w:leader="none" w:pos="250"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amounts reflected in the “All Other Compensation” column for 2025 include Company matching contributions to the MSCI Inc. 401(k) Retirement Savings Plan of $27,300 for each of Mr. Fernandez, Mr. Crum and Mr. Wiechmann. Company contributions to the MSCI Barra Group (UK) Personal Pension Plan for Mr. Pettit in 2025 totaled £62,500 ($82,399). Company contributions to the Swiss Compulsory Pension Plan for Mr. Munari in 2025 totaled CHF 114,235 ($137,822).</w:t>
      </w:r>
    </w:p>
    <w:p>
      <w:pPr>
        <w:spacing w:after="0" w:line="60" w:lineRule="exact"/>
        <w:rPr>
          <w:rFonts w:ascii="Arial" w:cs="Arial" w:eastAsia="Arial" w:hAnsi="Arial"/>
          <w:sz w:val="19"/>
          <w:szCs w:val="19"/>
          <w:color w:val="auto"/>
          <w:vertAlign w:val="superscript"/>
        </w:rPr>
      </w:pPr>
    </w:p>
    <w:p>
      <w:pPr>
        <w:ind w:left="260" w:right="340" w:hanging="252"/>
        <w:spacing w:after="0" w:line="303" w:lineRule="auto"/>
        <w:tabs>
          <w:tab w:leader="none" w:pos="250" w:val="left"/>
        </w:tabs>
        <w:numPr>
          <w:ilvl w:val="0"/>
          <w:numId w:val="100"/>
        </w:numPr>
        <w:rPr>
          <w:rFonts w:ascii="Arial" w:cs="Arial" w:eastAsia="Arial" w:hAnsi="Arial"/>
          <w:sz w:val="9"/>
          <w:szCs w:val="9"/>
          <w:color w:val="auto"/>
        </w:rPr>
      </w:pPr>
      <w:r>
        <w:rPr>
          <w:rFonts w:ascii="Arial" w:cs="Arial" w:eastAsia="Arial" w:hAnsi="Arial"/>
          <w:sz w:val="14"/>
          <w:szCs w:val="14"/>
          <w:color w:val="auto"/>
        </w:rPr>
        <w:t>The amount included in the “All Other Compensation” column includes Company matching contributions to the 2025 UK medical coverage for Mr. Pettit in 2025 equal to £6,063 ($7,993). The amount included in the “All Other Compensation” column includes Company matching contributions to the 2025 Switzerland illness insurance allowance for Mr. Munari in 2025 equal to CHF 9,153 ($11,042).</w:t>
      </w:r>
    </w:p>
    <w:p>
      <w:pPr>
        <w:spacing w:after="0" w:line="24" w:lineRule="exact"/>
        <w:rPr>
          <w:rFonts w:ascii="Arial" w:cs="Arial" w:eastAsia="Arial" w:hAnsi="Arial"/>
          <w:sz w:val="9"/>
          <w:szCs w:val="9"/>
          <w:color w:val="auto"/>
        </w:rPr>
      </w:pPr>
    </w:p>
    <w:p>
      <w:pPr>
        <w:ind w:left="260" w:right="420" w:hanging="252"/>
        <w:spacing w:after="0" w:line="325" w:lineRule="auto"/>
        <w:tabs>
          <w:tab w:leader="none" w:pos="250" w:val="left"/>
        </w:tabs>
        <w:numPr>
          <w:ilvl w:val="0"/>
          <w:numId w:val="100"/>
        </w:numPr>
        <w:rPr>
          <w:rFonts w:ascii="Arial" w:cs="Arial" w:eastAsia="Arial" w:hAnsi="Arial"/>
          <w:sz w:val="9"/>
          <w:szCs w:val="9"/>
          <w:color w:val="auto"/>
        </w:rPr>
      </w:pPr>
      <w:r>
        <w:rPr>
          <w:rFonts w:ascii="Arial" w:cs="Arial" w:eastAsia="Arial" w:hAnsi="Arial"/>
          <w:sz w:val="14"/>
          <w:szCs w:val="14"/>
          <w:color w:val="auto"/>
        </w:rPr>
        <w:t>In connection with the Company’s payment of its quarterly cash dividend, the “All Other Compensation” column includes for 2025 the payment to Messrs. Wiechmann, Munari and Crum of dividend equivalents for outstanding RSUs and, for all NEOs outstanding 2020 5-Year PSUs, as follows: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1A3FD6"/>
        </w:rPr>
        <w:t>2025 Dividend Equivalents ($)</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2020 5-Year</w:t>
            </w: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88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PSUs</w:t>
            </w: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jc w:val="right"/>
              <w:ind w:right="231"/>
              <w:spacing w:after="0"/>
              <w:rPr>
                <w:sz w:val="20"/>
                <w:szCs w:val="20"/>
                <w:color w:val="auto"/>
              </w:rPr>
            </w:pPr>
            <w:r>
              <w:rPr>
                <w:rFonts w:ascii="Arial" w:cs="Arial" w:eastAsia="Arial" w:hAnsi="Arial"/>
                <w:sz w:val="13"/>
                <w:szCs w:val="13"/>
                <w:b w:val="1"/>
                <w:bCs w:val="1"/>
                <w:color w:val="auto"/>
                <w:w w:val="95"/>
              </w:rPr>
              <w:t>Outstanding RSUs</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
        </w:trPr>
        <w:tc>
          <w:tcPr>
            <w:tcW w:w="3880" w:type="dxa"/>
            <w:vAlign w:val="bottom"/>
          </w:tcPr>
          <w:p>
            <w:pPr>
              <w:spacing w:after="0" w:line="20" w:lineRule="exact"/>
              <w:rPr>
                <w:sz w:val="1"/>
                <w:szCs w:val="1"/>
                <w:color w:val="auto"/>
              </w:rPr>
            </w:pPr>
          </w:p>
        </w:tc>
        <w:tc>
          <w:tcPr>
            <w:tcW w:w="1140" w:type="dxa"/>
            <w:vAlign w:val="bottom"/>
            <w:tcBorders>
              <w:bottom w:val="single" w:sz="8" w:color="1A3FD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1A3FD6"/>
            </w:tcBorders>
          </w:tcPr>
          <w:p>
            <w:pPr>
              <w:spacing w:after="0" w:line="20" w:lineRule="exact"/>
              <w:rPr>
                <w:sz w:val="1"/>
                <w:szCs w:val="1"/>
                <w:color w:val="auto"/>
              </w:rPr>
            </w:pPr>
          </w:p>
        </w:tc>
        <w:tc>
          <w:tcPr>
            <w:tcW w:w="800" w:type="dxa"/>
            <w:vAlign w:val="bottom"/>
            <w:tcBorders>
              <w:bottom w:val="single" w:sz="8" w:color="1A3FD6"/>
            </w:tcBorders>
          </w:tcPr>
          <w:p>
            <w:pPr>
              <w:spacing w:after="0" w:line="20" w:lineRule="exact"/>
              <w:rPr>
                <w:sz w:val="1"/>
                <w:szCs w:val="1"/>
                <w:color w:val="auto"/>
              </w:rPr>
            </w:pPr>
          </w:p>
        </w:tc>
        <w:tc>
          <w:tcPr>
            <w:tcW w:w="1420" w:type="dxa"/>
            <w:vAlign w:val="bottom"/>
            <w:tcBorders>
              <w:bottom w:val="single" w:sz="8" w:color="1A3FD6"/>
            </w:tcBorders>
          </w:tcPr>
          <w:p>
            <w:pPr>
              <w:spacing w:after="0" w:line="20" w:lineRule="exact"/>
              <w:rPr>
                <w:sz w:val="1"/>
                <w:szCs w:val="1"/>
                <w:color w:val="auto"/>
              </w:rPr>
            </w:pPr>
          </w:p>
        </w:tc>
        <w:tc>
          <w:tcPr>
            <w:tcW w:w="1000" w:type="dxa"/>
            <w:vAlign w:val="bottom"/>
            <w:tcBorders>
              <w:bottom w:val="single" w:sz="8" w:color="1A3FD6"/>
            </w:tcBorders>
          </w:tcPr>
          <w:p>
            <w:pPr>
              <w:spacing w:after="0" w:line="20" w:lineRule="exact"/>
              <w:rPr>
                <w:sz w:val="1"/>
                <w:szCs w:val="1"/>
                <w:color w:val="auto"/>
              </w:rPr>
            </w:pPr>
          </w:p>
        </w:tc>
        <w:tc>
          <w:tcPr>
            <w:tcW w:w="900" w:type="dxa"/>
            <w:vAlign w:val="bottom"/>
            <w:tcBorders>
              <w:bottom w:val="single" w:sz="8" w:color="1A3FD6"/>
            </w:tcBorders>
          </w:tcPr>
          <w:p>
            <w:pPr>
              <w:spacing w:after="0" w:line="20" w:lineRule="exact"/>
              <w:rPr>
                <w:sz w:val="1"/>
                <w:szCs w:val="1"/>
                <w:color w:val="auto"/>
              </w:rPr>
            </w:pPr>
          </w:p>
        </w:tc>
      </w:tr>
      <w:tr>
        <w:trPr>
          <w:trHeight w:val="188"/>
        </w:trPr>
        <w:tc>
          <w:tcPr>
            <w:tcW w:w="38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360" w:type="dxa"/>
            <w:vAlign w:val="bottom"/>
            <w:gridSpan w:val="2"/>
          </w:tcPr>
          <w:p>
            <w:pPr>
              <w:ind w:left="640"/>
              <w:spacing w:after="0"/>
              <w:rPr>
                <w:sz w:val="20"/>
                <w:szCs w:val="20"/>
                <w:color w:val="auto"/>
              </w:rPr>
            </w:pPr>
            <w:r>
              <w:rPr>
                <w:rFonts w:ascii="Arial" w:cs="Arial" w:eastAsia="Arial" w:hAnsi="Arial"/>
                <w:sz w:val="13"/>
                <w:szCs w:val="13"/>
                <w:b w:val="1"/>
                <w:bCs w:val="1"/>
                <w:color w:val="auto"/>
              </w:rPr>
              <w:t>1Q 2025</w:t>
            </w:r>
          </w:p>
        </w:tc>
        <w:tc>
          <w:tcPr>
            <w:tcW w:w="1400" w:type="dxa"/>
            <w:vAlign w:val="bottom"/>
          </w:tcPr>
          <w:p>
            <w:pPr>
              <w:jc w:val="right"/>
              <w:ind w:right="250"/>
              <w:spacing w:after="0"/>
              <w:rPr>
                <w:sz w:val="20"/>
                <w:szCs w:val="20"/>
                <w:color w:val="auto"/>
              </w:rPr>
            </w:pPr>
            <w:r>
              <w:rPr>
                <w:rFonts w:ascii="Arial" w:cs="Arial" w:eastAsia="Arial" w:hAnsi="Arial"/>
                <w:sz w:val="13"/>
                <w:szCs w:val="13"/>
                <w:b w:val="1"/>
                <w:bCs w:val="1"/>
                <w:color w:val="auto"/>
              </w:rPr>
              <w:t>1Q 2025</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2Q 2025</w:t>
            </w:r>
          </w:p>
        </w:tc>
        <w:tc>
          <w:tcPr>
            <w:tcW w:w="1420" w:type="dxa"/>
            <w:vAlign w:val="bottom"/>
          </w:tcPr>
          <w:p>
            <w:pPr>
              <w:jc w:val="right"/>
              <w:ind w:right="251"/>
              <w:spacing w:after="0"/>
              <w:rPr>
                <w:sz w:val="20"/>
                <w:szCs w:val="20"/>
                <w:color w:val="auto"/>
              </w:rPr>
            </w:pPr>
            <w:r>
              <w:rPr>
                <w:rFonts w:ascii="Arial" w:cs="Arial" w:eastAsia="Arial" w:hAnsi="Arial"/>
                <w:sz w:val="13"/>
                <w:szCs w:val="13"/>
                <w:b w:val="1"/>
                <w:bCs w:val="1"/>
                <w:color w:val="auto"/>
              </w:rPr>
              <w:t>3Q 2025</w:t>
            </w:r>
          </w:p>
        </w:tc>
        <w:tc>
          <w:tcPr>
            <w:tcW w:w="1000" w:type="dxa"/>
            <w:vAlign w:val="bottom"/>
          </w:tcPr>
          <w:p>
            <w:pPr>
              <w:jc w:val="right"/>
              <w:ind w:right="130"/>
              <w:spacing w:after="0"/>
              <w:rPr>
                <w:sz w:val="20"/>
                <w:szCs w:val="20"/>
                <w:color w:val="auto"/>
              </w:rPr>
            </w:pPr>
            <w:r>
              <w:rPr>
                <w:rFonts w:ascii="Arial" w:cs="Arial" w:eastAsia="Arial" w:hAnsi="Arial"/>
                <w:sz w:val="13"/>
                <w:szCs w:val="13"/>
                <w:b w:val="1"/>
                <w:bCs w:val="1"/>
                <w:color w:val="auto"/>
              </w:rPr>
              <w:t>4Q 2025</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
        </w:trPr>
        <w:tc>
          <w:tcPr>
            <w:tcW w:w="3880" w:type="dxa"/>
            <w:vAlign w:val="bottom"/>
            <w:tcBorders>
              <w:bottom w:val="single" w:sz="8" w:color="1A3FD6"/>
            </w:tcBorders>
          </w:tcPr>
          <w:p>
            <w:pPr>
              <w:spacing w:after="0" w:line="20" w:lineRule="exact"/>
              <w:rPr>
                <w:sz w:val="1"/>
                <w:szCs w:val="1"/>
                <w:color w:val="auto"/>
              </w:rPr>
            </w:pPr>
          </w:p>
        </w:tc>
        <w:tc>
          <w:tcPr>
            <w:tcW w:w="114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1400" w:type="dxa"/>
            <w:vAlign w:val="bottom"/>
            <w:tcBorders>
              <w:bottom w:val="single" w:sz="8" w:color="1A3FD6"/>
            </w:tcBorders>
          </w:tcPr>
          <w:p>
            <w:pPr>
              <w:spacing w:after="0" w:line="20" w:lineRule="exact"/>
              <w:rPr>
                <w:sz w:val="1"/>
                <w:szCs w:val="1"/>
                <w:color w:val="auto"/>
              </w:rPr>
            </w:pPr>
          </w:p>
        </w:tc>
        <w:tc>
          <w:tcPr>
            <w:tcW w:w="800" w:type="dxa"/>
            <w:vAlign w:val="bottom"/>
            <w:tcBorders>
              <w:bottom w:val="single" w:sz="8" w:color="1A3FD6"/>
            </w:tcBorders>
          </w:tcPr>
          <w:p>
            <w:pPr>
              <w:spacing w:after="0" w:line="20" w:lineRule="exact"/>
              <w:rPr>
                <w:sz w:val="1"/>
                <w:szCs w:val="1"/>
                <w:color w:val="auto"/>
              </w:rPr>
            </w:pPr>
          </w:p>
        </w:tc>
        <w:tc>
          <w:tcPr>
            <w:tcW w:w="1420" w:type="dxa"/>
            <w:vAlign w:val="bottom"/>
            <w:tcBorders>
              <w:bottom w:val="single" w:sz="8" w:color="1A3FD6"/>
            </w:tcBorders>
          </w:tcPr>
          <w:p>
            <w:pPr>
              <w:spacing w:after="0" w:line="20" w:lineRule="exact"/>
              <w:rPr>
                <w:sz w:val="1"/>
                <w:szCs w:val="1"/>
                <w:color w:val="auto"/>
              </w:rPr>
            </w:pPr>
          </w:p>
        </w:tc>
        <w:tc>
          <w:tcPr>
            <w:tcW w:w="1000" w:type="dxa"/>
            <w:vAlign w:val="bottom"/>
            <w:tcBorders>
              <w:bottom w:val="single" w:sz="8" w:color="1A3FD6"/>
            </w:tcBorders>
          </w:tcPr>
          <w:p>
            <w:pPr>
              <w:spacing w:after="0" w:line="20" w:lineRule="exact"/>
              <w:rPr>
                <w:sz w:val="1"/>
                <w:szCs w:val="1"/>
                <w:color w:val="auto"/>
              </w:rPr>
            </w:pPr>
          </w:p>
        </w:tc>
        <w:tc>
          <w:tcPr>
            <w:tcW w:w="900" w:type="dxa"/>
            <w:vAlign w:val="bottom"/>
            <w:tcBorders>
              <w:bottom w:val="single" w:sz="8" w:color="1A3FD6"/>
            </w:tcBorders>
          </w:tcPr>
          <w:p>
            <w:pPr>
              <w:spacing w:after="0" w:line="20" w:lineRule="exact"/>
              <w:rPr>
                <w:sz w:val="1"/>
                <w:szCs w:val="1"/>
                <w:color w:val="auto"/>
              </w:rPr>
            </w:pPr>
          </w:p>
        </w:tc>
      </w:tr>
      <w:tr>
        <w:trPr>
          <w:trHeight w:val="208"/>
        </w:trPr>
        <w:tc>
          <w:tcPr>
            <w:tcW w:w="388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1140" w:type="dxa"/>
            <w:vAlign w:val="bottom"/>
          </w:tcPr>
          <w:p>
            <w:pPr>
              <w:jc w:val="right"/>
              <w:spacing w:after="0"/>
              <w:rPr>
                <w:sz w:val="20"/>
                <w:szCs w:val="20"/>
                <w:color w:val="auto"/>
              </w:rPr>
            </w:pPr>
            <w:r>
              <w:rPr>
                <w:rFonts w:ascii="Arial" w:cs="Arial" w:eastAsia="Arial" w:hAnsi="Arial"/>
                <w:sz w:val="14"/>
                <w:szCs w:val="14"/>
                <w:color w:val="auto"/>
              </w:rPr>
              <w:t>1,346,012</w:t>
            </w:r>
          </w:p>
        </w:tc>
        <w:tc>
          <w:tcPr>
            <w:tcW w:w="22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1,346,012</w:t>
            </w:r>
          </w:p>
        </w:tc>
      </w:tr>
      <w:tr>
        <w:trPr>
          <w:trHeight w:val="29"/>
        </w:trPr>
        <w:tc>
          <w:tcPr>
            <w:tcW w:w="3880" w:type="dxa"/>
            <w:vAlign w:val="bottom"/>
            <w:tcBorders>
              <w:bottom w:val="single" w:sz="8" w:color="E6E7E8"/>
            </w:tcBorders>
          </w:tcPr>
          <w:p>
            <w:pPr>
              <w:spacing w:after="0"/>
              <w:rPr>
                <w:sz w:val="2"/>
                <w:szCs w:val="2"/>
                <w:color w:val="auto"/>
              </w:rPr>
            </w:pPr>
          </w:p>
        </w:tc>
        <w:tc>
          <w:tcPr>
            <w:tcW w:w="114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00" w:type="dxa"/>
            <w:vAlign w:val="bottom"/>
            <w:tcBorders>
              <w:bottom w:val="single" w:sz="8" w:color="E6E7E8"/>
            </w:tcBorders>
          </w:tcPr>
          <w:p>
            <w:pPr>
              <w:spacing w:after="0"/>
              <w:rPr>
                <w:sz w:val="2"/>
                <w:szCs w:val="2"/>
                <w:color w:val="auto"/>
              </w:rPr>
            </w:pPr>
          </w:p>
        </w:tc>
        <w:tc>
          <w:tcPr>
            <w:tcW w:w="900" w:type="dxa"/>
            <w:vAlign w:val="bottom"/>
            <w:tcBorders>
              <w:bottom w:val="single" w:sz="8" w:color="E6E7E8"/>
            </w:tcBorders>
          </w:tcPr>
          <w:p>
            <w:pPr>
              <w:spacing w:after="0"/>
              <w:rPr>
                <w:sz w:val="2"/>
                <w:szCs w:val="2"/>
                <w:color w:val="auto"/>
              </w:rPr>
            </w:pPr>
          </w:p>
        </w:tc>
      </w:tr>
      <w:tr>
        <w:trPr>
          <w:trHeight w:val="208"/>
        </w:trPr>
        <w:tc>
          <w:tcPr>
            <w:tcW w:w="3880" w:type="dxa"/>
            <w:vAlign w:val="bottom"/>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1140" w:type="dxa"/>
            <w:vAlign w:val="bottom"/>
          </w:tcPr>
          <w:p>
            <w:pPr>
              <w:jc w:val="right"/>
              <w:spacing w:after="0"/>
              <w:rPr>
                <w:sz w:val="20"/>
                <w:szCs w:val="20"/>
                <w:color w:val="auto"/>
              </w:rPr>
            </w:pPr>
            <w:r>
              <w:rPr>
                <w:rFonts w:ascii="Arial" w:cs="Arial" w:eastAsia="Arial" w:hAnsi="Arial"/>
                <w:sz w:val="14"/>
                <w:szCs w:val="14"/>
                <w:color w:val="auto"/>
              </w:rPr>
              <w:t>52,323</w:t>
            </w:r>
          </w:p>
        </w:tc>
        <w:tc>
          <w:tcPr>
            <w:tcW w:w="22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7,182</w:t>
            </w:r>
          </w:p>
        </w:tc>
        <w:tc>
          <w:tcPr>
            <w:tcW w:w="800" w:type="dxa"/>
            <w:vAlign w:val="bottom"/>
          </w:tcPr>
          <w:p>
            <w:pPr>
              <w:jc w:val="right"/>
              <w:spacing w:after="0"/>
              <w:rPr>
                <w:sz w:val="20"/>
                <w:szCs w:val="20"/>
                <w:color w:val="auto"/>
              </w:rPr>
            </w:pPr>
            <w:r>
              <w:rPr>
                <w:rFonts w:ascii="Arial" w:cs="Arial" w:eastAsia="Arial" w:hAnsi="Arial"/>
                <w:sz w:val="14"/>
                <w:szCs w:val="14"/>
                <w:color w:val="auto"/>
              </w:rPr>
              <w:t>7,182</w:t>
            </w:r>
          </w:p>
        </w:tc>
        <w:tc>
          <w:tcPr>
            <w:tcW w:w="1420" w:type="dxa"/>
            <w:vAlign w:val="bottom"/>
          </w:tcPr>
          <w:p>
            <w:pPr>
              <w:jc w:val="right"/>
              <w:ind w:right="291"/>
              <w:spacing w:after="0"/>
              <w:rPr>
                <w:sz w:val="20"/>
                <w:szCs w:val="20"/>
                <w:color w:val="auto"/>
              </w:rPr>
            </w:pPr>
            <w:r>
              <w:rPr>
                <w:rFonts w:ascii="Arial" w:cs="Arial" w:eastAsia="Arial" w:hAnsi="Arial"/>
                <w:sz w:val="14"/>
                <w:szCs w:val="14"/>
                <w:color w:val="auto"/>
              </w:rPr>
              <w:t>7,182</w:t>
            </w:r>
          </w:p>
        </w:tc>
        <w:tc>
          <w:tcPr>
            <w:tcW w:w="1000" w:type="dxa"/>
            <w:vAlign w:val="bottom"/>
          </w:tcPr>
          <w:p>
            <w:pPr>
              <w:jc w:val="right"/>
              <w:ind w:right="190"/>
              <w:spacing w:after="0"/>
              <w:rPr>
                <w:sz w:val="20"/>
                <w:szCs w:val="20"/>
                <w:color w:val="auto"/>
              </w:rPr>
            </w:pPr>
            <w:r>
              <w:rPr>
                <w:rFonts w:ascii="Arial" w:cs="Arial" w:eastAsia="Arial" w:hAnsi="Arial"/>
                <w:sz w:val="14"/>
                <w:szCs w:val="14"/>
                <w:color w:val="auto"/>
              </w:rPr>
              <w:t>7,182</w:t>
            </w:r>
          </w:p>
        </w:tc>
        <w:tc>
          <w:tcPr>
            <w:tcW w:w="900" w:type="dxa"/>
            <w:vAlign w:val="bottom"/>
          </w:tcPr>
          <w:p>
            <w:pPr>
              <w:jc w:val="right"/>
              <w:spacing w:after="0"/>
              <w:rPr>
                <w:sz w:val="20"/>
                <w:szCs w:val="20"/>
                <w:color w:val="auto"/>
              </w:rPr>
            </w:pPr>
            <w:r>
              <w:rPr>
                <w:rFonts w:ascii="Arial" w:cs="Arial" w:eastAsia="Arial" w:hAnsi="Arial"/>
                <w:sz w:val="14"/>
                <w:szCs w:val="14"/>
                <w:color w:val="auto"/>
              </w:rPr>
              <w:t>81,051</w:t>
            </w:r>
          </w:p>
        </w:tc>
      </w:tr>
      <w:tr>
        <w:trPr>
          <w:trHeight w:val="29"/>
        </w:trPr>
        <w:tc>
          <w:tcPr>
            <w:tcW w:w="3880" w:type="dxa"/>
            <w:vAlign w:val="bottom"/>
            <w:tcBorders>
              <w:bottom w:val="single" w:sz="8" w:color="E6E7E8"/>
            </w:tcBorders>
          </w:tcPr>
          <w:p>
            <w:pPr>
              <w:spacing w:after="0"/>
              <w:rPr>
                <w:sz w:val="2"/>
                <w:szCs w:val="2"/>
                <w:color w:val="auto"/>
              </w:rPr>
            </w:pPr>
          </w:p>
        </w:tc>
        <w:tc>
          <w:tcPr>
            <w:tcW w:w="114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00" w:type="dxa"/>
            <w:vAlign w:val="bottom"/>
            <w:tcBorders>
              <w:bottom w:val="single" w:sz="8" w:color="E6E7E8"/>
            </w:tcBorders>
          </w:tcPr>
          <w:p>
            <w:pPr>
              <w:spacing w:after="0"/>
              <w:rPr>
                <w:sz w:val="2"/>
                <w:szCs w:val="2"/>
                <w:color w:val="auto"/>
              </w:rPr>
            </w:pPr>
          </w:p>
        </w:tc>
        <w:tc>
          <w:tcPr>
            <w:tcW w:w="900" w:type="dxa"/>
            <w:vAlign w:val="bottom"/>
            <w:tcBorders>
              <w:bottom w:val="single" w:sz="8" w:color="E6E7E8"/>
            </w:tcBorders>
          </w:tcPr>
          <w:p>
            <w:pPr>
              <w:spacing w:after="0"/>
              <w:rPr>
                <w:sz w:val="2"/>
                <w:szCs w:val="2"/>
                <w:color w:val="auto"/>
              </w:rPr>
            </w:pPr>
          </w:p>
        </w:tc>
      </w:tr>
      <w:tr>
        <w:trPr>
          <w:trHeight w:val="208"/>
        </w:trPr>
        <w:tc>
          <w:tcPr>
            <w:tcW w:w="388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p>
        </w:tc>
        <w:tc>
          <w:tcPr>
            <w:tcW w:w="1140" w:type="dxa"/>
            <w:vAlign w:val="bottom"/>
          </w:tcPr>
          <w:p>
            <w:pPr>
              <w:jc w:val="right"/>
              <w:spacing w:after="0"/>
              <w:rPr>
                <w:sz w:val="20"/>
                <w:szCs w:val="20"/>
                <w:color w:val="auto"/>
              </w:rPr>
            </w:pPr>
            <w:r>
              <w:rPr>
                <w:rFonts w:ascii="Arial" w:cs="Arial" w:eastAsia="Arial" w:hAnsi="Arial"/>
                <w:sz w:val="14"/>
                <w:szCs w:val="14"/>
                <w:color w:val="auto"/>
              </w:rPr>
              <w:t>598,246</w:t>
            </w:r>
          </w:p>
        </w:tc>
        <w:tc>
          <w:tcPr>
            <w:tcW w:w="22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598,246</w:t>
            </w:r>
          </w:p>
        </w:tc>
      </w:tr>
      <w:tr>
        <w:trPr>
          <w:trHeight w:val="29"/>
        </w:trPr>
        <w:tc>
          <w:tcPr>
            <w:tcW w:w="3880" w:type="dxa"/>
            <w:vAlign w:val="bottom"/>
            <w:tcBorders>
              <w:bottom w:val="single" w:sz="8" w:color="E6E7E8"/>
            </w:tcBorders>
          </w:tcPr>
          <w:p>
            <w:pPr>
              <w:spacing w:after="0"/>
              <w:rPr>
                <w:sz w:val="2"/>
                <w:szCs w:val="2"/>
                <w:color w:val="auto"/>
              </w:rPr>
            </w:pPr>
          </w:p>
        </w:tc>
        <w:tc>
          <w:tcPr>
            <w:tcW w:w="114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00" w:type="dxa"/>
            <w:vAlign w:val="bottom"/>
            <w:tcBorders>
              <w:bottom w:val="single" w:sz="8" w:color="E6E7E8"/>
            </w:tcBorders>
          </w:tcPr>
          <w:p>
            <w:pPr>
              <w:spacing w:after="0"/>
              <w:rPr>
                <w:sz w:val="2"/>
                <w:szCs w:val="2"/>
                <w:color w:val="auto"/>
              </w:rPr>
            </w:pPr>
          </w:p>
        </w:tc>
        <w:tc>
          <w:tcPr>
            <w:tcW w:w="900" w:type="dxa"/>
            <w:vAlign w:val="bottom"/>
            <w:tcBorders>
              <w:bottom w:val="single" w:sz="8" w:color="E6E7E8"/>
            </w:tcBorders>
          </w:tcPr>
          <w:p>
            <w:pPr>
              <w:spacing w:after="0"/>
              <w:rPr>
                <w:sz w:val="2"/>
                <w:szCs w:val="2"/>
                <w:color w:val="auto"/>
              </w:rPr>
            </w:pPr>
          </w:p>
        </w:tc>
      </w:tr>
      <w:tr>
        <w:trPr>
          <w:trHeight w:val="208"/>
        </w:trPr>
        <w:tc>
          <w:tcPr>
            <w:tcW w:w="3880" w:type="dxa"/>
            <w:vAlign w:val="bottom"/>
          </w:tcPr>
          <w:p>
            <w:pPr>
              <w:ind w:left="20"/>
              <w:spacing w:after="0"/>
              <w:rPr>
                <w:sz w:val="20"/>
                <w:szCs w:val="20"/>
                <w:color w:val="auto"/>
              </w:rPr>
            </w:pPr>
            <w:r>
              <w:rPr>
                <w:rFonts w:ascii="Arial" w:cs="Arial" w:eastAsia="Arial" w:hAnsi="Arial"/>
                <w:sz w:val="14"/>
                <w:szCs w:val="14"/>
                <w:b w:val="1"/>
                <w:bCs w:val="1"/>
                <w:color w:val="1A3FD6"/>
              </w:rPr>
              <w:t>Alvise J. Munari</w:t>
            </w:r>
          </w:p>
        </w:tc>
        <w:tc>
          <w:tcPr>
            <w:tcW w:w="1140" w:type="dxa"/>
            <w:vAlign w:val="bottom"/>
          </w:tcPr>
          <w:p>
            <w:pPr>
              <w:jc w:val="right"/>
              <w:spacing w:after="0"/>
              <w:rPr>
                <w:sz w:val="20"/>
                <w:szCs w:val="20"/>
                <w:color w:val="auto"/>
              </w:rPr>
            </w:pPr>
            <w:r>
              <w:rPr>
                <w:rFonts w:ascii="Arial" w:cs="Arial" w:eastAsia="Arial" w:hAnsi="Arial"/>
                <w:sz w:val="14"/>
                <w:szCs w:val="14"/>
                <w:color w:val="auto"/>
              </w:rPr>
              <w:t>146,546</w:t>
            </w:r>
          </w:p>
        </w:tc>
        <w:tc>
          <w:tcPr>
            <w:tcW w:w="22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7,146</w:t>
            </w:r>
          </w:p>
        </w:tc>
        <w:tc>
          <w:tcPr>
            <w:tcW w:w="800" w:type="dxa"/>
            <w:vAlign w:val="bottom"/>
          </w:tcPr>
          <w:p>
            <w:pPr>
              <w:jc w:val="right"/>
              <w:spacing w:after="0"/>
              <w:rPr>
                <w:sz w:val="20"/>
                <w:szCs w:val="20"/>
                <w:color w:val="auto"/>
              </w:rPr>
            </w:pPr>
            <w:r>
              <w:rPr>
                <w:rFonts w:ascii="Arial" w:cs="Arial" w:eastAsia="Arial" w:hAnsi="Arial"/>
                <w:sz w:val="14"/>
                <w:szCs w:val="14"/>
                <w:color w:val="auto"/>
              </w:rPr>
              <w:t>7,146</w:t>
            </w:r>
          </w:p>
        </w:tc>
        <w:tc>
          <w:tcPr>
            <w:tcW w:w="1420" w:type="dxa"/>
            <w:vAlign w:val="bottom"/>
          </w:tcPr>
          <w:p>
            <w:pPr>
              <w:jc w:val="right"/>
              <w:ind w:right="291"/>
              <w:spacing w:after="0"/>
              <w:rPr>
                <w:sz w:val="20"/>
                <w:szCs w:val="20"/>
                <w:color w:val="auto"/>
              </w:rPr>
            </w:pPr>
            <w:r>
              <w:rPr>
                <w:rFonts w:ascii="Arial" w:cs="Arial" w:eastAsia="Arial" w:hAnsi="Arial"/>
                <w:sz w:val="14"/>
                <w:szCs w:val="14"/>
                <w:color w:val="auto"/>
              </w:rPr>
              <w:t>7,146</w:t>
            </w:r>
          </w:p>
        </w:tc>
        <w:tc>
          <w:tcPr>
            <w:tcW w:w="1000" w:type="dxa"/>
            <w:vAlign w:val="bottom"/>
          </w:tcPr>
          <w:p>
            <w:pPr>
              <w:jc w:val="right"/>
              <w:ind w:right="190"/>
              <w:spacing w:after="0"/>
              <w:rPr>
                <w:sz w:val="20"/>
                <w:szCs w:val="20"/>
                <w:color w:val="auto"/>
              </w:rPr>
            </w:pPr>
            <w:r>
              <w:rPr>
                <w:rFonts w:ascii="Arial" w:cs="Arial" w:eastAsia="Arial" w:hAnsi="Arial"/>
                <w:sz w:val="14"/>
                <w:szCs w:val="14"/>
                <w:color w:val="auto"/>
              </w:rPr>
              <w:t>7,146</w:t>
            </w:r>
          </w:p>
        </w:tc>
        <w:tc>
          <w:tcPr>
            <w:tcW w:w="900" w:type="dxa"/>
            <w:vAlign w:val="bottom"/>
          </w:tcPr>
          <w:p>
            <w:pPr>
              <w:jc w:val="right"/>
              <w:spacing w:after="0"/>
              <w:rPr>
                <w:sz w:val="20"/>
                <w:szCs w:val="20"/>
                <w:color w:val="auto"/>
              </w:rPr>
            </w:pPr>
            <w:r>
              <w:rPr>
                <w:rFonts w:ascii="Arial" w:cs="Arial" w:eastAsia="Arial" w:hAnsi="Arial"/>
                <w:sz w:val="14"/>
                <w:szCs w:val="14"/>
                <w:color w:val="auto"/>
              </w:rPr>
              <w:t>175,130</w:t>
            </w:r>
          </w:p>
        </w:tc>
      </w:tr>
      <w:tr>
        <w:trPr>
          <w:trHeight w:val="29"/>
        </w:trPr>
        <w:tc>
          <w:tcPr>
            <w:tcW w:w="3880" w:type="dxa"/>
            <w:vAlign w:val="bottom"/>
            <w:tcBorders>
              <w:bottom w:val="single" w:sz="8" w:color="E6E7E8"/>
            </w:tcBorders>
          </w:tcPr>
          <w:p>
            <w:pPr>
              <w:spacing w:after="0"/>
              <w:rPr>
                <w:sz w:val="2"/>
                <w:szCs w:val="2"/>
                <w:color w:val="auto"/>
              </w:rPr>
            </w:pPr>
          </w:p>
        </w:tc>
        <w:tc>
          <w:tcPr>
            <w:tcW w:w="1140" w:type="dxa"/>
            <w:vAlign w:val="bottom"/>
            <w:tcBorders>
              <w:bottom w:val="single" w:sz="8" w:color="E6E7E8"/>
            </w:tcBorders>
          </w:tcPr>
          <w:p>
            <w:pPr>
              <w:spacing w:after="0"/>
              <w:rPr>
                <w:sz w:val="2"/>
                <w:szCs w:val="2"/>
                <w:color w:val="auto"/>
              </w:rPr>
            </w:pPr>
          </w:p>
        </w:tc>
        <w:tc>
          <w:tcPr>
            <w:tcW w:w="220" w:type="dxa"/>
            <w:vAlign w:val="bottom"/>
            <w:tcBorders>
              <w:bottom w:val="single" w:sz="8" w:color="E6E7E8"/>
            </w:tcBorders>
          </w:tcPr>
          <w:p>
            <w:pPr>
              <w:spacing w:after="0"/>
              <w:rPr>
                <w:sz w:val="2"/>
                <w:szCs w:val="2"/>
                <w:color w:val="auto"/>
              </w:rPr>
            </w:pPr>
          </w:p>
        </w:tc>
        <w:tc>
          <w:tcPr>
            <w:tcW w:w="140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c>
          <w:tcPr>
            <w:tcW w:w="1420" w:type="dxa"/>
            <w:vAlign w:val="bottom"/>
            <w:tcBorders>
              <w:bottom w:val="single" w:sz="8" w:color="E6E7E8"/>
            </w:tcBorders>
          </w:tcPr>
          <w:p>
            <w:pPr>
              <w:spacing w:after="0"/>
              <w:rPr>
                <w:sz w:val="2"/>
                <w:szCs w:val="2"/>
                <w:color w:val="auto"/>
              </w:rPr>
            </w:pPr>
          </w:p>
        </w:tc>
        <w:tc>
          <w:tcPr>
            <w:tcW w:w="1000" w:type="dxa"/>
            <w:vAlign w:val="bottom"/>
            <w:tcBorders>
              <w:bottom w:val="single" w:sz="8" w:color="E6E7E8"/>
            </w:tcBorders>
          </w:tcPr>
          <w:p>
            <w:pPr>
              <w:spacing w:after="0"/>
              <w:rPr>
                <w:sz w:val="2"/>
                <w:szCs w:val="2"/>
                <w:color w:val="auto"/>
              </w:rPr>
            </w:pPr>
          </w:p>
        </w:tc>
        <w:tc>
          <w:tcPr>
            <w:tcW w:w="900" w:type="dxa"/>
            <w:vAlign w:val="bottom"/>
            <w:tcBorders>
              <w:bottom w:val="single" w:sz="8" w:color="E6E7E8"/>
            </w:tcBorders>
          </w:tcPr>
          <w:p>
            <w:pPr>
              <w:spacing w:after="0"/>
              <w:rPr>
                <w:sz w:val="2"/>
                <w:szCs w:val="2"/>
                <w:color w:val="auto"/>
              </w:rPr>
            </w:pPr>
          </w:p>
        </w:tc>
      </w:tr>
      <w:tr>
        <w:trPr>
          <w:trHeight w:val="208"/>
        </w:trPr>
        <w:tc>
          <w:tcPr>
            <w:tcW w:w="3880" w:type="dxa"/>
            <w:vAlign w:val="bottom"/>
          </w:tcPr>
          <w:p>
            <w:pPr>
              <w:ind w:left="20"/>
              <w:spacing w:after="0"/>
              <w:rPr>
                <w:sz w:val="20"/>
                <w:szCs w:val="20"/>
                <w:color w:val="auto"/>
              </w:rPr>
            </w:pPr>
            <w:r>
              <w:rPr>
                <w:rFonts w:ascii="Arial" w:cs="Arial" w:eastAsia="Arial" w:hAnsi="Arial"/>
                <w:sz w:val="14"/>
                <w:szCs w:val="14"/>
                <w:b w:val="1"/>
                <w:bCs w:val="1"/>
                <w:color w:val="1A3FD6"/>
              </w:rPr>
              <w:t>Scott A. Crum</w:t>
            </w:r>
          </w:p>
        </w:tc>
        <w:tc>
          <w:tcPr>
            <w:tcW w:w="1140" w:type="dxa"/>
            <w:vAlign w:val="bottom"/>
          </w:tcPr>
          <w:p>
            <w:pPr>
              <w:jc w:val="right"/>
              <w:spacing w:after="0"/>
              <w:rPr>
                <w:sz w:val="20"/>
                <w:szCs w:val="20"/>
                <w:color w:val="auto"/>
              </w:rPr>
            </w:pPr>
            <w:r>
              <w:rPr>
                <w:rFonts w:ascii="Arial" w:cs="Arial" w:eastAsia="Arial" w:hAnsi="Arial"/>
                <w:sz w:val="14"/>
                <w:szCs w:val="14"/>
                <w:color w:val="auto"/>
              </w:rPr>
              <w:t>125,585</w:t>
            </w:r>
          </w:p>
        </w:tc>
        <w:tc>
          <w:tcPr>
            <w:tcW w:w="22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5,801</w:t>
            </w:r>
          </w:p>
        </w:tc>
        <w:tc>
          <w:tcPr>
            <w:tcW w:w="800" w:type="dxa"/>
            <w:vAlign w:val="bottom"/>
          </w:tcPr>
          <w:p>
            <w:pPr>
              <w:jc w:val="right"/>
              <w:spacing w:after="0"/>
              <w:rPr>
                <w:sz w:val="20"/>
                <w:szCs w:val="20"/>
                <w:color w:val="auto"/>
              </w:rPr>
            </w:pPr>
            <w:r>
              <w:rPr>
                <w:rFonts w:ascii="Arial" w:cs="Arial" w:eastAsia="Arial" w:hAnsi="Arial"/>
                <w:sz w:val="14"/>
                <w:szCs w:val="14"/>
                <w:color w:val="auto"/>
              </w:rPr>
              <w:t>5,801</w:t>
            </w:r>
          </w:p>
        </w:tc>
        <w:tc>
          <w:tcPr>
            <w:tcW w:w="1420" w:type="dxa"/>
            <w:vAlign w:val="bottom"/>
          </w:tcPr>
          <w:p>
            <w:pPr>
              <w:jc w:val="right"/>
              <w:ind w:right="291"/>
              <w:spacing w:after="0"/>
              <w:rPr>
                <w:sz w:val="20"/>
                <w:szCs w:val="20"/>
                <w:color w:val="auto"/>
              </w:rPr>
            </w:pPr>
            <w:r>
              <w:rPr>
                <w:rFonts w:ascii="Arial" w:cs="Arial" w:eastAsia="Arial" w:hAnsi="Arial"/>
                <w:sz w:val="14"/>
                <w:szCs w:val="14"/>
                <w:color w:val="auto"/>
              </w:rPr>
              <w:t>5,801</w:t>
            </w:r>
          </w:p>
        </w:tc>
        <w:tc>
          <w:tcPr>
            <w:tcW w:w="1000" w:type="dxa"/>
            <w:vAlign w:val="bottom"/>
          </w:tcPr>
          <w:p>
            <w:pPr>
              <w:jc w:val="right"/>
              <w:ind w:right="190"/>
              <w:spacing w:after="0"/>
              <w:rPr>
                <w:sz w:val="20"/>
                <w:szCs w:val="20"/>
                <w:color w:val="auto"/>
              </w:rPr>
            </w:pPr>
            <w:r>
              <w:rPr>
                <w:rFonts w:ascii="Arial" w:cs="Arial" w:eastAsia="Arial" w:hAnsi="Arial"/>
                <w:sz w:val="14"/>
                <w:szCs w:val="14"/>
                <w:color w:val="auto"/>
              </w:rPr>
              <w:t>5,801</w:t>
            </w:r>
          </w:p>
        </w:tc>
        <w:tc>
          <w:tcPr>
            <w:tcW w:w="900" w:type="dxa"/>
            <w:vAlign w:val="bottom"/>
          </w:tcPr>
          <w:p>
            <w:pPr>
              <w:jc w:val="right"/>
              <w:spacing w:after="0"/>
              <w:rPr>
                <w:sz w:val="20"/>
                <w:szCs w:val="20"/>
                <w:color w:val="auto"/>
              </w:rPr>
            </w:pPr>
            <w:r>
              <w:rPr>
                <w:rFonts w:ascii="Arial" w:cs="Arial" w:eastAsia="Arial" w:hAnsi="Arial"/>
                <w:sz w:val="14"/>
                <w:szCs w:val="14"/>
                <w:color w:val="auto"/>
              </w:rPr>
              <w:t>148,789</w:t>
            </w:r>
          </w:p>
        </w:tc>
      </w:tr>
      <w:tr>
        <w:trPr>
          <w:trHeight w:val="29"/>
        </w:trPr>
        <w:tc>
          <w:tcPr>
            <w:tcW w:w="3880" w:type="dxa"/>
            <w:vAlign w:val="bottom"/>
            <w:tcBorders>
              <w:bottom w:val="single" w:sz="8" w:color="1A3FD6"/>
            </w:tcBorders>
          </w:tcPr>
          <w:p>
            <w:pPr>
              <w:spacing w:after="0"/>
              <w:rPr>
                <w:sz w:val="2"/>
                <w:szCs w:val="2"/>
                <w:color w:val="auto"/>
              </w:rPr>
            </w:pPr>
          </w:p>
        </w:tc>
        <w:tc>
          <w:tcPr>
            <w:tcW w:w="114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400" w:type="dxa"/>
            <w:vAlign w:val="bottom"/>
            <w:tcBorders>
              <w:bottom w:val="single" w:sz="8" w:color="1A3FD6"/>
            </w:tcBorders>
          </w:tcPr>
          <w:p>
            <w:pPr>
              <w:spacing w:after="0"/>
              <w:rPr>
                <w:sz w:val="2"/>
                <w:szCs w:val="2"/>
                <w:color w:val="auto"/>
              </w:rPr>
            </w:pPr>
          </w:p>
        </w:tc>
        <w:tc>
          <w:tcPr>
            <w:tcW w:w="800" w:type="dxa"/>
            <w:vAlign w:val="bottom"/>
            <w:tcBorders>
              <w:bottom w:val="single" w:sz="8" w:color="1A3FD6"/>
            </w:tcBorders>
          </w:tcPr>
          <w:p>
            <w:pPr>
              <w:spacing w:after="0"/>
              <w:rPr>
                <w:sz w:val="2"/>
                <w:szCs w:val="2"/>
                <w:color w:val="auto"/>
              </w:rPr>
            </w:pPr>
          </w:p>
        </w:tc>
        <w:tc>
          <w:tcPr>
            <w:tcW w:w="1420" w:type="dxa"/>
            <w:vAlign w:val="bottom"/>
            <w:tcBorders>
              <w:bottom w:val="single" w:sz="8" w:color="1A3FD6"/>
            </w:tcBorders>
          </w:tcPr>
          <w:p>
            <w:pPr>
              <w:spacing w:after="0"/>
              <w:rPr>
                <w:sz w:val="2"/>
                <w:szCs w:val="2"/>
                <w:color w:val="auto"/>
              </w:rPr>
            </w:pPr>
          </w:p>
        </w:tc>
        <w:tc>
          <w:tcPr>
            <w:tcW w:w="1000" w:type="dxa"/>
            <w:vAlign w:val="bottom"/>
            <w:tcBorders>
              <w:bottom w:val="single" w:sz="8" w:color="1A3FD6"/>
            </w:tcBorders>
          </w:tcPr>
          <w:p>
            <w:pPr>
              <w:spacing w:after="0"/>
              <w:rPr>
                <w:sz w:val="2"/>
                <w:szCs w:val="2"/>
                <w:color w:val="auto"/>
              </w:rPr>
            </w:pPr>
          </w:p>
        </w:tc>
        <w:tc>
          <w:tcPr>
            <w:tcW w:w="900" w:type="dxa"/>
            <w:vAlign w:val="bottom"/>
            <w:tcBorders>
              <w:bottom w:val="single" w:sz="8" w:color="1A3FD6"/>
            </w:tcBorders>
          </w:tcPr>
          <w:p>
            <w:pPr>
              <w:spacing w:after="0"/>
              <w:rPr>
                <w:sz w:val="2"/>
                <w:szCs w:val="2"/>
                <w:color w:val="auto"/>
              </w:rPr>
            </w:pPr>
          </w:p>
        </w:tc>
      </w:tr>
    </w:tbl>
    <w:p>
      <w:pPr>
        <w:spacing w:after="0" w:line="193" w:lineRule="exact"/>
        <w:rPr>
          <w:sz w:val="20"/>
          <w:szCs w:val="20"/>
          <w:color w:val="auto"/>
        </w:rPr>
      </w:pPr>
    </w:p>
    <w:p>
      <w:pPr>
        <w:ind w:left="260" w:right="480" w:hanging="252"/>
        <w:spacing w:after="0" w:line="239" w:lineRule="auto"/>
        <w:tabs>
          <w:tab w:leader="none" w:pos="25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In connection with his planned retirement, Mr. Pettit ceased serving as the Company’s Chief Operating Officer effective November 12, 2025 and ceased serving in his position as President, effective March 1, 2026. Effective March 1, 2026, Mr. Fernandez assumed the role of President.</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91</w:t>
            </w:r>
          </w:p>
        </w:tc>
      </w:tr>
      <w:tr>
        <w:trPr>
          <w:trHeight w:val="374"/>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Grants of Plan-Based Awards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awards granted to our NEOs during fiscal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right"/>
              <w:ind w:right="87"/>
              <w:spacing w:after="0"/>
              <w:rPr>
                <w:sz w:val="20"/>
                <w:szCs w:val="20"/>
                <w:color w:val="auto"/>
              </w:rPr>
            </w:pPr>
            <w:r>
              <w:rPr>
                <w:rFonts w:ascii="Arial" w:cs="Arial" w:eastAsia="Arial" w:hAnsi="Arial"/>
                <w:sz w:val="10"/>
                <w:szCs w:val="10"/>
                <w:b w:val="1"/>
                <w:bCs w:val="1"/>
                <w:color w:val="auto"/>
              </w:rPr>
              <w:t>All Other</w:t>
            </w:r>
          </w:p>
        </w:tc>
        <w:tc>
          <w:tcPr>
            <w:tcW w:w="820" w:type="dxa"/>
            <w:vAlign w:val="bottom"/>
          </w:tcPr>
          <w:p>
            <w:pPr>
              <w:jc w:val="right"/>
              <w:ind w:right="87"/>
              <w:spacing w:after="0"/>
              <w:rPr>
                <w:sz w:val="20"/>
                <w:szCs w:val="20"/>
                <w:color w:val="auto"/>
              </w:rPr>
            </w:pPr>
            <w:r>
              <w:rPr>
                <w:rFonts w:ascii="Arial" w:cs="Arial" w:eastAsia="Arial" w:hAnsi="Arial"/>
                <w:sz w:val="10"/>
                <w:szCs w:val="10"/>
                <w:b w:val="1"/>
                <w:bCs w:val="1"/>
                <w:color w:val="auto"/>
              </w:rPr>
              <w:t>All Other</w:t>
            </w: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jc w:val="right"/>
              <w:ind w:right="87"/>
              <w:spacing w:after="0"/>
              <w:rPr>
                <w:sz w:val="20"/>
                <w:szCs w:val="20"/>
                <w:color w:val="auto"/>
              </w:rPr>
            </w:pPr>
            <w:r>
              <w:rPr>
                <w:rFonts w:ascii="Arial" w:cs="Arial" w:eastAsia="Arial" w:hAnsi="Arial"/>
                <w:sz w:val="10"/>
                <w:szCs w:val="10"/>
                <w:b w:val="1"/>
                <w:bCs w:val="1"/>
                <w:color w:val="auto"/>
              </w:rPr>
              <w:t>Stock</w:t>
            </w:r>
          </w:p>
        </w:tc>
        <w:tc>
          <w:tcPr>
            <w:tcW w:w="820" w:type="dxa"/>
            <w:vAlign w:val="bottom"/>
          </w:tcPr>
          <w:p>
            <w:pPr>
              <w:jc w:val="right"/>
              <w:ind w:right="87"/>
              <w:spacing w:after="0"/>
              <w:rPr>
                <w:sz w:val="20"/>
                <w:szCs w:val="20"/>
                <w:color w:val="auto"/>
              </w:rPr>
            </w:pPr>
            <w:r>
              <w:rPr>
                <w:rFonts w:ascii="Arial" w:cs="Arial" w:eastAsia="Arial" w:hAnsi="Arial"/>
                <w:sz w:val="10"/>
                <w:szCs w:val="10"/>
                <w:b w:val="1"/>
                <w:bCs w:val="1"/>
                <w:color w:val="auto"/>
              </w:rPr>
              <w:t>Option</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52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9"/>
              </w:rPr>
              <w:t>Estimated Future Payouts Under</w:t>
            </w:r>
          </w:p>
        </w:tc>
        <w:tc>
          <w:tcPr>
            <w:tcW w:w="1700" w:type="dxa"/>
            <w:vAlign w:val="bottom"/>
            <w:gridSpan w:val="2"/>
          </w:tcPr>
          <w:p>
            <w:pPr>
              <w:jc w:val="right"/>
              <w:spacing w:after="0"/>
              <w:rPr>
                <w:sz w:val="20"/>
                <w:szCs w:val="20"/>
                <w:color w:val="auto"/>
              </w:rPr>
            </w:pPr>
            <w:r>
              <w:rPr>
                <w:rFonts w:ascii="Arial" w:cs="Arial" w:eastAsia="Arial" w:hAnsi="Arial"/>
                <w:sz w:val="10"/>
                <w:szCs w:val="10"/>
                <w:b w:val="1"/>
                <w:bCs w:val="1"/>
                <w:color w:val="auto"/>
              </w:rPr>
              <w:t>Estimated Future Payouts</w:t>
            </w:r>
          </w:p>
        </w:tc>
        <w:tc>
          <w:tcPr>
            <w:tcW w:w="480" w:type="dxa"/>
            <w:vAlign w:val="bottom"/>
          </w:tcPr>
          <w:p>
            <w:pPr>
              <w:spacing w:after="0"/>
              <w:rPr>
                <w:sz w:val="10"/>
                <w:szCs w:val="10"/>
                <w:color w:val="auto"/>
              </w:rPr>
            </w:pPr>
          </w:p>
        </w:tc>
        <w:tc>
          <w:tcPr>
            <w:tcW w:w="840" w:type="dxa"/>
            <w:vAlign w:val="bottom"/>
          </w:tcPr>
          <w:p>
            <w:pPr>
              <w:jc w:val="right"/>
              <w:ind w:right="87"/>
              <w:spacing w:after="0"/>
              <w:rPr>
                <w:sz w:val="20"/>
                <w:szCs w:val="20"/>
                <w:color w:val="auto"/>
              </w:rPr>
            </w:pPr>
            <w:r>
              <w:rPr>
                <w:rFonts w:ascii="Arial" w:cs="Arial" w:eastAsia="Arial" w:hAnsi="Arial"/>
                <w:sz w:val="10"/>
                <w:szCs w:val="10"/>
                <w:b w:val="1"/>
                <w:bCs w:val="1"/>
                <w:color w:val="auto"/>
              </w:rPr>
              <w:t>Awards:</w:t>
            </w:r>
          </w:p>
        </w:tc>
        <w:tc>
          <w:tcPr>
            <w:tcW w:w="820" w:type="dxa"/>
            <w:vAlign w:val="bottom"/>
          </w:tcPr>
          <w:p>
            <w:pPr>
              <w:jc w:val="right"/>
              <w:ind w:right="87"/>
              <w:spacing w:after="0"/>
              <w:rPr>
                <w:sz w:val="20"/>
                <w:szCs w:val="20"/>
                <w:color w:val="auto"/>
              </w:rPr>
            </w:pPr>
            <w:r>
              <w:rPr>
                <w:rFonts w:ascii="Arial" w:cs="Arial" w:eastAsia="Arial" w:hAnsi="Arial"/>
                <w:sz w:val="10"/>
                <w:szCs w:val="10"/>
                <w:b w:val="1"/>
                <w:bCs w:val="1"/>
                <w:color w:val="auto"/>
              </w:rPr>
              <w:t>Awards:</w:t>
            </w:r>
          </w:p>
        </w:tc>
        <w:tc>
          <w:tcPr>
            <w:tcW w:w="720" w:type="dxa"/>
            <w:vAlign w:val="bottom"/>
          </w:tcPr>
          <w:p>
            <w:pPr>
              <w:jc w:val="right"/>
              <w:ind w:right="87"/>
              <w:spacing w:after="0"/>
              <w:rPr>
                <w:sz w:val="20"/>
                <w:szCs w:val="20"/>
                <w:color w:val="auto"/>
              </w:rPr>
            </w:pPr>
            <w:r>
              <w:rPr>
                <w:rFonts w:ascii="Arial" w:cs="Arial" w:eastAsia="Arial" w:hAnsi="Arial"/>
                <w:sz w:val="10"/>
                <w:szCs w:val="10"/>
                <w:b w:val="1"/>
                <w:bCs w:val="1"/>
                <w:color w:val="auto"/>
              </w:rPr>
              <w:t>Exercise</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Grant Date</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2"/>
          </w:tcPr>
          <w:p>
            <w:pPr>
              <w:jc w:val="center"/>
              <w:ind w:left="567"/>
              <w:spacing w:after="0"/>
              <w:rPr>
                <w:sz w:val="20"/>
                <w:szCs w:val="20"/>
                <w:color w:val="auto"/>
              </w:rPr>
            </w:pPr>
            <w:r>
              <w:rPr>
                <w:rFonts w:ascii="Arial" w:cs="Arial" w:eastAsia="Arial" w:hAnsi="Arial"/>
                <w:sz w:val="10"/>
                <w:szCs w:val="10"/>
                <w:b w:val="1"/>
                <w:bCs w:val="1"/>
                <w:color w:val="auto"/>
                <w:w w:val="98"/>
              </w:rPr>
              <w:t>Non-Equity Incentive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right"/>
              <w:ind w:right="27"/>
              <w:spacing w:after="0"/>
              <w:rPr>
                <w:sz w:val="20"/>
                <w:szCs w:val="20"/>
                <w:color w:val="auto"/>
              </w:rPr>
            </w:pPr>
            <w:r>
              <w:rPr>
                <w:rFonts w:ascii="Arial" w:cs="Arial" w:eastAsia="Arial" w:hAnsi="Arial"/>
                <w:sz w:val="10"/>
                <w:szCs w:val="10"/>
                <w:b w:val="1"/>
                <w:bCs w:val="1"/>
                <w:color w:val="auto"/>
              </w:rPr>
              <w:t>Under Equity Incentive</w:t>
            </w:r>
          </w:p>
        </w:tc>
        <w:tc>
          <w:tcPr>
            <w:tcW w:w="480" w:type="dxa"/>
            <w:vAlign w:val="bottom"/>
          </w:tcPr>
          <w:p>
            <w:pPr>
              <w:spacing w:after="0"/>
              <w:rPr>
                <w:sz w:val="11"/>
                <w:szCs w:val="11"/>
                <w:color w:val="auto"/>
              </w:rPr>
            </w:pPr>
          </w:p>
        </w:tc>
        <w:tc>
          <w:tcPr>
            <w:tcW w:w="840" w:type="dxa"/>
            <w:vAlign w:val="bottom"/>
          </w:tcPr>
          <w:p>
            <w:pPr>
              <w:jc w:val="right"/>
              <w:ind w:right="87"/>
              <w:spacing w:after="0"/>
              <w:rPr>
                <w:sz w:val="20"/>
                <w:szCs w:val="20"/>
                <w:color w:val="auto"/>
              </w:rPr>
            </w:pPr>
            <w:r>
              <w:rPr>
                <w:rFonts w:ascii="Arial" w:cs="Arial" w:eastAsia="Arial" w:hAnsi="Arial"/>
                <w:sz w:val="10"/>
                <w:szCs w:val="10"/>
                <w:b w:val="1"/>
                <w:bCs w:val="1"/>
                <w:color w:val="auto"/>
              </w:rPr>
              <w:t>Number</w:t>
            </w:r>
          </w:p>
        </w:tc>
        <w:tc>
          <w:tcPr>
            <w:tcW w:w="820" w:type="dxa"/>
            <w:vAlign w:val="bottom"/>
          </w:tcPr>
          <w:p>
            <w:pPr>
              <w:jc w:val="right"/>
              <w:ind w:right="87"/>
              <w:spacing w:after="0"/>
              <w:rPr>
                <w:sz w:val="20"/>
                <w:szCs w:val="20"/>
                <w:color w:val="auto"/>
              </w:rPr>
            </w:pPr>
            <w:r>
              <w:rPr>
                <w:rFonts w:ascii="Arial" w:cs="Arial" w:eastAsia="Arial" w:hAnsi="Arial"/>
                <w:sz w:val="10"/>
                <w:szCs w:val="10"/>
                <w:b w:val="1"/>
                <w:bCs w:val="1"/>
                <w:color w:val="auto"/>
              </w:rPr>
              <w:t>Number of</w:t>
            </w:r>
          </w:p>
        </w:tc>
        <w:tc>
          <w:tcPr>
            <w:tcW w:w="720" w:type="dxa"/>
            <w:vAlign w:val="bottom"/>
          </w:tcPr>
          <w:p>
            <w:pPr>
              <w:jc w:val="right"/>
              <w:ind w:right="87"/>
              <w:spacing w:after="0"/>
              <w:rPr>
                <w:sz w:val="20"/>
                <w:szCs w:val="20"/>
                <w:color w:val="auto"/>
              </w:rPr>
            </w:pPr>
            <w:r>
              <w:rPr>
                <w:rFonts w:ascii="Arial" w:cs="Arial" w:eastAsia="Arial" w:hAnsi="Arial"/>
                <w:sz w:val="10"/>
                <w:szCs w:val="10"/>
                <w:b w:val="1"/>
                <w:bCs w:val="1"/>
                <w:color w:val="auto"/>
              </w:rPr>
              <w:t>or Base</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7"/>
        </w:trPr>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jc w:val="center"/>
              <w:ind w:right="127"/>
              <w:spacing w:after="0" w:line="127" w:lineRule="exact"/>
              <w:rPr>
                <w:sz w:val="20"/>
                <w:szCs w:val="20"/>
                <w:color w:val="auto"/>
              </w:rPr>
            </w:pPr>
            <w:r>
              <w:rPr>
                <w:rFonts w:ascii="Arial" w:cs="Arial" w:eastAsia="Arial" w:hAnsi="Arial"/>
                <w:sz w:val="10"/>
                <w:szCs w:val="10"/>
                <w:b w:val="1"/>
                <w:bCs w:val="1"/>
                <w:color w:val="auto"/>
                <w:w w:val="91"/>
              </w:rPr>
              <w:t>Plan Awards</w:t>
            </w:r>
            <w:r>
              <w:rPr>
                <w:rFonts w:ascii="Arial" w:cs="Arial" w:eastAsia="Arial" w:hAnsi="Arial"/>
                <w:sz w:val="12"/>
                <w:szCs w:val="12"/>
                <w:b w:val="1"/>
                <w:bCs w:val="1"/>
                <w:color w:val="auto"/>
                <w:w w:val="91"/>
                <w:vertAlign w:val="superscript"/>
              </w:rPr>
              <w:t>(1)(2)(3)</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jc w:val="right"/>
              <w:ind w:right="267"/>
              <w:spacing w:after="0"/>
              <w:rPr>
                <w:sz w:val="20"/>
                <w:szCs w:val="20"/>
                <w:color w:val="auto"/>
              </w:rPr>
            </w:pPr>
            <w:r>
              <w:rPr>
                <w:rFonts w:ascii="Arial" w:cs="Arial" w:eastAsia="Arial" w:hAnsi="Arial"/>
                <w:sz w:val="10"/>
                <w:szCs w:val="10"/>
                <w:b w:val="1"/>
                <w:bCs w:val="1"/>
                <w:color w:val="auto"/>
                <w:w w:val="96"/>
              </w:rPr>
              <w:t>Plan Awards</w:t>
            </w:r>
          </w:p>
        </w:tc>
        <w:tc>
          <w:tcPr>
            <w:tcW w:w="480" w:type="dxa"/>
            <w:vAlign w:val="bottom"/>
          </w:tcPr>
          <w:p>
            <w:pPr>
              <w:spacing w:after="0"/>
              <w:rPr>
                <w:sz w:val="11"/>
                <w:szCs w:val="11"/>
                <w:color w:val="auto"/>
              </w:rPr>
            </w:pPr>
          </w:p>
        </w:tc>
        <w:tc>
          <w:tcPr>
            <w:tcW w:w="840" w:type="dxa"/>
            <w:vAlign w:val="bottom"/>
          </w:tcPr>
          <w:p>
            <w:pPr>
              <w:jc w:val="right"/>
              <w:ind w:right="87"/>
              <w:spacing w:after="0"/>
              <w:rPr>
                <w:sz w:val="20"/>
                <w:szCs w:val="20"/>
                <w:color w:val="auto"/>
              </w:rPr>
            </w:pPr>
            <w:r>
              <w:rPr>
                <w:rFonts w:ascii="Arial" w:cs="Arial" w:eastAsia="Arial" w:hAnsi="Arial"/>
                <w:sz w:val="10"/>
                <w:szCs w:val="10"/>
                <w:b w:val="1"/>
                <w:bCs w:val="1"/>
                <w:color w:val="auto"/>
              </w:rPr>
              <w:t>of Shares</w:t>
            </w:r>
          </w:p>
        </w:tc>
        <w:tc>
          <w:tcPr>
            <w:tcW w:w="820" w:type="dxa"/>
            <w:vAlign w:val="bottom"/>
          </w:tcPr>
          <w:p>
            <w:pPr>
              <w:jc w:val="right"/>
              <w:ind w:right="87"/>
              <w:spacing w:after="0"/>
              <w:rPr>
                <w:sz w:val="20"/>
                <w:szCs w:val="20"/>
                <w:color w:val="auto"/>
              </w:rPr>
            </w:pPr>
            <w:r>
              <w:rPr>
                <w:rFonts w:ascii="Arial" w:cs="Arial" w:eastAsia="Arial" w:hAnsi="Arial"/>
                <w:sz w:val="10"/>
                <w:szCs w:val="10"/>
                <w:b w:val="1"/>
                <w:bCs w:val="1"/>
                <w:color w:val="auto"/>
              </w:rPr>
              <w:t>Securities</w:t>
            </w:r>
          </w:p>
        </w:tc>
        <w:tc>
          <w:tcPr>
            <w:tcW w:w="720" w:type="dxa"/>
            <w:vAlign w:val="bottom"/>
          </w:tcPr>
          <w:p>
            <w:pPr>
              <w:jc w:val="right"/>
              <w:ind w:right="87"/>
              <w:spacing w:after="0"/>
              <w:rPr>
                <w:sz w:val="20"/>
                <w:szCs w:val="20"/>
                <w:color w:val="auto"/>
              </w:rPr>
            </w:pPr>
            <w:r>
              <w:rPr>
                <w:rFonts w:ascii="Arial" w:cs="Arial" w:eastAsia="Arial" w:hAnsi="Arial"/>
                <w:sz w:val="10"/>
                <w:szCs w:val="10"/>
                <w:b w:val="1"/>
                <w:bCs w:val="1"/>
                <w:color w:val="auto"/>
              </w:rPr>
              <w:t>Price of</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of Stock</w:t>
            </w:r>
          </w:p>
        </w:tc>
        <w:tc>
          <w:tcPr>
            <w:tcW w:w="0" w:type="dxa"/>
            <w:vAlign w:val="bottom"/>
          </w:tcPr>
          <w:p>
            <w:pPr>
              <w:spacing w:after="0"/>
              <w:rPr>
                <w:sz w:val="1"/>
                <w:szCs w:val="1"/>
                <w:color w:val="auto"/>
              </w:rPr>
            </w:pPr>
          </w:p>
        </w:tc>
      </w:tr>
      <w:tr>
        <w:trPr>
          <w:trHeight w:val="46"/>
        </w:trPr>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Compensation</w:t>
            </w:r>
          </w:p>
        </w:tc>
        <w:tc>
          <w:tcPr>
            <w:tcW w:w="800" w:type="dxa"/>
            <w:vAlign w:val="bottom"/>
            <w:tcBorders>
              <w:bottom w:val="single" w:sz="8" w:color="1A3FD6"/>
            </w:tcBorders>
          </w:tcPr>
          <w:p>
            <w:pPr>
              <w:spacing w:after="0"/>
              <w:rPr>
                <w:sz w:val="3"/>
                <w:szCs w:val="3"/>
                <w:color w:val="auto"/>
              </w:rPr>
            </w:pPr>
          </w:p>
        </w:tc>
        <w:tc>
          <w:tcPr>
            <w:tcW w:w="1000" w:type="dxa"/>
            <w:vAlign w:val="bottom"/>
            <w:tcBorders>
              <w:bottom w:val="single" w:sz="8" w:color="1A3FD6"/>
            </w:tcBorders>
          </w:tcPr>
          <w:p>
            <w:pPr>
              <w:spacing w:after="0"/>
              <w:rPr>
                <w:sz w:val="3"/>
                <w:szCs w:val="3"/>
                <w:color w:val="auto"/>
              </w:rPr>
            </w:pPr>
          </w:p>
        </w:tc>
        <w:tc>
          <w:tcPr>
            <w:tcW w:w="620" w:type="dxa"/>
            <w:vAlign w:val="bottom"/>
            <w:tcBorders>
              <w:bottom w:val="single" w:sz="8" w:color="1A3FD6"/>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1A3FD6"/>
            </w:tcBorders>
          </w:tcPr>
          <w:p>
            <w:pPr>
              <w:spacing w:after="0"/>
              <w:rPr>
                <w:sz w:val="3"/>
                <w:szCs w:val="3"/>
                <w:color w:val="auto"/>
              </w:rPr>
            </w:pPr>
          </w:p>
        </w:tc>
        <w:tc>
          <w:tcPr>
            <w:tcW w:w="920" w:type="dxa"/>
            <w:vAlign w:val="bottom"/>
            <w:tcBorders>
              <w:bottom w:val="single" w:sz="8" w:color="1A3FD6"/>
            </w:tcBorders>
          </w:tcPr>
          <w:p>
            <w:pPr>
              <w:spacing w:after="0"/>
              <w:rPr>
                <w:sz w:val="3"/>
                <w:szCs w:val="3"/>
                <w:color w:val="auto"/>
              </w:rPr>
            </w:pPr>
          </w:p>
        </w:tc>
        <w:tc>
          <w:tcPr>
            <w:tcW w:w="480" w:type="dxa"/>
            <w:vAlign w:val="bottom"/>
            <w:tcBorders>
              <w:bottom w:val="single" w:sz="8" w:color="1A3FD6"/>
            </w:tcBorders>
          </w:tcPr>
          <w:p>
            <w:pPr>
              <w:spacing w:after="0"/>
              <w:rPr>
                <w:sz w:val="3"/>
                <w:szCs w:val="3"/>
                <w:color w:val="auto"/>
              </w:rPr>
            </w:pPr>
          </w:p>
        </w:tc>
        <w:tc>
          <w:tcPr>
            <w:tcW w:w="840" w:type="dxa"/>
            <w:vAlign w:val="bottom"/>
            <w:vMerge w:val="restart"/>
          </w:tcPr>
          <w:p>
            <w:pPr>
              <w:jc w:val="right"/>
              <w:ind w:right="87"/>
              <w:spacing w:after="0"/>
              <w:rPr>
                <w:sz w:val="20"/>
                <w:szCs w:val="20"/>
                <w:color w:val="auto"/>
              </w:rPr>
            </w:pPr>
            <w:r>
              <w:rPr>
                <w:rFonts w:ascii="Arial" w:cs="Arial" w:eastAsia="Arial" w:hAnsi="Arial"/>
                <w:sz w:val="10"/>
                <w:szCs w:val="10"/>
                <w:b w:val="1"/>
                <w:bCs w:val="1"/>
                <w:color w:val="auto"/>
              </w:rPr>
              <w:t>of Stock</w:t>
            </w:r>
          </w:p>
        </w:tc>
        <w:tc>
          <w:tcPr>
            <w:tcW w:w="820" w:type="dxa"/>
            <w:vAlign w:val="bottom"/>
            <w:vMerge w:val="restart"/>
          </w:tcPr>
          <w:p>
            <w:pPr>
              <w:jc w:val="right"/>
              <w:ind w:right="87"/>
              <w:spacing w:after="0"/>
              <w:rPr>
                <w:sz w:val="20"/>
                <w:szCs w:val="20"/>
                <w:color w:val="auto"/>
              </w:rPr>
            </w:pPr>
            <w:r>
              <w:rPr>
                <w:rFonts w:ascii="Arial" w:cs="Arial" w:eastAsia="Arial" w:hAnsi="Arial"/>
                <w:sz w:val="10"/>
                <w:szCs w:val="10"/>
                <w:b w:val="1"/>
                <w:bCs w:val="1"/>
                <w:color w:val="auto"/>
              </w:rPr>
              <w:t>Underlying</w:t>
            </w:r>
          </w:p>
        </w:tc>
        <w:tc>
          <w:tcPr>
            <w:tcW w:w="720" w:type="dxa"/>
            <w:vAlign w:val="bottom"/>
            <w:vMerge w:val="restart"/>
          </w:tcPr>
          <w:p>
            <w:pPr>
              <w:jc w:val="right"/>
              <w:ind w:right="87"/>
              <w:spacing w:after="0"/>
              <w:rPr>
                <w:sz w:val="20"/>
                <w:szCs w:val="20"/>
                <w:color w:val="auto"/>
              </w:rPr>
            </w:pPr>
            <w:r>
              <w:rPr>
                <w:rFonts w:ascii="Arial" w:cs="Arial" w:eastAsia="Arial" w:hAnsi="Arial"/>
                <w:sz w:val="10"/>
                <w:szCs w:val="10"/>
                <w:b w:val="1"/>
                <w:bCs w:val="1"/>
                <w:color w:val="auto"/>
              </w:rPr>
              <w:t>Option</w:t>
            </w: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and Option</w:t>
            </w:r>
          </w:p>
        </w:tc>
        <w:tc>
          <w:tcPr>
            <w:tcW w:w="0" w:type="dxa"/>
            <w:vAlign w:val="bottom"/>
          </w:tcPr>
          <w:p>
            <w:pPr>
              <w:spacing w:after="0"/>
              <w:rPr>
                <w:sz w:val="1"/>
                <w:szCs w:val="1"/>
                <w:color w:val="auto"/>
              </w:rPr>
            </w:pPr>
          </w:p>
        </w:tc>
      </w:tr>
      <w:tr>
        <w:trPr>
          <w:trHeight w:val="56"/>
        </w:trPr>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820" w:type="dxa"/>
            <w:vAlign w:val="bottom"/>
            <w:gridSpan w:val="2"/>
          </w:tcPr>
          <w:p>
            <w:pPr>
              <w:jc w:val="right"/>
              <w:ind w:right="105"/>
              <w:spacing w:after="0"/>
              <w:rPr>
                <w:sz w:val="20"/>
                <w:szCs w:val="20"/>
                <w:color w:val="auto"/>
              </w:rPr>
            </w:pPr>
            <w:r>
              <w:rPr>
                <w:rFonts w:ascii="Arial" w:cs="Arial" w:eastAsia="Arial" w:hAnsi="Arial"/>
                <w:sz w:val="10"/>
                <w:szCs w:val="10"/>
                <w:b w:val="1"/>
                <w:bCs w:val="1"/>
                <w:color w:val="auto"/>
              </w:rPr>
              <w:t>Type of</w:t>
            </w:r>
          </w:p>
        </w:tc>
        <w:tc>
          <w:tcPr>
            <w:tcW w:w="780" w:type="dxa"/>
            <w:vAlign w:val="bottom"/>
          </w:tcPr>
          <w:p>
            <w:pPr>
              <w:jc w:val="right"/>
              <w:ind w:right="106"/>
              <w:spacing w:after="0"/>
              <w:rPr>
                <w:sz w:val="20"/>
                <w:szCs w:val="20"/>
                <w:color w:val="auto"/>
              </w:rPr>
            </w:pPr>
            <w:r>
              <w:rPr>
                <w:rFonts w:ascii="Arial" w:cs="Arial" w:eastAsia="Arial" w:hAnsi="Arial"/>
                <w:sz w:val="10"/>
                <w:szCs w:val="10"/>
                <w:b w:val="1"/>
                <w:bCs w:val="1"/>
                <w:color w:val="auto"/>
              </w:rPr>
              <w:t>Grant</w:t>
            </w: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Committee</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Threshold</w:t>
            </w:r>
          </w:p>
        </w:tc>
        <w:tc>
          <w:tcPr>
            <w:tcW w:w="1000" w:type="dxa"/>
            <w:vAlign w:val="bottom"/>
          </w:tcPr>
          <w:p>
            <w:pPr>
              <w:jc w:val="right"/>
              <w:ind w:right="147"/>
              <w:spacing w:after="0"/>
              <w:rPr>
                <w:sz w:val="20"/>
                <w:szCs w:val="20"/>
                <w:color w:val="auto"/>
              </w:rPr>
            </w:pPr>
            <w:r>
              <w:rPr>
                <w:rFonts w:ascii="Arial" w:cs="Arial" w:eastAsia="Arial" w:hAnsi="Arial"/>
                <w:sz w:val="10"/>
                <w:szCs w:val="10"/>
                <w:b w:val="1"/>
                <w:bCs w:val="1"/>
                <w:color w:val="auto"/>
              </w:rPr>
              <w:t>Target</w:t>
            </w:r>
          </w:p>
        </w:tc>
        <w:tc>
          <w:tcPr>
            <w:tcW w:w="7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Maximum</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Threshold</w:t>
            </w:r>
          </w:p>
        </w:tc>
        <w:tc>
          <w:tcPr>
            <w:tcW w:w="920" w:type="dxa"/>
            <w:vAlign w:val="bottom"/>
          </w:tcPr>
          <w:p>
            <w:pPr>
              <w:jc w:val="right"/>
              <w:ind w:right="267"/>
              <w:spacing w:after="0"/>
              <w:rPr>
                <w:sz w:val="20"/>
                <w:szCs w:val="20"/>
                <w:color w:val="auto"/>
              </w:rPr>
            </w:pPr>
            <w:r>
              <w:rPr>
                <w:rFonts w:ascii="Arial" w:cs="Arial" w:eastAsia="Arial" w:hAnsi="Arial"/>
                <w:sz w:val="10"/>
                <w:szCs w:val="10"/>
                <w:b w:val="1"/>
                <w:bCs w:val="1"/>
                <w:color w:val="auto"/>
              </w:rPr>
              <w:t>Target</w:t>
            </w: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w w:val="95"/>
              </w:rPr>
              <w:t>Maximum</w:t>
            </w:r>
          </w:p>
        </w:tc>
        <w:tc>
          <w:tcPr>
            <w:tcW w:w="840" w:type="dxa"/>
            <w:vAlign w:val="bottom"/>
          </w:tcPr>
          <w:p>
            <w:pPr>
              <w:jc w:val="right"/>
              <w:ind w:right="87"/>
              <w:spacing w:after="0"/>
              <w:rPr>
                <w:sz w:val="20"/>
                <w:szCs w:val="20"/>
                <w:color w:val="auto"/>
              </w:rPr>
            </w:pPr>
            <w:r>
              <w:rPr>
                <w:rFonts w:ascii="Arial" w:cs="Arial" w:eastAsia="Arial" w:hAnsi="Arial"/>
                <w:sz w:val="10"/>
                <w:szCs w:val="10"/>
                <w:b w:val="1"/>
                <w:bCs w:val="1"/>
                <w:color w:val="auto"/>
              </w:rPr>
              <w:t>or Units</w:t>
            </w:r>
          </w:p>
        </w:tc>
        <w:tc>
          <w:tcPr>
            <w:tcW w:w="820" w:type="dxa"/>
            <w:vAlign w:val="bottom"/>
          </w:tcPr>
          <w:p>
            <w:pPr>
              <w:jc w:val="right"/>
              <w:ind w:right="87"/>
              <w:spacing w:after="0"/>
              <w:rPr>
                <w:sz w:val="20"/>
                <w:szCs w:val="20"/>
                <w:color w:val="auto"/>
              </w:rPr>
            </w:pPr>
            <w:r>
              <w:rPr>
                <w:rFonts w:ascii="Arial" w:cs="Arial" w:eastAsia="Arial" w:hAnsi="Arial"/>
                <w:sz w:val="10"/>
                <w:szCs w:val="10"/>
                <w:b w:val="1"/>
                <w:bCs w:val="1"/>
                <w:color w:val="auto"/>
              </w:rPr>
              <w:t>Options</w:t>
            </w:r>
          </w:p>
        </w:tc>
        <w:tc>
          <w:tcPr>
            <w:tcW w:w="720" w:type="dxa"/>
            <w:vAlign w:val="bottom"/>
          </w:tcPr>
          <w:p>
            <w:pPr>
              <w:jc w:val="right"/>
              <w:ind w:right="87"/>
              <w:spacing w:after="0"/>
              <w:rPr>
                <w:sz w:val="20"/>
                <w:szCs w:val="20"/>
                <w:color w:val="auto"/>
              </w:rPr>
            </w:pPr>
            <w:r>
              <w:rPr>
                <w:rFonts w:ascii="Arial" w:cs="Arial" w:eastAsia="Arial" w:hAnsi="Arial"/>
                <w:sz w:val="10"/>
                <w:szCs w:val="10"/>
                <w:b w:val="1"/>
                <w:bCs w:val="1"/>
                <w:color w:val="auto"/>
              </w:rPr>
              <w:t>Awards</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Awards</w:t>
            </w:r>
          </w:p>
        </w:tc>
        <w:tc>
          <w:tcPr>
            <w:tcW w:w="0" w:type="dxa"/>
            <w:vAlign w:val="bottom"/>
          </w:tcPr>
          <w:p>
            <w:pPr>
              <w:spacing w:after="0"/>
              <w:rPr>
                <w:sz w:val="1"/>
                <w:szCs w:val="1"/>
                <w:color w:val="auto"/>
              </w:rPr>
            </w:pPr>
          </w:p>
        </w:tc>
      </w:tr>
      <w:tr>
        <w:trPr>
          <w:trHeight w:val="167"/>
        </w:trPr>
        <w:tc>
          <w:tcPr>
            <w:tcW w:w="920" w:type="dxa"/>
            <w:vAlign w:val="bottom"/>
          </w:tcPr>
          <w:p>
            <w:pPr>
              <w:ind w:left="20"/>
              <w:spacing w:after="0"/>
              <w:rPr>
                <w:sz w:val="20"/>
                <w:szCs w:val="20"/>
                <w:color w:val="auto"/>
              </w:rPr>
            </w:pPr>
            <w:r>
              <w:rPr>
                <w:rFonts w:ascii="Arial" w:cs="Arial" w:eastAsia="Arial" w:hAnsi="Arial"/>
                <w:sz w:val="10"/>
                <w:szCs w:val="10"/>
                <w:b w:val="1"/>
                <w:bCs w:val="1"/>
                <w:color w:val="auto"/>
              </w:rPr>
              <w:t>Name</w:t>
            </w:r>
          </w:p>
        </w:tc>
        <w:tc>
          <w:tcPr>
            <w:tcW w:w="820" w:type="dxa"/>
            <w:vAlign w:val="bottom"/>
            <w:tcBorders>
              <w:bottom w:val="single" w:sz="8" w:color="1A3FD6"/>
            </w:tcBorders>
            <w:gridSpan w:val="2"/>
          </w:tcPr>
          <w:p>
            <w:pPr>
              <w:jc w:val="right"/>
              <w:ind w:right="105"/>
              <w:spacing w:after="0"/>
              <w:rPr>
                <w:sz w:val="20"/>
                <w:szCs w:val="20"/>
                <w:color w:val="auto"/>
              </w:rPr>
            </w:pPr>
            <w:r>
              <w:rPr>
                <w:rFonts w:ascii="Arial" w:cs="Arial" w:eastAsia="Arial" w:hAnsi="Arial"/>
                <w:sz w:val="10"/>
                <w:szCs w:val="10"/>
                <w:b w:val="1"/>
                <w:bCs w:val="1"/>
                <w:color w:val="auto"/>
              </w:rPr>
              <w:t>Award</w:t>
            </w:r>
          </w:p>
        </w:tc>
        <w:tc>
          <w:tcPr>
            <w:tcW w:w="780" w:type="dxa"/>
            <w:vAlign w:val="bottom"/>
            <w:tcBorders>
              <w:bottom w:val="single" w:sz="8" w:color="1A3FD6"/>
            </w:tcBorders>
          </w:tcPr>
          <w:p>
            <w:pPr>
              <w:jc w:val="right"/>
              <w:ind w:right="106"/>
              <w:spacing w:after="0"/>
              <w:rPr>
                <w:sz w:val="20"/>
                <w:szCs w:val="20"/>
                <w:color w:val="auto"/>
              </w:rPr>
            </w:pPr>
            <w:r>
              <w:rPr>
                <w:rFonts w:ascii="Arial" w:cs="Arial" w:eastAsia="Arial" w:hAnsi="Arial"/>
                <w:sz w:val="10"/>
                <w:szCs w:val="10"/>
                <w:b w:val="1"/>
                <w:bCs w:val="1"/>
                <w:color w:val="auto"/>
              </w:rPr>
              <w:t>Date</w:t>
            </w:r>
          </w:p>
        </w:tc>
        <w:tc>
          <w:tcPr>
            <w:tcW w:w="880" w:type="dxa"/>
            <w:vAlign w:val="bottom"/>
            <w:tcBorders>
              <w:bottom w:val="single" w:sz="8" w:color="1A3FD6"/>
            </w:tcBorders>
          </w:tcPr>
          <w:p>
            <w:pPr>
              <w:jc w:val="right"/>
              <w:spacing w:after="0"/>
              <w:rPr>
                <w:sz w:val="20"/>
                <w:szCs w:val="20"/>
                <w:color w:val="auto"/>
              </w:rPr>
            </w:pPr>
            <w:r>
              <w:rPr>
                <w:rFonts w:ascii="Arial" w:cs="Arial" w:eastAsia="Arial" w:hAnsi="Arial"/>
                <w:sz w:val="10"/>
                <w:szCs w:val="10"/>
                <w:b w:val="1"/>
                <w:bCs w:val="1"/>
                <w:color w:val="auto"/>
              </w:rPr>
              <w:t>Action Date</w:t>
            </w:r>
          </w:p>
        </w:tc>
        <w:tc>
          <w:tcPr>
            <w:tcW w:w="800" w:type="dxa"/>
            <w:vAlign w:val="bottom"/>
            <w:tcBorders>
              <w:bottom w:val="single" w:sz="8" w:color="1A3FD6"/>
            </w:tcBorders>
          </w:tcPr>
          <w:p>
            <w:pPr>
              <w:jc w:val="right"/>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1A3FD6"/>
            </w:tcBorders>
          </w:tcPr>
          <w:p>
            <w:pPr>
              <w:jc w:val="right"/>
              <w:ind w:right="147"/>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1A3FD6"/>
            </w:tcBorders>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1A3FD6"/>
            </w:tcBorders>
          </w:tcPr>
          <w:p>
            <w:pPr>
              <w:spacing w:after="0"/>
              <w:rPr>
                <w:sz w:val="14"/>
                <w:szCs w:val="14"/>
                <w:color w:val="auto"/>
              </w:rPr>
            </w:pPr>
          </w:p>
        </w:tc>
        <w:tc>
          <w:tcPr>
            <w:tcW w:w="780" w:type="dxa"/>
            <w:vAlign w:val="bottom"/>
            <w:tcBorders>
              <w:bottom w:val="single" w:sz="8" w:color="1A3FD6"/>
            </w:tcBorders>
          </w:tcPr>
          <w:p>
            <w:pPr>
              <w:jc w:val="right"/>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1A3FD6"/>
            </w:tcBorders>
          </w:tcPr>
          <w:p>
            <w:pPr>
              <w:jc w:val="right"/>
              <w:ind w:right="267"/>
              <w:spacing w:after="0"/>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1A3FD6"/>
            </w:tcBorders>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1A3FD6"/>
            </w:tcBorders>
          </w:tcPr>
          <w:p>
            <w:pPr>
              <w:jc w:val="right"/>
              <w:ind w:right="87"/>
              <w:spacing w:after="0"/>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1A3FD6"/>
            </w:tcBorders>
          </w:tcPr>
          <w:p>
            <w:pPr>
              <w:jc w:val="right"/>
              <w:ind w:right="87"/>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1A3FD6"/>
            </w:tcBorders>
          </w:tcPr>
          <w:p>
            <w:pPr>
              <w:jc w:val="right"/>
              <w:ind w:right="87"/>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1A3FD6"/>
            </w:tcBorders>
          </w:tcPr>
          <w:p>
            <w:pPr>
              <w:jc w:val="right"/>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(8)</w:t>
            </w:r>
          </w:p>
        </w:tc>
        <w:tc>
          <w:tcPr>
            <w:tcW w:w="0" w:type="dxa"/>
            <w:vAlign w:val="bottom"/>
          </w:tcPr>
          <w:p>
            <w:pPr>
              <w:spacing w:after="0"/>
              <w:rPr>
                <w:sz w:val="1"/>
                <w:szCs w:val="1"/>
                <w:color w:val="auto"/>
              </w:rPr>
            </w:pPr>
          </w:p>
        </w:tc>
      </w:tr>
      <w:tr>
        <w:trPr>
          <w:trHeight w:val="129"/>
        </w:trPr>
        <w:tc>
          <w:tcPr>
            <w:tcW w:w="920" w:type="dxa"/>
            <w:vAlign w:val="bottom"/>
          </w:tcPr>
          <w:p>
            <w:pPr>
              <w:ind w:left="20"/>
              <w:spacing w:after="0"/>
              <w:rPr>
                <w:sz w:val="20"/>
                <w:szCs w:val="20"/>
                <w:color w:val="auto"/>
              </w:rPr>
            </w:pPr>
            <w:r>
              <w:rPr>
                <w:rFonts w:ascii="Arial" w:cs="Arial" w:eastAsia="Arial" w:hAnsi="Arial"/>
                <w:sz w:val="11"/>
                <w:szCs w:val="11"/>
                <w:b w:val="1"/>
                <w:bCs w:val="1"/>
                <w:color w:val="1A3FD6"/>
              </w:rPr>
              <w:t>Henry A.</w:t>
            </w:r>
          </w:p>
        </w:tc>
        <w:tc>
          <w:tcPr>
            <w:tcW w:w="560" w:type="dxa"/>
            <w:vAlign w:val="bottom"/>
          </w:tcPr>
          <w:p>
            <w:pPr>
              <w:ind w:left="240"/>
              <w:spacing w:after="0"/>
              <w:rPr>
                <w:sz w:val="20"/>
                <w:szCs w:val="20"/>
                <w:color w:val="auto"/>
              </w:rPr>
            </w:pPr>
            <w:r>
              <w:rPr>
                <w:rFonts w:ascii="Arial" w:cs="Arial" w:eastAsia="Arial" w:hAnsi="Arial"/>
                <w:sz w:val="11"/>
                <w:szCs w:val="11"/>
                <w:color w:val="auto"/>
              </w:rPr>
              <w:t>AIP</w:t>
            </w:r>
          </w:p>
        </w:tc>
        <w:tc>
          <w:tcPr>
            <w:tcW w:w="260" w:type="dxa"/>
            <w:vAlign w:val="bottom"/>
          </w:tcPr>
          <w:p>
            <w:pPr>
              <w:spacing w:after="0"/>
              <w:rPr>
                <w:sz w:val="11"/>
                <w:szCs w:val="11"/>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87"/>
              <w:spacing w:after="0"/>
              <w:rPr>
                <w:sz w:val="20"/>
                <w:szCs w:val="20"/>
                <w:color w:val="auto"/>
              </w:rPr>
            </w:pPr>
            <w:r>
              <w:rPr>
                <w:rFonts w:ascii="Arial" w:cs="Arial" w:eastAsia="Arial" w:hAnsi="Arial"/>
                <w:sz w:val="11"/>
                <w:szCs w:val="11"/>
                <w:color w:val="auto"/>
              </w:rPr>
              <w:t>1,400,000</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2,100,000</w:t>
            </w:r>
          </w:p>
        </w:tc>
        <w:tc>
          <w:tcPr>
            <w:tcW w:w="100" w:type="dxa"/>
            <w:vAlign w:val="bottom"/>
          </w:tcPr>
          <w:p>
            <w:pPr>
              <w:spacing w:after="0"/>
              <w:rPr>
                <w:sz w:val="11"/>
                <w:szCs w:val="11"/>
                <w:color w:val="auto"/>
              </w:rPr>
            </w:pPr>
          </w:p>
        </w:tc>
        <w:tc>
          <w:tcPr>
            <w:tcW w:w="780" w:type="dxa"/>
            <w:vAlign w:val="bottom"/>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7"/>
        </w:trPr>
        <w:tc>
          <w:tcPr>
            <w:tcW w:w="920" w:type="dxa"/>
            <w:vAlign w:val="bottom"/>
            <w:vMerge w:val="restart"/>
          </w:tcPr>
          <w:p>
            <w:pPr>
              <w:ind w:left="20"/>
              <w:spacing w:after="0"/>
              <w:rPr>
                <w:sz w:val="20"/>
                <w:szCs w:val="20"/>
                <w:color w:val="auto"/>
              </w:rPr>
            </w:pPr>
            <w:r>
              <w:rPr>
                <w:rFonts w:ascii="Arial" w:cs="Arial" w:eastAsia="Arial" w:hAnsi="Arial"/>
                <w:sz w:val="11"/>
                <w:szCs w:val="11"/>
                <w:b w:val="1"/>
                <w:bCs w:val="1"/>
                <w:color w:val="1A3FD6"/>
              </w:rPr>
              <w:t>Fernandez</w:t>
            </w:r>
          </w:p>
        </w:tc>
        <w:tc>
          <w:tcPr>
            <w:tcW w:w="560" w:type="dxa"/>
            <w:vAlign w:val="bottom"/>
            <w:tcBorders>
              <w:bottom w:val="single" w:sz="8" w:color="E6E7E8"/>
            </w:tcBorders>
          </w:tcPr>
          <w:p>
            <w:pPr>
              <w:spacing w:after="0"/>
              <w:rPr>
                <w:sz w:val="5"/>
                <w:szCs w:val="5"/>
                <w:color w:val="auto"/>
              </w:rPr>
            </w:pPr>
          </w:p>
        </w:tc>
        <w:tc>
          <w:tcPr>
            <w:tcW w:w="260" w:type="dxa"/>
            <w:vAlign w:val="bottom"/>
            <w:tcBorders>
              <w:bottom w:val="single" w:sz="8" w:color="E6E7E8"/>
            </w:tcBorders>
          </w:tcPr>
          <w:p>
            <w:pPr>
              <w:spacing w:after="0"/>
              <w:rPr>
                <w:sz w:val="5"/>
                <w:szCs w:val="5"/>
                <w:color w:val="auto"/>
              </w:rPr>
            </w:pPr>
          </w:p>
        </w:tc>
        <w:tc>
          <w:tcPr>
            <w:tcW w:w="780" w:type="dxa"/>
            <w:vAlign w:val="bottom"/>
            <w:tcBorders>
              <w:bottom w:val="single" w:sz="8" w:color="E6E7E8"/>
            </w:tcBorders>
          </w:tcPr>
          <w:p>
            <w:pPr>
              <w:spacing w:after="0"/>
              <w:rPr>
                <w:sz w:val="5"/>
                <w:szCs w:val="5"/>
                <w:color w:val="auto"/>
              </w:rPr>
            </w:pPr>
          </w:p>
        </w:tc>
        <w:tc>
          <w:tcPr>
            <w:tcW w:w="880" w:type="dxa"/>
            <w:vAlign w:val="bottom"/>
            <w:tcBorders>
              <w:bottom w:val="single" w:sz="8" w:color="E6E7E8"/>
            </w:tcBorders>
          </w:tcPr>
          <w:p>
            <w:pPr>
              <w:spacing w:after="0"/>
              <w:rPr>
                <w:sz w:val="5"/>
                <w:szCs w:val="5"/>
                <w:color w:val="auto"/>
              </w:rPr>
            </w:pPr>
          </w:p>
        </w:tc>
        <w:tc>
          <w:tcPr>
            <w:tcW w:w="800" w:type="dxa"/>
            <w:vAlign w:val="bottom"/>
            <w:tcBorders>
              <w:bottom w:val="single" w:sz="8" w:color="E6E7E8"/>
            </w:tcBorders>
          </w:tcPr>
          <w:p>
            <w:pPr>
              <w:spacing w:after="0"/>
              <w:rPr>
                <w:sz w:val="5"/>
                <w:szCs w:val="5"/>
                <w:color w:val="auto"/>
              </w:rPr>
            </w:pPr>
          </w:p>
        </w:tc>
        <w:tc>
          <w:tcPr>
            <w:tcW w:w="1000" w:type="dxa"/>
            <w:vAlign w:val="bottom"/>
            <w:tcBorders>
              <w:bottom w:val="single" w:sz="8" w:color="E6E7E8"/>
            </w:tcBorders>
          </w:tcPr>
          <w:p>
            <w:pPr>
              <w:spacing w:after="0"/>
              <w:rPr>
                <w:sz w:val="5"/>
                <w:szCs w:val="5"/>
                <w:color w:val="auto"/>
              </w:rPr>
            </w:pPr>
          </w:p>
        </w:tc>
        <w:tc>
          <w:tcPr>
            <w:tcW w:w="620" w:type="dxa"/>
            <w:vAlign w:val="bottom"/>
            <w:tcBorders>
              <w:bottom w:val="single" w:sz="8" w:color="E6E7E8"/>
            </w:tcBorders>
          </w:tcPr>
          <w:p>
            <w:pPr>
              <w:spacing w:after="0"/>
              <w:rPr>
                <w:sz w:val="5"/>
                <w:szCs w:val="5"/>
                <w:color w:val="auto"/>
              </w:rPr>
            </w:pPr>
          </w:p>
        </w:tc>
        <w:tc>
          <w:tcPr>
            <w:tcW w:w="100" w:type="dxa"/>
            <w:vAlign w:val="bottom"/>
            <w:tcBorders>
              <w:bottom w:val="single" w:sz="8" w:color="E6E7E8"/>
            </w:tcBorders>
          </w:tcPr>
          <w:p>
            <w:pPr>
              <w:spacing w:after="0"/>
              <w:rPr>
                <w:sz w:val="5"/>
                <w:szCs w:val="5"/>
                <w:color w:val="auto"/>
              </w:rPr>
            </w:pPr>
          </w:p>
        </w:tc>
        <w:tc>
          <w:tcPr>
            <w:tcW w:w="780" w:type="dxa"/>
            <w:vAlign w:val="bottom"/>
            <w:tcBorders>
              <w:bottom w:val="single" w:sz="8" w:color="E6E7E8"/>
            </w:tcBorders>
          </w:tcPr>
          <w:p>
            <w:pPr>
              <w:spacing w:after="0"/>
              <w:rPr>
                <w:sz w:val="5"/>
                <w:szCs w:val="5"/>
                <w:color w:val="auto"/>
              </w:rPr>
            </w:pPr>
          </w:p>
        </w:tc>
        <w:tc>
          <w:tcPr>
            <w:tcW w:w="920" w:type="dxa"/>
            <w:vAlign w:val="bottom"/>
            <w:tcBorders>
              <w:bottom w:val="single" w:sz="8" w:color="E6E7E8"/>
            </w:tcBorders>
          </w:tcPr>
          <w:p>
            <w:pPr>
              <w:spacing w:after="0"/>
              <w:rPr>
                <w:sz w:val="5"/>
                <w:szCs w:val="5"/>
                <w:color w:val="auto"/>
              </w:rPr>
            </w:pPr>
          </w:p>
        </w:tc>
        <w:tc>
          <w:tcPr>
            <w:tcW w:w="480" w:type="dxa"/>
            <w:vAlign w:val="bottom"/>
            <w:tcBorders>
              <w:bottom w:val="single" w:sz="8" w:color="E6E7E8"/>
            </w:tcBorders>
          </w:tcPr>
          <w:p>
            <w:pPr>
              <w:spacing w:after="0"/>
              <w:rPr>
                <w:sz w:val="5"/>
                <w:szCs w:val="5"/>
                <w:color w:val="auto"/>
              </w:rPr>
            </w:pPr>
          </w:p>
        </w:tc>
        <w:tc>
          <w:tcPr>
            <w:tcW w:w="840" w:type="dxa"/>
            <w:vAlign w:val="bottom"/>
            <w:tcBorders>
              <w:bottom w:val="single" w:sz="8" w:color="E6E7E8"/>
            </w:tcBorders>
          </w:tcPr>
          <w:p>
            <w:pPr>
              <w:spacing w:after="0"/>
              <w:rPr>
                <w:sz w:val="5"/>
                <w:szCs w:val="5"/>
                <w:color w:val="auto"/>
              </w:rPr>
            </w:pPr>
          </w:p>
        </w:tc>
        <w:tc>
          <w:tcPr>
            <w:tcW w:w="820" w:type="dxa"/>
            <w:vAlign w:val="bottom"/>
            <w:tcBorders>
              <w:bottom w:val="single" w:sz="8" w:color="E6E7E8"/>
            </w:tcBorders>
          </w:tcPr>
          <w:p>
            <w:pPr>
              <w:spacing w:after="0"/>
              <w:rPr>
                <w:sz w:val="5"/>
                <w:szCs w:val="5"/>
                <w:color w:val="auto"/>
              </w:rPr>
            </w:pPr>
          </w:p>
        </w:tc>
        <w:tc>
          <w:tcPr>
            <w:tcW w:w="720" w:type="dxa"/>
            <w:vAlign w:val="bottom"/>
            <w:tcBorders>
              <w:bottom w:val="single" w:sz="8" w:color="E6E7E8"/>
            </w:tcBorders>
          </w:tcPr>
          <w:p>
            <w:pPr>
              <w:spacing w:after="0"/>
              <w:rPr>
                <w:sz w:val="5"/>
                <w:szCs w:val="5"/>
                <w:color w:val="auto"/>
              </w:rPr>
            </w:pPr>
          </w:p>
        </w:tc>
        <w:tc>
          <w:tcPr>
            <w:tcW w:w="760" w:type="dxa"/>
            <w:vAlign w:val="bottom"/>
            <w:tcBorders>
              <w:bottom w:val="single" w:sz="8" w:color="E6E7E8"/>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920" w:type="dxa"/>
            <w:vAlign w:val="bottom"/>
            <w:vMerge w:val="continue"/>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auto"/>
                <w:w w:val="96"/>
              </w:rPr>
              <w:t xml:space="preserve">PSU </w:t>
            </w:r>
            <w:r>
              <w:rPr>
                <w:rFonts w:ascii="Arial" w:cs="Arial" w:eastAsia="Arial" w:hAnsi="Arial"/>
                <w:sz w:val="14"/>
                <w:szCs w:val="14"/>
                <w:color w:val="auto"/>
                <w:w w:val="96"/>
                <w:vertAlign w:val="superscript"/>
              </w:rPr>
              <w:t>(5)</w:t>
            </w:r>
          </w:p>
        </w:tc>
        <w:tc>
          <w:tcPr>
            <w:tcW w:w="260" w:type="dxa"/>
            <w:vAlign w:val="bottom"/>
          </w:tcPr>
          <w:p>
            <w:pPr>
              <w:spacing w:after="0"/>
              <w:rPr>
                <w:sz w:val="5"/>
                <w:szCs w:val="5"/>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vMerge w:val="restart"/>
          </w:tcPr>
          <w:p>
            <w:pPr>
              <w:ind w:left="640"/>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center"/>
              <w:ind w:left="507"/>
              <w:spacing w:after="0"/>
              <w:rPr>
                <w:sz w:val="20"/>
                <w:szCs w:val="20"/>
                <w:color w:val="auto"/>
              </w:rPr>
            </w:pPr>
            <w:r>
              <w:rPr>
                <w:rFonts w:ascii="Arial" w:cs="Arial" w:eastAsia="Arial" w:hAnsi="Arial"/>
                <w:sz w:val="11"/>
                <w:szCs w:val="11"/>
                <w:color w:val="auto"/>
                <w:w w:val="97"/>
              </w:rPr>
              <w:t>808</w:t>
            </w:r>
          </w:p>
        </w:tc>
        <w:tc>
          <w:tcPr>
            <w:tcW w:w="920" w:type="dxa"/>
            <w:vAlign w:val="bottom"/>
            <w:vMerge w:val="restart"/>
          </w:tcPr>
          <w:p>
            <w:pPr>
              <w:jc w:val="right"/>
              <w:ind w:right="307"/>
              <w:spacing w:after="0"/>
              <w:rPr>
                <w:sz w:val="20"/>
                <w:szCs w:val="20"/>
                <w:color w:val="auto"/>
              </w:rPr>
            </w:pPr>
            <w:r>
              <w:rPr>
                <w:rFonts w:ascii="Arial" w:cs="Arial" w:eastAsia="Arial" w:hAnsi="Arial"/>
                <w:sz w:val="11"/>
                <w:szCs w:val="11"/>
                <w:color w:val="auto"/>
              </w:rPr>
              <w:t>8,086</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16,172</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4,380,024</w:t>
            </w: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560" w:type="dxa"/>
            <w:vAlign w:val="bottom"/>
            <w:tcBorders>
              <w:bottom w:val="single" w:sz="8" w:color="E6E7E8"/>
            </w:tcBorders>
            <w:vMerge w:val="continue"/>
          </w:tcPr>
          <w:p>
            <w:pPr>
              <w:spacing w:after="0"/>
              <w:rPr>
                <w:sz w:val="11"/>
                <w:szCs w:val="11"/>
                <w:color w:val="auto"/>
              </w:rPr>
            </w:pPr>
          </w:p>
        </w:tc>
        <w:tc>
          <w:tcPr>
            <w:tcW w:w="260" w:type="dxa"/>
            <w:vAlign w:val="bottom"/>
            <w:tcBorders>
              <w:bottom w:val="single" w:sz="8" w:color="E6E7E8"/>
            </w:tcBorders>
          </w:tcPr>
          <w:p>
            <w:pPr>
              <w:spacing w:after="0"/>
              <w:rPr>
                <w:sz w:val="11"/>
                <w:szCs w:val="11"/>
                <w:color w:val="auto"/>
              </w:rPr>
            </w:pPr>
          </w:p>
        </w:tc>
        <w:tc>
          <w:tcPr>
            <w:tcW w:w="780" w:type="dxa"/>
            <w:vAlign w:val="bottom"/>
            <w:tcBorders>
              <w:bottom w:val="single" w:sz="8" w:color="E6E7E8"/>
            </w:tcBorders>
            <w:vMerge w:val="continue"/>
          </w:tcPr>
          <w:p>
            <w:pPr>
              <w:spacing w:after="0"/>
              <w:rPr>
                <w:sz w:val="11"/>
                <w:szCs w:val="11"/>
                <w:color w:val="auto"/>
              </w:rPr>
            </w:pPr>
          </w:p>
        </w:tc>
        <w:tc>
          <w:tcPr>
            <w:tcW w:w="880" w:type="dxa"/>
            <w:vAlign w:val="bottom"/>
            <w:tcBorders>
              <w:bottom w:val="single" w:sz="8" w:color="E6E7E8"/>
            </w:tcBorders>
            <w:vMerge w:val="continue"/>
          </w:tcPr>
          <w:p>
            <w:pPr>
              <w:spacing w:after="0"/>
              <w:rPr>
                <w:sz w:val="11"/>
                <w:szCs w:val="11"/>
                <w:color w:val="auto"/>
              </w:rPr>
            </w:pPr>
          </w:p>
        </w:tc>
        <w:tc>
          <w:tcPr>
            <w:tcW w:w="800" w:type="dxa"/>
            <w:vAlign w:val="bottom"/>
            <w:tcBorders>
              <w:bottom w:val="single" w:sz="8" w:color="E6E7E8"/>
            </w:tcBorders>
            <w:vMerge w:val="continue"/>
          </w:tcPr>
          <w:p>
            <w:pPr>
              <w:spacing w:after="0"/>
              <w:rPr>
                <w:sz w:val="11"/>
                <w:szCs w:val="11"/>
                <w:color w:val="auto"/>
              </w:rPr>
            </w:pPr>
          </w:p>
        </w:tc>
        <w:tc>
          <w:tcPr>
            <w:tcW w:w="1000" w:type="dxa"/>
            <w:vAlign w:val="bottom"/>
            <w:tcBorders>
              <w:bottom w:val="single" w:sz="8" w:color="E6E7E8"/>
            </w:tcBorders>
            <w:vMerge w:val="continue"/>
          </w:tcPr>
          <w:p>
            <w:pPr>
              <w:spacing w:after="0"/>
              <w:rPr>
                <w:sz w:val="11"/>
                <w:szCs w:val="11"/>
                <w:color w:val="auto"/>
              </w:rPr>
            </w:pPr>
          </w:p>
        </w:tc>
        <w:tc>
          <w:tcPr>
            <w:tcW w:w="720" w:type="dxa"/>
            <w:vAlign w:val="bottom"/>
            <w:tcBorders>
              <w:bottom w:val="single" w:sz="8" w:color="E6E7E8"/>
            </w:tcBorders>
            <w:gridSpan w:val="2"/>
            <w:vMerge w:val="continue"/>
          </w:tcPr>
          <w:p>
            <w:pPr>
              <w:spacing w:after="0"/>
              <w:rPr>
                <w:sz w:val="11"/>
                <w:szCs w:val="11"/>
                <w:color w:val="auto"/>
              </w:rPr>
            </w:pPr>
          </w:p>
        </w:tc>
        <w:tc>
          <w:tcPr>
            <w:tcW w:w="780" w:type="dxa"/>
            <w:vAlign w:val="bottom"/>
            <w:tcBorders>
              <w:bottom w:val="single" w:sz="8" w:color="E6E7E8"/>
            </w:tcBorders>
            <w:vMerge w:val="continue"/>
          </w:tcPr>
          <w:p>
            <w:pPr>
              <w:spacing w:after="0"/>
              <w:rPr>
                <w:sz w:val="11"/>
                <w:szCs w:val="11"/>
                <w:color w:val="auto"/>
              </w:rPr>
            </w:pPr>
          </w:p>
        </w:tc>
        <w:tc>
          <w:tcPr>
            <w:tcW w:w="920" w:type="dxa"/>
            <w:vAlign w:val="bottom"/>
            <w:tcBorders>
              <w:bottom w:val="single" w:sz="8" w:color="E6E7E8"/>
            </w:tcBorders>
            <w:vMerge w:val="continue"/>
          </w:tcPr>
          <w:p>
            <w:pPr>
              <w:spacing w:after="0"/>
              <w:rPr>
                <w:sz w:val="11"/>
                <w:szCs w:val="11"/>
                <w:color w:val="auto"/>
              </w:rPr>
            </w:pPr>
          </w:p>
        </w:tc>
        <w:tc>
          <w:tcPr>
            <w:tcW w:w="480" w:type="dxa"/>
            <w:vAlign w:val="bottom"/>
            <w:tcBorders>
              <w:bottom w:val="single" w:sz="8" w:color="E6E7E8"/>
            </w:tcBorders>
            <w:vMerge w:val="continue"/>
          </w:tcPr>
          <w:p>
            <w:pPr>
              <w:spacing w:after="0"/>
              <w:rPr>
                <w:sz w:val="11"/>
                <w:szCs w:val="11"/>
                <w:color w:val="auto"/>
              </w:rPr>
            </w:pPr>
          </w:p>
        </w:tc>
        <w:tc>
          <w:tcPr>
            <w:tcW w:w="840" w:type="dxa"/>
            <w:vAlign w:val="bottom"/>
            <w:tcBorders>
              <w:bottom w:val="single" w:sz="8" w:color="E6E7E8"/>
            </w:tcBorders>
            <w:vMerge w:val="continue"/>
          </w:tcPr>
          <w:p>
            <w:pPr>
              <w:spacing w:after="0"/>
              <w:rPr>
                <w:sz w:val="11"/>
                <w:szCs w:val="11"/>
                <w:color w:val="auto"/>
              </w:rPr>
            </w:pPr>
          </w:p>
        </w:tc>
        <w:tc>
          <w:tcPr>
            <w:tcW w:w="820" w:type="dxa"/>
            <w:vAlign w:val="bottom"/>
            <w:tcBorders>
              <w:bottom w:val="single" w:sz="8" w:color="E6E7E8"/>
            </w:tcBorders>
            <w:vMerge w:val="continue"/>
          </w:tcPr>
          <w:p>
            <w:pPr>
              <w:spacing w:after="0"/>
              <w:rPr>
                <w:sz w:val="11"/>
                <w:szCs w:val="11"/>
                <w:color w:val="auto"/>
              </w:rPr>
            </w:pPr>
          </w:p>
        </w:tc>
        <w:tc>
          <w:tcPr>
            <w:tcW w:w="720" w:type="dxa"/>
            <w:vAlign w:val="bottom"/>
            <w:tcBorders>
              <w:bottom w:val="single" w:sz="8" w:color="E6E7E8"/>
            </w:tcBorders>
            <w:vMerge w:val="continue"/>
          </w:tcPr>
          <w:p>
            <w:pPr>
              <w:spacing w:after="0"/>
              <w:rPr>
                <w:sz w:val="11"/>
                <w:szCs w:val="11"/>
                <w:color w:val="auto"/>
              </w:rPr>
            </w:pPr>
          </w:p>
        </w:tc>
        <w:tc>
          <w:tcPr>
            <w:tcW w:w="760" w:type="dxa"/>
            <w:vAlign w:val="bottom"/>
            <w:tcBorders>
              <w:bottom w:val="single" w:sz="8" w:color="E6E7E8"/>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60" w:type="dxa"/>
            <w:vAlign w:val="bottom"/>
            <w:tcBorders>
              <w:bottom w:val="single" w:sz="8" w:color="E6E7E8"/>
            </w:tcBorders>
          </w:tcPr>
          <w:p>
            <w:pPr>
              <w:ind w:left="180"/>
              <w:spacing w:after="0"/>
              <w:rPr>
                <w:sz w:val="20"/>
                <w:szCs w:val="20"/>
                <w:color w:val="auto"/>
              </w:rPr>
            </w:pPr>
            <w:r>
              <w:rPr>
                <w:rFonts w:ascii="Arial" w:cs="Arial" w:eastAsia="Arial" w:hAnsi="Arial"/>
                <w:sz w:val="11"/>
                <w:szCs w:val="11"/>
                <w:color w:val="auto"/>
                <w:w w:val="95"/>
              </w:rPr>
              <w:t xml:space="preserve">PSO </w:t>
            </w:r>
            <w:r>
              <w:rPr>
                <w:rFonts w:ascii="Arial" w:cs="Arial" w:eastAsia="Arial" w:hAnsi="Arial"/>
                <w:sz w:val="14"/>
                <w:szCs w:val="14"/>
                <w:color w:val="auto"/>
                <w:w w:val="95"/>
                <w:vertAlign w:val="superscript"/>
              </w:rPr>
              <w:t>(6)</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11,452</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45,808</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91,616</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590.73</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10,220,222</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60" w:type="dxa"/>
            <w:vAlign w:val="bottom"/>
            <w:tcBorders>
              <w:bottom w:val="single" w:sz="8" w:color="E6E7E8"/>
            </w:tcBorders>
          </w:tcPr>
          <w:p>
            <w:pPr>
              <w:ind w:left="180"/>
              <w:spacing w:after="0" w:line="198" w:lineRule="exact"/>
              <w:rPr>
                <w:sz w:val="20"/>
                <w:szCs w:val="20"/>
                <w:color w:val="auto"/>
              </w:rPr>
            </w:pPr>
            <w:r>
              <w:rPr>
                <w:rFonts w:ascii="Arial" w:cs="Arial" w:eastAsia="Arial" w:hAnsi="Arial"/>
                <w:sz w:val="21"/>
                <w:szCs w:val="21"/>
                <w:color w:val="auto"/>
                <w:w w:val="89"/>
                <w:vertAlign w:val="subscript"/>
              </w:rPr>
              <w:t>PPO</w:t>
            </w:r>
            <w:r>
              <w:rPr>
                <w:rFonts w:ascii="Arial" w:cs="Arial" w:eastAsia="Arial" w:hAnsi="Arial"/>
                <w:sz w:val="7"/>
                <w:szCs w:val="7"/>
                <w:color w:val="auto"/>
                <w:w w:val="89"/>
              </w:rPr>
              <w:t xml:space="preserve"> (7)</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87"/>
              <w:spacing w:after="0"/>
              <w:rPr>
                <w:sz w:val="20"/>
                <w:szCs w:val="20"/>
                <w:color w:val="auto"/>
              </w:rPr>
            </w:pPr>
            <w:r>
              <w:rPr>
                <w:rFonts w:ascii="Arial" w:cs="Arial" w:eastAsia="Arial" w:hAnsi="Arial"/>
                <w:sz w:val="11"/>
                <w:szCs w:val="11"/>
                <w:color w:val="auto"/>
              </w:rPr>
              <w:t>36,846</w:t>
            </w:r>
          </w:p>
        </w:tc>
        <w:tc>
          <w:tcPr>
            <w:tcW w:w="720" w:type="dxa"/>
            <w:vAlign w:val="bottom"/>
            <w:tcBorders>
              <w:bottom w:val="single" w:sz="8" w:color="E6E7E8"/>
            </w:tcBorders>
          </w:tcPr>
          <w:p>
            <w:pPr>
              <w:jc w:val="right"/>
              <w:ind w:right="87"/>
              <w:spacing w:after="0"/>
              <w:rPr>
                <w:sz w:val="20"/>
                <w:szCs w:val="20"/>
                <w:color w:val="auto"/>
              </w:rPr>
            </w:pPr>
            <w:r>
              <w:rPr>
                <w:rFonts w:ascii="Arial" w:cs="Arial" w:eastAsia="Arial" w:hAnsi="Arial"/>
                <w:sz w:val="11"/>
                <w:szCs w:val="11"/>
                <w:color w:val="auto"/>
              </w:rPr>
              <w:t>1,000.00</w:t>
            </w:r>
          </w:p>
        </w:tc>
        <w:tc>
          <w:tcPr>
            <w:tcW w:w="76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5,000,002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60" w:type="dxa"/>
            <w:vAlign w:val="bottom"/>
            <w:tcBorders>
              <w:bottom w:val="single" w:sz="8" w:color="E6E7E8"/>
            </w:tcBorders>
          </w:tcPr>
          <w:p>
            <w:pPr>
              <w:ind w:left="180"/>
              <w:spacing w:after="0" w:line="196" w:lineRule="exact"/>
              <w:rPr>
                <w:sz w:val="20"/>
                <w:szCs w:val="20"/>
                <w:color w:val="auto"/>
              </w:rPr>
            </w:pPr>
            <w:r>
              <w:rPr>
                <w:rFonts w:ascii="Arial" w:cs="Arial" w:eastAsia="Arial" w:hAnsi="Arial"/>
                <w:sz w:val="21"/>
                <w:szCs w:val="21"/>
                <w:color w:val="auto"/>
                <w:w w:val="89"/>
                <w:vertAlign w:val="subscript"/>
              </w:rPr>
              <w:t>PPO</w:t>
            </w:r>
            <w:r>
              <w:rPr>
                <w:rFonts w:ascii="Arial" w:cs="Arial" w:eastAsia="Arial" w:hAnsi="Arial"/>
                <w:sz w:val="7"/>
                <w:szCs w:val="7"/>
                <w:color w:val="auto"/>
                <w:w w:val="89"/>
              </w:rPr>
              <w:t xml:space="preserve"> (7)</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87"/>
              <w:spacing w:after="0"/>
              <w:rPr>
                <w:sz w:val="20"/>
                <w:szCs w:val="20"/>
                <w:color w:val="auto"/>
              </w:rPr>
            </w:pPr>
            <w:r>
              <w:rPr>
                <w:rFonts w:ascii="Arial" w:cs="Arial" w:eastAsia="Arial" w:hAnsi="Arial"/>
                <w:sz w:val="11"/>
                <w:szCs w:val="11"/>
                <w:color w:val="auto"/>
              </w:rPr>
              <w:t>40,780</w:t>
            </w:r>
          </w:p>
        </w:tc>
        <w:tc>
          <w:tcPr>
            <w:tcW w:w="720" w:type="dxa"/>
            <w:vAlign w:val="bottom"/>
            <w:tcBorders>
              <w:bottom w:val="single" w:sz="8" w:color="E6E7E8"/>
            </w:tcBorders>
          </w:tcPr>
          <w:p>
            <w:pPr>
              <w:jc w:val="right"/>
              <w:ind w:right="87"/>
              <w:spacing w:after="0"/>
              <w:rPr>
                <w:sz w:val="20"/>
                <w:szCs w:val="20"/>
                <w:color w:val="auto"/>
              </w:rPr>
            </w:pPr>
            <w:r>
              <w:rPr>
                <w:rFonts w:ascii="Arial" w:cs="Arial" w:eastAsia="Arial" w:hAnsi="Arial"/>
                <w:sz w:val="11"/>
                <w:szCs w:val="11"/>
                <w:color w:val="auto"/>
              </w:rPr>
              <w:t>1,100.00</w:t>
            </w:r>
          </w:p>
        </w:tc>
        <w:tc>
          <w:tcPr>
            <w:tcW w:w="76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5,000,035</w:t>
            </w:r>
          </w:p>
        </w:tc>
        <w:tc>
          <w:tcPr>
            <w:tcW w:w="0" w:type="dxa"/>
            <w:vAlign w:val="bottom"/>
          </w:tcPr>
          <w:p>
            <w:pPr>
              <w:spacing w:after="0"/>
              <w:rPr>
                <w:sz w:val="1"/>
                <w:szCs w:val="1"/>
                <w:color w:val="auto"/>
              </w:rPr>
            </w:pPr>
          </w:p>
        </w:tc>
      </w:tr>
      <w:tr>
        <w:trPr>
          <w:trHeight w:val="194"/>
        </w:trPr>
        <w:tc>
          <w:tcPr>
            <w:tcW w:w="920" w:type="dxa"/>
            <w:vAlign w:val="bottom"/>
            <w:tcBorders>
              <w:bottom w:val="single" w:sz="8" w:color="E6E7E8"/>
            </w:tcBorders>
          </w:tcPr>
          <w:p>
            <w:pPr>
              <w:spacing w:after="0"/>
              <w:rPr>
                <w:sz w:val="16"/>
                <w:szCs w:val="16"/>
                <w:color w:val="auto"/>
              </w:rPr>
            </w:pPr>
          </w:p>
        </w:tc>
        <w:tc>
          <w:tcPr>
            <w:tcW w:w="560" w:type="dxa"/>
            <w:vAlign w:val="bottom"/>
            <w:tcBorders>
              <w:bottom w:val="single" w:sz="8" w:color="E6E7E8"/>
            </w:tcBorders>
          </w:tcPr>
          <w:p>
            <w:pPr>
              <w:ind w:left="180"/>
              <w:spacing w:after="0"/>
              <w:rPr>
                <w:sz w:val="20"/>
                <w:szCs w:val="20"/>
                <w:color w:val="auto"/>
              </w:rPr>
            </w:pPr>
            <w:r>
              <w:rPr>
                <w:rFonts w:ascii="Arial" w:cs="Arial" w:eastAsia="Arial" w:hAnsi="Arial"/>
                <w:sz w:val="11"/>
                <w:szCs w:val="11"/>
                <w:color w:val="auto"/>
                <w:w w:val="95"/>
              </w:rPr>
              <w:t xml:space="preserve">PPO </w:t>
            </w:r>
            <w:r>
              <w:rPr>
                <w:rFonts w:ascii="Arial" w:cs="Arial" w:eastAsia="Arial" w:hAnsi="Arial"/>
                <w:sz w:val="14"/>
                <w:szCs w:val="14"/>
                <w:color w:val="auto"/>
                <w:w w:val="95"/>
                <w:vertAlign w:val="superscript"/>
              </w:rPr>
              <w:t>(7)</w:t>
            </w:r>
          </w:p>
        </w:tc>
        <w:tc>
          <w:tcPr>
            <w:tcW w:w="260" w:type="dxa"/>
            <w:vAlign w:val="bottom"/>
            <w:tcBorders>
              <w:bottom w:val="single" w:sz="8" w:color="E6E7E8"/>
            </w:tcBorders>
          </w:tcPr>
          <w:p>
            <w:pPr>
              <w:spacing w:after="0"/>
              <w:rPr>
                <w:sz w:val="16"/>
                <w:szCs w:val="16"/>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87"/>
              <w:spacing w:after="0"/>
              <w:rPr>
                <w:sz w:val="20"/>
                <w:szCs w:val="20"/>
                <w:color w:val="auto"/>
              </w:rPr>
            </w:pPr>
            <w:r>
              <w:rPr>
                <w:rFonts w:ascii="Arial" w:cs="Arial" w:eastAsia="Arial" w:hAnsi="Arial"/>
                <w:sz w:val="11"/>
                <w:szCs w:val="11"/>
                <w:color w:val="auto"/>
              </w:rPr>
              <w:t>44,920</w:t>
            </w:r>
          </w:p>
        </w:tc>
        <w:tc>
          <w:tcPr>
            <w:tcW w:w="720" w:type="dxa"/>
            <w:vAlign w:val="bottom"/>
            <w:tcBorders>
              <w:bottom w:val="single" w:sz="8" w:color="E6E7E8"/>
            </w:tcBorders>
          </w:tcPr>
          <w:p>
            <w:pPr>
              <w:jc w:val="right"/>
              <w:ind w:right="87"/>
              <w:spacing w:after="0"/>
              <w:rPr>
                <w:sz w:val="20"/>
                <w:szCs w:val="20"/>
                <w:color w:val="auto"/>
              </w:rPr>
            </w:pPr>
            <w:r>
              <w:rPr>
                <w:rFonts w:ascii="Arial" w:cs="Arial" w:eastAsia="Arial" w:hAnsi="Arial"/>
                <w:sz w:val="11"/>
                <w:szCs w:val="11"/>
                <w:color w:val="auto"/>
              </w:rPr>
              <w:t>1,200.00</w:t>
            </w:r>
          </w:p>
        </w:tc>
        <w:tc>
          <w:tcPr>
            <w:tcW w:w="76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5,000,045</w:t>
            </w:r>
          </w:p>
        </w:tc>
        <w:tc>
          <w:tcPr>
            <w:tcW w:w="0" w:type="dxa"/>
            <w:vAlign w:val="bottom"/>
          </w:tcPr>
          <w:p>
            <w:pPr>
              <w:spacing w:after="0"/>
              <w:rPr>
                <w:sz w:val="1"/>
                <w:szCs w:val="1"/>
                <w:color w:val="auto"/>
              </w:rPr>
            </w:pPr>
          </w:p>
        </w:tc>
      </w:tr>
      <w:tr>
        <w:trPr>
          <w:trHeight w:val="144"/>
        </w:trPr>
        <w:tc>
          <w:tcPr>
            <w:tcW w:w="920" w:type="dxa"/>
            <w:vAlign w:val="bottom"/>
          </w:tcPr>
          <w:p>
            <w:pPr>
              <w:ind w:left="20"/>
              <w:spacing w:after="0"/>
              <w:rPr>
                <w:sz w:val="20"/>
                <w:szCs w:val="20"/>
                <w:color w:val="auto"/>
              </w:rPr>
            </w:pPr>
            <w:r>
              <w:rPr>
                <w:rFonts w:ascii="Arial" w:cs="Arial" w:eastAsia="Arial" w:hAnsi="Arial"/>
                <w:sz w:val="11"/>
                <w:szCs w:val="11"/>
                <w:b w:val="1"/>
                <w:bCs w:val="1"/>
                <w:color w:val="1A3FD6"/>
              </w:rPr>
              <w:t>Andrew C.</w:t>
            </w:r>
          </w:p>
        </w:tc>
        <w:tc>
          <w:tcPr>
            <w:tcW w:w="560" w:type="dxa"/>
            <w:vAlign w:val="bottom"/>
          </w:tcPr>
          <w:p>
            <w:pPr>
              <w:ind w:left="240"/>
              <w:spacing w:after="0"/>
              <w:rPr>
                <w:sz w:val="20"/>
                <w:szCs w:val="20"/>
                <w:color w:val="auto"/>
              </w:rPr>
            </w:pPr>
            <w:r>
              <w:rPr>
                <w:rFonts w:ascii="Arial" w:cs="Arial" w:eastAsia="Arial" w:hAnsi="Arial"/>
                <w:sz w:val="11"/>
                <w:szCs w:val="11"/>
                <w:color w:val="auto"/>
              </w:rPr>
              <w:t>AIP</w:t>
            </w:r>
          </w:p>
        </w:tc>
        <w:tc>
          <w:tcPr>
            <w:tcW w:w="260" w:type="dxa"/>
            <w:vAlign w:val="bottom"/>
          </w:tcPr>
          <w:p>
            <w:pPr>
              <w:spacing w:after="0"/>
              <w:rPr>
                <w:sz w:val="12"/>
                <w:szCs w:val="12"/>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87"/>
              <w:spacing w:after="0"/>
              <w:rPr>
                <w:sz w:val="20"/>
                <w:szCs w:val="20"/>
                <w:color w:val="auto"/>
              </w:rPr>
            </w:pPr>
            <w:r>
              <w:rPr>
                <w:rFonts w:ascii="Arial" w:cs="Arial" w:eastAsia="Arial" w:hAnsi="Arial"/>
                <w:sz w:val="11"/>
                <w:szCs w:val="11"/>
                <w:color w:val="auto"/>
              </w:rPr>
              <w:t>750,000</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1,125,000</w:t>
            </w:r>
          </w:p>
        </w:tc>
        <w:tc>
          <w:tcPr>
            <w:tcW w:w="100" w:type="dxa"/>
            <w:vAlign w:val="bottom"/>
          </w:tcPr>
          <w:p>
            <w:pPr>
              <w:spacing w:after="0"/>
              <w:rPr>
                <w:sz w:val="12"/>
                <w:szCs w:val="12"/>
                <w:color w:val="auto"/>
              </w:rPr>
            </w:pPr>
          </w:p>
        </w:tc>
        <w:tc>
          <w:tcPr>
            <w:tcW w:w="780" w:type="dxa"/>
            <w:vAlign w:val="bottom"/>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4"/>
        </w:trPr>
        <w:tc>
          <w:tcPr>
            <w:tcW w:w="920" w:type="dxa"/>
            <w:vAlign w:val="bottom"/>
            <w:vMerge w:val="restart"/>
          </w:tcPr>
          <w:p>
            <w:pPr>
              <w:ind w:left="20"/>
              <w:spacing w:after="0"/>
              <w:rPr>
                <w:sz w:val="20"/>
                <w:szCs w:val="20"/>
                <w:color w:val="auto"/>
              </w:rPr>
            </w:pPr>
            <w:r>
              <w:rPr>
                <w:rFonts w:ascii="Arial" w:cs="Arial" w:eastAsia="Arial" w:hAnsi="Arial"/>
                <w:sz w:val="11"/>
                <w:szCs w:val="11"/>
                <w:b w:val="1"/>
                <w:bCs w:val="1"/>
                <w:color w:val="1A3FD6"/>
              </w:rPr>
              <w:t>Wiechmann</w:t>
            </w:r>
          </w:p>
        </w:tc>
        <w:tc>
          <w:tcPr>
            <w:tcW w:w="560" w:type="dxa"/>
            <w:vAlign w:val="bottom"/>
            <w:tcBorders>
              <w:bottom w:val="single" w:sz="8" w:color="E6E7E8"/>
            </w:tcBorders>
          </w:tcPr>
          <w:p>
            <w:pPr>
              <w:spacing w:after="0"/>
              <w:rPr>
                <w:sz w:val="4"/>
                <w:szCs w:val="4"/>
                <w:color w:val="auto"/>
              </w:rPr>
            </w:pPr>
          </w:p>
        </w:tc>
        <w:tc>
          <w:tcPr>
            <w:tcW w:w="26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880" w:type="dxa"/>
            <w:vAlign w:val="bottom"/>
            <w:tcBorders>
              <w:bottom w:val="single" w:sz="8" w:color="E6E7E8"/>
            </w:tcBorders>
          </w:tcPr>
          <w:p>
            <w:pPr>
              <w:spacing w:after="0"/>
              <w:rPr>
                <w:sz w:val="4"/>
                <w:szCs w:val="4"/>
                <w:color w:val="auto"/>
              </w:rPr>
            </w:pPr>
          </w:p>
        </w:tc>
        <w:tc>
          <w:tcPr>
            <w:tcW w:w="800" w:type="dxa"/>
            <w:vAlign w:val="bottom"/>
            <w:tcBorders>
              <w:bottom w:val="single" w:sz="8" w:color="E6E7E8"/>
            </w:tcBorders>
          </w:tcPr>
          <w:p>
            <w:pPr>
              <w:spacing w:after="0"/>
              <w:rPr>
                <w:sz w:val="4"/>
                <w:szCs w:val="4"/>
                <w:color w:val="auto"/>
              </w:rPr>
            </w:pPr>
          </w:p>
        </w:tc>
        <w:tc>
          <w:tcPr>
            <w:tcW w:w="1000" w:type="dxa"/>
            <w:vAlign w:val="bottom"/>
            <w:tcBorders>
              <w:bottom w:val="single" w:sz="8" w:color="E6E7E8"/>
            </w:tcBorders>
          </w:tcPr>
          <w:p>
            <w:pPr>
              <w:spacing w:after="0"/>
              <w:rPr>
                <w:sz w:val="4"/>
                <w:szCs w:val="4"/>
                <w:color w:val="auto"/>
              </w:rPr>
            </w:pPr>
          </w:p>
        </w:tc>
        <w:tc>
          <w:tcPr>
            <w:tcW w:w="620" w:type="dxa"/>
            <w:vAlign w:val="bottom"/>
            <w:tcBorders>
              <w:bottom w:val="single" w:sz="8" w:color="E6E7E8"/>
            </w:tcBorders>
          </w:tcPr>
          <w:p>
            <w:pPr>
              <w:spacing w:after="0"/>
              <w:rPr>
                <w:sz w:val="4"/>
                <w:szCs w:val="4"/>
                <w:color w:val="auto"/>
              </w:rPr>
            </w:pPr>
          </w:p>
        </w:tc>
        <w:tc>
          <w:tcPr>
            <w:tcW w:w="10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920" w:type="dxa"/>
            <w:vAlign w:val="bottom"/>
            <w:tcBorders>
              <w:bottom w:val="single" w:sz="8" w:color="E6E7E8"/>
            </w:tcBorders>
          </w:tcPr>
          <w:p>
            <w:pPr>
              <w:spacing w:after="0"/>
              <w:rPr>
                <w:sz w:val="4"/>
                <w:szCs w:val="4"/>
                <w:color w:val="auto"/>
              </w:rPr>
            </w:pPr>
          </w:p>
        </w:tc>
        <w:tc>
          <w:tcPr>
            <w:tcW w:w="480" w:type="dxa"/>
            <w:vAlign w:val="bottom"/>
            <w:tcBorders>
              <w:bottom w:val="single" w:sz="8" w:color="E6E7E8"/>
            </w:tcBorders>
          </w:tcPr>
          <w:p>
            <w:pPr>
              <w:spacing w:after="0"/>
              <w:rPr>
                <w:sz w:val="4"/>
                <w:szCs w:val="4"/>
                <w:color w:val="auto"/>
              </w:rPr>
            </w:pPr>
          </w:p>
        </w:tc>
        <w:tc>
          <w:tcPr>
            <w:tcW w:w="840" w:type="dxa"/>
            <w:vAlign w:val="bottom"/>
            <w:tcBorders>
              <w:bottom w:val="single" w:sz="8" w:color="E6E7E8"/>
            </w:tcBorders>
          </w:tcPr>
          <w:p>
            <w:pPr>
              <w:spacing w:after="0"/>
              <w:rPr>
                <w:sz w:val="4"/>
                <w:szCs w:val="4"/>
                <w:color w:val="auto"/>
              </w:rPr>
            </w:pPr>
          </w:p>
        </w:tc>
        <w:tc>
          <w:tcPr>
            <w:tcW w:w="820" w:type="dxa"/>
            <w:vAlign w:val="bottom"/>
            <w:tcBorders>
              <w:bottom w:val="single" w:sz="8" w:color="E6E7E8"/>
            </w:tcBorders>
          </w:tcPr>
          <w:p>
            <w:pPr>
              <w:spacing w:after="0"/>
              <w:rPr>
                <w:sz w:val="4"/>
                <w:szCs w:val="4"/>
                <w:color w:val="auto"/>
              </w:rPr>
            </w:pPr>
          </w:p>
        </w:tc>
        <w:tc>
          <w:tcPr>
            <w:tcW w:w="720" w:type="dxa"/>
            <w:vAlign w:val="bottom"/>
            <w:tcBorders>
              <w:bottom w:val="single" w:sz="8" w:color="E6E7E8"/>
            </w:tcBorders>
          </w:tcPr>
          <w:p>
            <w:pPr>
              <w:spacing w:after="0"/>
              <w:rPr>
                <w:sz w:val="4"/>
                <w:szCs w:val="4"/>
                <w:color w:val="auto"/>
              </w:rPr>
            </w:pPr>
          </w:p>
        </w:tc>
        <w:tc>
          <w:tcPr>
            <w:tcW w:w="760" w:type="dxa"/>
            <w:vAlign w:val="bottom"/>
            <w:tcBorders>
              <w:bottom w:val="single" w:sz="8" w:color="E6E7E8"/>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920" w:type="dxa"/>
            <w:vAlign w:val="bottom"/>
            <w:vMerge w:val="continue"/>
          </w:tcPr>
          <w:p>
            <w:pPr>
              <w:spacing w:after="0"/>
              <w:rPr>
                <w:sz w:val="6"/>
                <w:szCs w:val="6"/>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auto"/>
                <w:w w:val="95"/>
              </w:rPr>
              <w:t xml:space="preserve">RSU </w:t>
            </w:r>
            <w:r>
              <w:rPr>
                <w:rFonts w:ascii="Arial" w:cs="Arial" w:eastAsia="Arial" w:hAnsi="Arial"/>
                <w:sz w:val="14"/>
                <w:szCs w:val="14"/>
                <w:color w:val="auto"/>
                <w:w w:val="95"/>
                <w:vertAlign w:val="superscript"/>
              </w:rPr>
              <w:t>(4)</w:t>
            </w:r>
          </w:p>
        </w:tc>
        <w:tc>
          <w:tcPr>
            <w:tcW w:w="260" w:type="dxa"/>
            <w:vAlign w:val="bottom"/>
          </w:tcPr>
          <w:p>
            <w:pPr>
              <w:spacing w:after="0"/>
              <w:rPr>
                <w:sz w:val="6"/>
                <w:szCs w:val="6"/>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vMerge w:val="restart"/>
          </w:tcPr>
          <w:p>
            <w:pPr>
              <w:ind w:left="640"/>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1,524</w:t>
            </w:r>
          </w:p>
        </w:tc>
        <w:tc>
          <w:tcPr>
            <w:tcW w:w="8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900,272</w:t>
            </w: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560" w:type="dxa"/>
            <w:vAlign w:val="bottom"/>
            <w:tcBorders>
              <w:bottom w:val="single" w:sz="8" w:color="E6E7E8"/>
            </w:tcBorders>
            <w:vMerge w:val="continue"/>
          </w:tcPr>
          <w:p>
            <w:pPr>
              <w:spacing w:after="0"/>
              <w:rPr>
                <w:sz w:val="10"/>
                <w:szCs w:val="10"/>
                <w:color w:val="auto"/>
              </w:rPr>
            </w:pPr>
          </w:p>
        </w:tc>
        <w:tc>
          <w:tcPr>
            <w:tcW w:w="260" w:type="dxa"/>
            <w:vAlign w:val="bottom"/>
            <w:tcBorders>
              <w:bottom w:val="single" w:sz="8" w:color="E6E7E8"/>
            </w:tcBorders>
          </w:tcPr>
          <w:p>
            <w:pPr>
              <w:spacing w:after="0"/>
              <w:rPr>
                <w:sz w:val="10"/>
                <w:szCs w:val="10"/>
                <w:color w:val="auto"/>
              </w:rPr>
            </w:pPr>
          </w:p>
        </w:tc>
        <w:tc>
          <w:tcPr>
            <w:tcW w:w="780" w:type="dxa"/>
            <w:vAlign w:val="bottom"/>
            <w:tcBorders>
              <w:bottom w:val="single" w:sz="8" w:color="E6E7E8"/>
            </w:tcBorders>
            <w:vMerge w:val="continue"/>
          </w:tcPr>
          <w:p>
            <w:pPr>
              <w:spacing w:after="0"/>
              <w:rPr>
                <w:sz w:val="10"/>
                <w:szCs w:val="10"/>
                <w:color w:val="auto"/>
              </w:rPr>
            </w:pPr>
          </w:p>
        </w:tc>
        <w:tc>
          <w:tcPr>
            <w:tcW w:w="880" w:type="dxa"/>
            <w:vAlign w:val="bottom"/>
            <w:tcBorders>
              <w:bottom w:val="single" w:sz="8" w:color="E6E7E8"/>
            </w:tcBorders>
            <w:vMerge w:val="continue"/>
          </w:tcPr>
          <w:p>
            <w:pPr>
              <w:spacing w:after="0"/>
              <w:rPr>
                <w:sz w:val="10"/>
                <w:szCs w:val="10"/>
                <w:color w:val="auto"/>
              </w:rPr>
            </w:pPr>
          </w:p>
        </w:tc>
        <w:tc>
          <w:tcPr>
            <w:tcW w:w="800" w:type="dxa"/>
            <w:vAlign w:val="bottom"/>
            <w:tcBorders>
              <w:bottom w:val="single" w:sz="8" w:color="E6E7E8"/>
            </w:tcBorders>
            <w:vMerge w:val="continue"/>
          </w:tcPr>
          <w:p>
            <w:pPr>
              <w:spacing w:after="0"/>
              <w:rPr>
                <w:sz w:val="10"/>
                <w:szCs w:val="10"/>
                <w:color w:val="auto"/>
              </w:rPr>
            </w:pPr>
          </w:p>
        </w:tc>
        <w:tc>
          <w:tcPr>
            <w:tcW w:w="1000" w:type="dxa"/>
            <w:vAlign w:val="bottom"/>
            <w:tcBorders>
              <w:bottom w:val="single" w:sz="8" w:color="E6E7E8"/>
            </w:tcBorders>
            <w:vMerge w:val="continue"/>
          </w:tcPr>
          <w:p>
            <w:pPr>
              <w:spacing w:after="0"/>
              <w:rPr>
                <w:sz w:val="10"/>
                <w:szCs w:val="10"/>
                <w:color w:val="auto"/>
              </w:rPr>
            </w:pPr>
          </w:p>
        </w:tc>
        <w:tc>
          <w:tcPr>
            <w:tcW w:w="720" w:type="dxa"/>
            <w:vAlign w:val="bottom"/>
            <w:tcBorders>
              <w:bottom w:val="single" w:sz="8" w:color="E6E7E8"/>
            </w:tcBorders>
            <w:gridSpan w:val="2"/>
            <w:vMerge w:val="continue"/>
          </w:tcPr>
          <w:p>
            <w:pPr>
              <w:spacing w:after="0"/>
              <w:rPr>
                <w:sz w:val="10"/>
                <w:szCs w:val="10"/>
                <w:color w:val="auto"/>
              </w:rPr>
            </w:pPr>
          </w:p>
        </w:tc>
        <w:tc>
          <w:tcPr>
            <w:tcW w:w="780" w:type="dxa"/>
            <w:vAlign w:val="bottom"/>
            <w:tcBorders>
              <w:bottom w:val="single" w:sz="8" w:color="E6E7E8"/>
            </w:tcBorders>
            <w:vMerge w:val="continue"/>
          </w:tcPr>
          <w:p>
            <w:pPr>
              <w:spacing w:after="0"/>
              <w:rPr>
                <w:sz w:val="10"/>
                <w:szCs w:val="10"/>
                <w:color w:val="auto"/>
              </w:rPr>
            </w:pPr>
          </w:p>
        </w:tc>
        <w:tc>
          <w:tcPr>
            <w:tcW w:w="920" w:type="dxa"/>
            <w:vAlign w:val="bottom"/>
            <w:tcBorders>
              <w:bottom w:val="single" w:sz="8" w:color="E6E7E8"/>
            </w:tcBorders>
            <w:vMerge w:val="continue"/>
          </w:tcPr>
          <w:p>
            <w:pPr>
              <w:spacing w:after="0"/>
              <w:rPr>
                <w:sz w:val="10"/>
                <w:szCs w:val="10"/>
                <w:color w:val="auto"/>
              </w:rPr>
            </w:pPr>
          </w:p>
        </w:tc>
        <w:tc>
          <w:tcPr>
            <w:tcW w:w="480" w:type="dxa"/>
            <w:vAlign w:val="bottom"/>
            <w:tcBorders>
              <w:bottom w:val="single" w:sz="8" w:color="E6E7E8"/>
            </w:tcBorders>
            <w:vMerge w:val="continue"/>
          </w:tcPr>
          <w:p>
            <w:pPr>
              <w:spacing w:after="0"/>
              <w:rPr>
                <w:sz w:val="10"/>
                <w:szCs w:val="10"/>
                <w:color w:val="auto"/>
              </w:rPr>
            </w:pPr>
          </w:p>
        </w:tc>
        <w:tc>
          <w:tcPr>
            <w:tcW w:w="840" w:type="dxa"/>
            <w:vAlign w:val="bottom"/>
            <w:tcBorders>
              <w:bottom w:val="single" w:sz="8" w:color="E6E7E8"/>
            </w:tcBorders>
            <w:vMerge w:val="continue"/>
          </w:tcPr>
          <w:p>
            <w:pPr>
              <w:spacing w:after="0"/>
              <w:rPr>
                <w:sz w:val="10"/>
                <w:szCs w:val="10"/>
                <w:color w:val="auto"/>
              </w:rPr>
            </w:pPr>
          </w:p>
        </w:tc>
        <w:tc>
          <w:tcPr>
            <w:tcW w:w="820" w:type="dxa"/>
            <w:vAlign w:val="bottom"/>
            <w:tcBorders>
              <w:bottom w:val="single" w:sz="8" w:color="E6E7E8"/>
            </w:tcBorders>
            <w:vMerge w:val="continue"/>
          </w:tcPr>
          <w:p>
            <w:pPr>
              <w:spacing w:after="0"/>
              <w:rPr>
                <w:sz w:val="10"/>
                <w:szCs w:val="10"/>
                <w:color w:val="auto"/>
              </w:rPr>
            </w:pPr>
          </w:p>
        </w:tc>
        <w:tc>
          <w:tcPr>
            <w:tcW w:w="720" w:type="dxa"/>
            <w:vAlign w:val="bottom"/>
            <w:tcBorders>
              <w:bottom w:val="single" w:sz="8" w:color="E6E7E8"/>
            </w:tcBorders>
            <w:vMerge w:val="continue"/>
          </w:tcPr>
          <w:p>
            <w:pPr>
              <w:spacing w:after="0"/>
              <w:rPr>
                <w:sz w:val="10"/>
                <w:szCs w:val="10"/>
                <w:color w:val="auto"/>
              </w:rPr>
            </w:pPr>
          </w:p>
        </w:tc>
        <w:tc>
          <w:tcPr>
            <w:tcW w:w="760" w:type="dxa"/>
            <w:vAlign w:val="bottom"/>
            <w:tcBorders>
              <w:bottom w:val="single" w:sz="8" w:color="E6E7E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60" w:type="dxa"/>
            <w:vAlign w:val="bottom"/>
            <w:tcBorders>
              <w:bottom w:val="single" w:sz="8" w:color="E6E7E8"/>
            </w:tcBorders>
          </w:tcPr>
          <w:p>
            <w:pPr>
              <w:ind w:left="180"/>
              <w:spacing w:after="0" w:line="198" w:lineRule="exact"/>
              <w:rPr>
                <w:sz w:val="20"/>
                <w:szCs w:val="20"/>
                <w:color w:val="auto"/>
              </w:rPr>
            </w:pPr>
            <w:r>
              <w:rPr>
                <w:rFonts w:ascii="Arial" w:cs="Arial" w:eastAsia="Arial" w:hAnsi="Arial"/>
                <w:sz w:val="21"/>
                <w:szCs w:val="21"/>
                <w:color w:val="auto"/>
                <w:w w:val="91"/>
                <w:vertAlign w:val="subscript"/>
              </w:rPr>
              <w:t>PSU</w:t>
            </w:r>
            <w:r>
              <w:rPr>
                <w:rFonts w:ascii="Arial" w:cs="Arial" w:eastAsia="Arial" w:hAnsi="Arial"/>
                <w:sz w:val="7"/>
                <w:szCs w:val="7"/>
                <w:color w:val="auto"/>
                <w:w w:val="91"/>
              </w:rPr>
              <w:t xml:space="preserve"> (5)</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507"/>
              <w:spacing w:after="0"/>
              <w:rPr>
                <w:sz w:val="20"/>
                <w:szCs w:val="20"/>
                <w:color w:val="auto"/>
              </w:rPr>
            </w:pPr>
            <w:r>
              <w:rPr>
                <w:rFonts w:ascii="Arial" w:cs="Arial" w:eastAsia="Arial" w:hAnsi="Arial"/>
                <w:sz w:val="11"/>
                <w:szCs w:val="11"/>
                <w:color w:val="auto"/>
                <w:w w:val="97"/>
              </w:rPr>
              <w:t>166</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1,662</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3,324</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900,272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E6E7E8"/>
            </w:tcBorders>
          </w:tcPr>
          <w:p>
            <w:pPr>
              <w:spacing w:after="0"/>
              <w:rPr>
                <w:sz w:val="17"/>
                <w:szCs w:val="17"/>
                <w:color w:val="auto"/>
              </w:rPr>
            </w:pPr>
          </w:p>
        </w:tc>
        <w:tc>
          <w:tcPr>
            <w:tcW w:w="560" w:type="dxa"/>
            <w:vAlign w:val="bottom"/>
            <w:tcBorders>
              <w:bottom w:val="single" w:sz="8" w:color="E6E7E8"/>
            </w:tcBorders>
          </w:tcPr>
          <w:p>
            <w:pPr>
              <w:ind w:left="180"/>
              <w:spacing w:after="0" w:line="196" w:lineRule="exact"/>
              <w:rPr>
                <w:sz w:val="20"/>
                <w:szCs w:val="20"/>
                <w:color w:val="auto"/>
              </w:rPr>
            </w:pPr>
            <w:r>
              <w:rPr>
                <w:rFonts w:ascii="Arial" w:cs="Arial" w:eastAsia="Arial" w:hAnsi="Arial"/>
                <w:sz w:val="21"/>
                <w:szCs w:val="21"/>
                <w:color w:val="auto"/>
                <w:w w:val="89"/>
                <w:vertAlign w:val="subscript"/>
              </w:rPr>
              <w:t>PSO</w:t>
            </w:r>
            <w:r>
              <w:rPr>
                <w:rFonts w:ascii="Arial" w:cs="Arial" w:eastAsia="Arial" w:hAnsi="Arial"/>
                <w:sz w:val="7"/>
                <w:szCs w:val="7"/>
                <w:color w:val="auto"/>
                <w:w w:val="89"/>
              </w:rPr>
              <w:t xml:space="preserve"> (6)</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1,344</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5,379</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10,758</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590.73</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1,200,108</w:t>
            </w:r>
          </w:p>
        </w:tc>
        <w:tc>
          <w:tcPr>
            <w:tcW w:w="0" w:type="dxa"/>
            <w:vAlign w:val="bottom"/>
          </w:tcPr>
          <w:p>
            <w:pPr>
              <w:spacing w:after="0"/>
              <w:rPr>
                <w:sz w:val="1"/>
                <w:szCs w:val="1"/>
                <w:color w:val="auto"/>
              </w:rPr>
            </w:pPr>
          </w:p>
        </w:tc>
      </w:tr>
      <w:tr>
        <w:trPr>
          <w:trHeight w:val="140"/>
        </w:trPr>
        <w:tc>
          <w:tcPr>
            <w:tcW w:w="920" w:type="dxa"/>
            <w:vAlign w:val="bottom"/>
          </w:tcPr>
          <w:p>
            <w:pPr>
              <w:ind w:left="20"/>
              <w:spacing w:after="0"/>
              <w:rPr>
                <w:sz w:val="20"/>
                <w:szCs w:val="20"/>
                <w:color w:val="auto"/>
              </w:rPr>
            </w:pPr>
            <w:r>
              <w:rPr>
                <w:rFonts w:ascii="Arial" w:cs="Arial" w:eastAsia="Arial" w:hAnsi="Arial"/>
                <w:sz w:val="11"/>
                <w:szCs w:val="11"/>
                <w:b w:val="1"/>
                <w:bCs w:val="1"/>
                <w:color w:val="1A3FD6"/>
              </w:rPr>
              <w:t>C.D. Baer</w:t>
            </w:r>
          </w:p>
        </w:tc>
        <w:tc>
          <w:tcPr>
            <w:tcW w:w="560" w:type="dxa"/>
            <w:vAlign w:val="bottom"/>
          </w:tcPr>
          <w:p>
            <w:pPr>
              <w:ind w:left="240"/>
              <w:spacing w:after="0"/>
              <w:rPr>
                <w:sz w:val="20"/>
                <w:szCs w:val="20"/>
                <w:color w:val="auto"/>
              </w:rPr>
            </w:pPr>
            <w:r>
              <w:rPr>
                <w:rFonts w:ascii="Arial" w:cs="Arial" w:eastAsia="Arial" w:hAnsi="Arial"/>
                <w:sz w:val="11"/>
                <w:szCs w:val="11"/>
                <w:color w:val="auto"/>
              </w:rPr>
              <w:t>AIP</w:t>
            </w:r>
          </w:p>
        </w:tc>
        <w:tc>
          <w:tcPr>
            <w:tcW w:w="260" w:type="dxa"/>
            <w:vAlign w:val="bottom"/>
          </w:tcPr>
          <w:p>
            <w:pPr>
              <w:spacing w:after="0"/>
              <w:rPr>
                <w:sz w:val="12"/>
                <w:szCs w:val="12"/>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87"/>
              <w:spacing w:after="0"/>
              <w:rPr>
                <w:sz w:val="20"/>
                <w:szCs w:val="20"/>
                <w:color w:val="auto"/>
              </w:rPr>
            </w:pPr>
            <w:r>
              <w:rPr>
                <w:rFonts w:ascii="Arial" w:cs="Arial" w:eastAsia="Arial" w:hAnsi="Arial"/>
                <w:sz w:val="11"/>
                <w:szCs w:val="11"/>
                <w:color w:val="auto"/>
              </w:rPr>
              <w:t>1,186,555</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1,779,832</w:t>
            </w:r>
          </w:p>
        </w:tc>
        <w:tc>
          <w:tcPr>
            <w:tcW w:w="100" w:type="dxa"/>
            <w:vAlign w:val="bottom"/>
          </w:tcPr>
          <w:p>
            <w:pPr>
              <w:spacing w:after="0"/>
              <w:rPr>
                <w:sz w:val="12"/>
                <w:szCs w:val="12"/>
                <w:color w:val="auto"/>
              </w:rPr>
            </w:pPr>
          </w:p>
        </w:tc>
        <w:tc>
          <w:tcPr>
            <w:tcW w:w="780" w:type="dxa"/>
            <w:vAlign w:val="bottom"/>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6"/>
        </w:trPr>
        <w:tc>
          <w:tcPr>
            <w:tcW w:w="920" w:type="dxa"/>
            <w:vAlign w:val="bottom"/>
            <w:vMerge w:val="restart"/>
          </w:tcPr>
          <w:p>
            <w:pPr>
              <w:ind w:left="20"/>
              <w:spacing w:after="0"/>
              <w:rPr>
                <w:sz w:val="20"/>
                <w:szCs w:val="20"/>
                <w:color w:val="auto"/>
              </w:rPr>
            </w:pPr>
            <w:r>
              <w:rPr>
                <w:rFonts w:ascii="Arial" w:cs="Arial" w:eastAsia="Arial" w:hAnsi="Arial"/>
                <w:sz w:val="11"/>
                <w:szCs w:val="11"/>
                <w:b w:val="1"/>
                <w:bCs w:val="1"/>
                <w:color w:val="1A3FD6"/>
              </w:rPr>
              <w:t>Pettit</w:t>
            </w:r>
            <w:r>
              <w:rPr>
                <w:rFonts w:ascii="Arial" w:cs="Arial" w:eastAsia="Arial" w:hAnsi="Arial"/>
                <w:sz w:val="14"/>
                <w:szCs w:val="14"/>
                <w:b w:val="1"/>
                <w:bCs w:val="1"/>
                <w:color w:val="1A3FD6"/>
                <w:vertAlign w:val="superscript"/>
              </w:rPr>
              <w:t>(2)</w:t>
            </w:r>
          </w:p>
        </w:tc>
        <w:tc>
          <w:tcPr>
            <w:tcW w:w="560" w:type="dxa"/>
            <w:vAlign w:val="bottom"/>
            <w:tcBorders>
              <w:bottom w:val="single" w:sz="8" w:color="E6E7E8"/>
            </w:tcBorders>
          </w:tcPr>
          <w:p>
            <w:pPr>
              <w:spacing w:after="0"/>
              <w:rPr>
                <w:sz w:val="4"/>
                <w:szCs w:val="4"/>
                <w:color w:val="auto"/>
              </w:rPr>
            </w:pPr>
          </w:p>
        </w:tc>
        <w:tc>
          <w:tcPr>
            <w:tcW w:w="26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880" w:type="dxa"/>
            <w:vAlign w:val="bottom"/>
            <w:tcBorders>
              <w:bottom w:val="single" w:sz="8" w:color="E6E7E8"/>
            </w:tcBorders>
          </w:tcPr>
          <w:p>
            <w:pPr>
              <w:spacing w:after="0"/>
              <w:rPr>
                <w:sz w:val="4"/>
                <w:szCs w:val="4"/>
                <w:color w:val="auto"/>
              </w:rPr>
            </w:pPr>
          </w:p>
        </w:tc>
        <w:tc>
          <w:tcPr>
            <w:tcW w:w="800" w:type="dxa"/>
            <w:vAlign w:val="bottom"/>
            <w:tcBorders>
              <w:bottom w:val="single" w:sz="8" w:color="E6E7E8"/>
            </w:tcBorders>
          </w:tcPr>
          <w:p>
            <w:pPr>
              <w:spacing w:after="0"/>
              <w:rPr>
                <w:sz w:val="4"/>
                <w:szCs w:val="4"/>
                <w:color w:val="auto"/>
              </w:rPr>
            </w:pPr>
          </w:p>
        </w:tc>
        <w:tc>
          <w:tcPr>
            <w:tcW w:w="1000" w:type="dxa"/>
            <w:vAlign w:val="bottom"/>
            <w:tcBorders>
              <w:bottom w:val="single" w:sz="8" w:color="E6E7E8"/>
            </w:tcBorders>
          </w:tcPr>
          <w:p>
            <w:pPr>
              <w:spacing w:after="0"/>
              <w:rPr>
                <w:sz w:val="4"/>
                <w:szCs w:val="4"/>
                <w:color w:val="auto"/>
              </w:rPr>
            </w:pPr>
          </w:p>
        </w:tc>
        <w:tc>
          <w:tcPr>
            <w:tcW w:w="620" w:type="dxa"/>
            <w:vAlign w:val="bottom"/>
            <w:tcBorders>
              <w:bottom w:val="single" w:sz="8" w:color="E6E7E8"/>
            </w:tcBorders>
          </w:tcPr>
          <w:p>
            <w:pPr>
              <w:spacing w:after="0"/>
              <w:rPr>
                <w:sz w:val="4"/>
                <w:szCs w:val="4"/>
                <w:color w:val="auto"/>
              </w:rPr>
            </w:pPr>
          </w:p>
        </w:tc>
        <w:tc>
          <w:tcPr>
            <w:tcW w:w="10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920" w:type="dxa"/>
            <w:vAlign w:val="bottom"/>
            <w:tcBorders>
              <w:bottom w:val="single" w:sz="8" w:color="E6E7E8"/>
            </w:tcBorders>
          </w:tcPr>
          <w:p>
            <w:pPr>
              <w:spacing w:after="0"/>
              <w:rPr>
                <w:sz w:val="4"/>
                <w:szCs w:val="4"/>
                <w:color w:val="auto"/>
              </w:rPr>
            </w:pPr>
          </w:p>
        </w:tc>
        <w:tc>
          <w:tcPr>
            <w:tcW w:w="480" w:type="dxa"/>
            <w:vAlign w:val="bottom"/>
            <w:tcBorders>
              <w:bottom w:val="single" w:sz="8" w:color="E6E7E8"/>
            </w:tcBorders>
          </w:tcPr>
          <w:p>
            <w:pPr>
              <w:spacing w:after="0"/>
              <w:rPr>
                <w:sz w:val="4"/>
                <w:szCs w:val="4"/>
                <w:color w:val="auto"/>
              </w:rPr>
            </w:pPr>
          </w:p>
        </w:tc>
        <w:tc>
          <w:tcPr>
            <w:tcW w:w="840" w:type="dxa"/>
            <w:vAlign w:val="bottom"/>
            <w:tcBorders>
              <w:bottom w:val="single" w:sz="8" w:color="E6E7E8"/>
            </w:tcBorders>
          </w:tcPr>
          <w:p>
            <w:pPr>
              <w:spacing w:after="0"/>
              <w:rPr>
                <w:sz w:val="4"/>
                <w:szCs w:val="4"/>
                <w:color w:val="auto"/>
              </w:rPr>
            </w:pPr>
          </w:p>
        </w:tc>
        <w:tc>
          <w:tcPr>
            <w:tcW w:w="820" w:type="dxa"/>
            <w:vAlign w:val="bottom"/>
            <w:tcBorders>
              <w:bottom w:val="single" w:sz="8" w:color="E6E7E8"/>
            </w:tcBorders>
          </w:tcPr>
          <w:p>
            <w:pPr>
              <w:spacing w:after="0"/>
              <w:rPr>
                <w:sz w:val="4"/>
                <w:szCs w:val="4"/>
                <w:color w:val="auto"/>
              </w:rPr>
            </w:pPr>
          </w:p>
        </w:tc>
        <w:tc>
          <w:tcPr>
            <w:tcW w:w="720" w:type="dxa"/>
            <w:vAlign w:val="bottom"/>
            <w:tcBorders>
              <w:bottom w:val="single" w:sz="8" w:color="E6E7E8"/>
            </w:tcBorders>
          </w:tcPr>
          <w:p>
            <w:pPr>
              <w:spacing w:after="0"/>
              <w:rPr>
                <w:sz w:val="4"/>
                <w:szCs w:val="4"/>
                <w:color w:val="auto"/>
              </w:rPr>
            </w:pPr>
          </w:p>
        </w:tc>
        <w:tc>
          <w:tcPr>
            <w:tcW w:w="760" w:type="dxa"/>
            <w:vAlign w:val="bottom"/>
            <w:tcBorders>
              <w:bottom w:val="single" w:sz="8" w:color="E6E7E8"/>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20" w:type="dxa"/>
            <w:vAlign w:val="bottom"/>
            <w:vMerge w:val="continue"/>
          </w:tcPr>
          <w:p>
            <w:pPr>
              <w:spacing w:after="0"/>
              <w:rPr>
                <w:sz w:val="9"/>
                <w:szCs w:val="9"/>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auto"/>
                <w:w w:val="96"/>
              </w:rPr>
              <w:t xml:space="preserve">PSU </w:t>
            </w:r>
            <w:r>
              <w:rPr>
                <w:rFonts w:ascii="Arial" w:cs="Arial" w:eastAsia="Arial" w:hAnsi="Arial"/>
                <w:sz w:val="14"/>
                <w:szCs w:val="14"/>
                <w:color w:val="auto"/>
                <w:w w:val="96"/>
                <w:vertAlign w:val="superscript"/>
              </w:rPr>
              <w:t>(5)</w:t>
            </w:r>
          </w:p>
        </w:tc>
        <w:tc>
          <w:tcPr>
            <w:tcW w:w="26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vMerge w:val="restart"/>
          </w:tcPr>
          <w:p>
            <w:pPr>
              <w:ind w:left="640"/>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center"/>
              <w:ind w:left="507"/>
              <w:spacing w:after="0"/>
              <w:rPr>
                <w:sz w:val="20"/>
                <w:szCs w:val="20"/>
                <w:color w:val="auto"/>
              </w:rPr>
            </w:pPr>
            <w:r>
              <w:rPr>
                <w:rFonts w:ascii="Arial" w:cs="Arial" w:eastAsia="Arial" w:hAnsi="Arial"/>
                <w:sz w:val="11"/>
                <w:szCs w:val="11"/>
                <w:color w:val="auto"/>
                <w:w w:val="97"/>
              </w:rPr>
              <w:t>398</w:t>
            </w:r>
          </w:p>
        </w:tc>
        <w:tc>
          <w:tcPr>
            <w:tcW w:w="920" w:type="dxa"/>
            <w:vAlign w:val="bottom"/>
            <w:vMerge w:val="restart"/>
          </w:tcPr>
          <w:p>
            <w:pPr>
              <w:jc w:val="right"/>
              <w:ind w:right="307"/>
              <w:spacing w:after="0"/>
              <w:rPr>
                <w:sz w:val="20"/>
                <w:szCs w:val="20"/>
                <w:color w:val="auto"/>
              </w:rPr>
            </w:pPr>
            <w:r>
              <w:rPr>
                <w:rFonts w:ascii="Arial" w:cs="Arial" w:eastAsia="Arial" w:hAnsi="Arial"/>
                <w:sz w:val="11"/>
                <w:szCs w:val="11"/>
                <w:color w:val="auto"/>
              </w:rPr>
              <w:t>3,988</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7,976</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2,160,219</w:t>
            </w:r>
          </w:p>
        </w:tc>
        <w:tc>
          <w:tcPr>
            <w:tcW w:w="0" w:type="dxa"/>
            <w:vAlign w:val="bottom"/>
          </w:tcPr>
          <w:p>
            <w:pPr>
              <w:spacing w:after="0"/>
              <w:rPr>
                <w:sz w:val="1"/>
                <w:szCs w:val="1"/>
                <w:color w:val="auto"/>
              </w:rPr>
            </w:pPr>
          </w:p>
        </w:tc>
      </w:tr>
      <w:tr>
        <w:trPr>
          <w:trHeight w:val="79"/>
        </w:trPr>
        <w:tc>
          <w:tcPr>
            <w:tcW w:w="920" w:type="dxa"/>
            <w:vAlign w:val="bottom"/>
          </w:tcPr>
          <w:p>
            <w:pPr>
              <w:spacing w:after="0"/>
              <w:rPr>
                <w:sz w:val="6"/>
                <w:szCs w:val="6"/>
                <w:color w:val="auto"/>
              </w:rPr>
            </w:pPr>
          </w:p>
        </w:tc>
        <w:tc>
          <w:tcPr>
            <w:tcW w:w="560" w:type="dxa"/>
            <w:vAlign w:val="bottom"/>
            <w:tcBorders>
              <w:bottom w:val="single" w:sz="8" w:color="E6E7E8"/>
            </w:tcBorders>
            <w:vMerge w:val="continue"/>
          </w:tcPr>
          <w:p>
            <w:pPr>
              <w:spacing w:after="0"/>
              <w:rPr>
                <w:sz w:val="6"/>
                <w:szCs w:val="6"/>
                <w:color w:val="auto"/>
              </w:rPr>
            </w:pPr>
          </w:p>
        </w:tc>
        <w:tc>
          <w:tcPr>
            <w:tcW w:w="260" w:type="dxa"/>
            <w:vAlign w:val="bottom"/>
            <w:tcBorders>
              <w:bottom w:val="single" w:sz="8" w:color="E6E7E8"/>
            </w:tcBorders>
          </w:tcPr>
          <w:p>
            <w:pPr>
              <w:spacing w:after="0"/>
              <w:rPr>
                <w:sz w:val="6"/>
                <w:szCs w:val="6"/>
                <w:color w:val="auto"/>
              </w:rPr>
            </w:pPr>
          </w:p>
        </w:tc>
        <w:tc>
          <w:tcPr>
            <w:tcW w:w="780" w:type="dxa"/>
            <w:vAlign w:val="bottom"/>
            <w:tcBorders>
              <w:bottom w:val="single" w:sz="8" w:color="E6E7E8"/>
            </w:tcBorders>
            <w:vMerge w:val="continue"/>
          </w:tcPr>
          <w:p>
            <w:pPr>
              <w:spacing w:after="0"/>
              <w:rPr>
                <w:sz w:val="6"/>
                <w:szCs w:val="6"/>
                <w:color w:val="auto"/>
              </w:rPr>
            </w:pPr>
          </w:p>
        </w:tc>
        <w:tc>
          <w:tcPr>
            <w:tcW w:w="880" w:type="dxa"/>
            <w:vAlign w:val="bottom"/>
            <w:tcBorders>
              <w:bottom w:val="single" w:sz="8" w:color="E6E7E8"/>
            </w:tcBorders>
            <w:vMerge w:val="continue"/>
          </w:tcPr>
          <w:p>
            <w:pPr>
              <w:spacing w:after="0"/>
              <w:rPr>
                <w:sz w:val="6"/>
                <w:szCs w:val="6"/>
                <w:color w:val="auto"/>
              </w:rPr>
            </w:pPr>
          </w:p>
        </w:tc>
        <w:tc>
          <w:tcPr>
            <w:tcW w:w="800" w:type="dxa"/>
            <w:vAlign w:val="bottom"/>
            <w:tcBorders>
              <w:bottom w:val="single" w:sz="8" w:color="E6E7E8"/>
            </w:tcBorders>
            <w:vMerge w:val="continue"/>
          </w:tcPr>
          <w:p>
            <w:pPr>
              <w:spacing w:after="0"/>
              <w:rPr>
                <w:sz w:val="6"/>
                <w:szCs w:val="6"/>
                <w:color w:val="auto"/>
              </w:rPr>
            </w:pPr>
          </w:p>
        </w:tc>
        <w:tc>
          <w:tcPr>
            <w:tcW w:w="1000" w:type="dxa"/>
            <w:vAlign w:val="bottom"/>
            <w:tcBorders>
              <w:bottom w:val="single" w:sz="8" w:color="E6E7E8"/>
            </w:tcBorders>
            <w:vMerge w:val="continue"/>
          </w:tcPr>
          <w:p>
            <w:pPr>
              <w:spacing w:after="0"/>
              <w:rPr>
                <w:sz w:val="6"/>
                <w:szCs w:val="6"/>
                <w:color w:val="auto"/>
              </w:rPr>
            </w:pPr>
          </w:p>
        </w:tc>
        <w:tc>
          <w:tcPr>
            <w:tcW w:w="720" w:type="dxa"/>
            <w:vAlign w:val="bottom"/>
            <w:tcBorders>
              <w:bottom w:val="single" w:sz="8" w:color="E6E7E8"/>
            </w:tcBorders>
            <w:gridSpan w:val="2"/>
            <w:vMerge w:val="continue"/>
          </w:tcPr>
          <w:p>
            <w:pPr>
              <w:spacing w:after="0"/>
              <w:rPr>
                <w:sz w:val="6"/>
                <w:szCs w:val="6"/>
                <w:color w:val="auto"/>
              </w:rPr>
            </w:pPr>
          </w:p>
        </w:tc>
        <w:tc>
          <w:tcPr>
            <w:tcW w:w="780" w:type="dxa"/>
            <w:vAlign w:val="bottom"/>
            <w:tcBorders>
              <w:bottom w:val="single" w:sz="8" w:color="E6E7E8"/>
            </w:tcBorders>
            <w:vMerge w:val="continue"/>
          </w:tcPr>
          <w:p>
            <w:pPr>
              <w:spacing w:after="0"/>
              <w:rPr>
                <w:sz w:val="6"/>
                <w:szCs w:val="6"/>
                <w:color w:val="auto"/>
              </w:rPr>
            </w:pPr>
          </w:p>
        </w:tc>
        <w:tc>
          <w:tcPr>
            <w:tcW w:w="920" w:type="dxa"/>
            <w:vAlign w:val="bottom"/>
            <w:tcBorders>
              <w:bottom w:val="single" w:sz="8" w:color="E6E7E8"/>
            </w:tcBorders>
            <w:vMerge w:val="continue"/>
          </w:tcPr>
          <w:p>
            <w:pPr>
              <w:spacing w:after="0"/>
              <w:rPr>
                <w:sz w:val="6"/>
                <w:szCs w:val="6"/>
                <w:color w:val="auto"/>
              </w:rPr>
            </w:pPr>
          </w:p>
        </w:tc>
        <w:tc>
          <w:tcPr>
            <w:tcW w:w="480" w:type="dxa"/>
            <w:vAlign w:val="bottom"/>
            <w:tcBorders>
              <w:bottom w:val="single" w:sz="8" w:color="E6E7E8"/>
            </w:tcBorders>
            <w:vMerge w:val="continue"/>
          </w:tcPr>
          <w:p>
            <w:pPr>
              <w:spacing w:after="0"/>
              <w:rPr>
                <w:sz w:val="6"/>
                <w:szCs w:val="6"/>
                <w:color w:val="auto"/>
              </w:rPr>
            </w:pPr>
          </w:p>
        </w:tc>
        <w:tc>
          <w:tcPr>
            <w:tcW w:w="840" w:type="dxa"/>
            <w:vAlign w:val="bottom"/>
            <w:tcBorders>
              <w:bottom w:val="single" w:sz="8" w:color="E6E7E8"/>
            </w:tcBorders>
            <w:vMerge w:val="continue"/>
          </w:tcPr>
          <w:p>
            <w:pPr>
              <w:spacing w:after="0"/>
              <w:rPr>
                <w:sz w:val="6"/>
                <w:szCs w:val="6"/>
                <w:color w:val="auto"/>
              </w:rPr>
            </w:pPr>
          </w:p>
        </w:tc>
        <w:tc>
          <w:tcPr>
            <w:tcW w:w="820" w:type="dxa"/>
            <w:vAlign w:val="bottom"/>
            <w:tcBorders>
              <w:bottom w:val="single" w:sz="8" w:color="E6E7E8"/>
            </w:tcBorders>
            <w:vMerge w:val="continue"/>
          </w:tcPr>
          <w:p>
            <w:pPr>
              <w:spacing w:after="0"/>
              <w:rPr>
                <w:sz w:val="6"/>
                <w:szCs w:val="6"/>
                <w:color w:val="auto"/>
              </w:rPr>
            </w:pPr>
          </w:p>
        </w:tc>
        <w:tc>
          <w:tcPr>
            <w:tcW w:w="720" w:type="dxa"/>
            <w:vAlign w:val="bottom"/>
            <w:tcBorders>
              <w:bottom w:val="single" w:sz="8" w:color="E6E7E8"/>
            </w:tcBorders>
            <w:vMerge w:val="continue"/>
          </w:tcPr>
          <w:p>
            <w:pPr>
              <w:spacing w:after="0"/>
              <w:rPr>
                <w:sz w:val="6"/>
                <w:szCs w:val="6"/>
                <w:color w:val="auto"/>
              </w:rPr>
            </w:pPr>
          </w:p>
        </w:tc>
        <w:tc>
          <w:tcPr>
            <w:tcW w:w="760" w:type="dxa"/>
            <w:vAlign w:val="bottom"/>
            <w:tcBorders>
              <w:bottom w:val="single" w:sz="8" w:color="E6E7E8"/>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E6E7E8"/>
            </w:tcBorders>
          </w:tcPr>
          <w:p>
            <w:pPr>
              <w:spacing w:after="0"/>
              <w:rPr>
                <w:sz w:val="17"/>
                <w:szCs w:val="17"/>
                <w:color w:val="auto"/>
              </w:rPr>
            </w:pPr>
          </w:p>
        </w:tc>
        <w:tc>
          <w:tcPr>
            <w:tcW w:w="560" w:type="dxa"/>
            <w:vAlign w:val="bottom"/>
            <w:tcBorders>
              <w:bottom w:val="single" w:sz="8" w:color="E6E7E8"/>
            </w:tcBorders>
          </w:tcPr>
          <w:p>
            <w:pPr>
              <w:ind w:left="180"/>
              <w:spacing w:after="0"/>
              <w:rPr>
                <w:sz w:val="20"/>
                <w:szCs w:val="20"/>
                <w:color w:val="auto"/>
              </w:rPr>
            </w:pPr>
            <w:r>
              <w:rPr>
                <w:rFonts w:ascii="Arial" w:cs="Arial" w:eastAsia="Arial" w:hAnsi="Arial"/>
                <w:sz w:val="11"/>
                <w:szCs w:val="11"/>
                <w:color w:val="auto"/>
                <w:w w:val="95"/>
              </w:rPr>
              <w:t xml:space="preserve">PSO </w:t>
            </w:r>
            <w:r>
              <w:rPr>
                <w:rFonts w:ascii="Arial" w:cs="Arial" w:eastAsia="Arial" w:hAnsi="Arial"/>
                <w:sz w:val="14"/>
                <w:szCs w:val="14"/>
                <w:color w:val="auto"/>
                <w:w w:val="95"/>
                <w:vertAlign w:val="superscript"/>
              </w:rPr>
              <w:t>(6)</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5,647</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22,590</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45,180</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590.73</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5,040,054</w:t>
            </w:r>
          </w:p>
        </w:tc>
        <w:tc>
          <w:tcPr>
            <w:tcW w:w="0" w:type="dxa"/>
            <w:vAlign w:val="bottom"/>
          </w:tcPr>
          <w:p>
            <w:pPr>
              <w:spacing w:after="0"/>
              <w:rPr>
                <w:sz w:val="1"/>
                <w:szCs w:val="1"/>
                <w:color w:val="auto"/>
              </w:rPr>
            </w:pPr>
          </w:p>
        </w:tc>
      </w:tr>
      <w:tr>
        <w:trPr>
          <w:trHeight w:val="142"/>
        </w:trPr>
        <w:tc>
          <w:tcPr>
            <w:tcW w:w="920" w:type="dxa"/>
            <w:vAlign w:val="bottom"/>
          </w:tcPr>
          <w:p>
            <w:pPr>
              <w:ind w:left="20"/>
              <w:spacing w:after="0"/>
              <w:rPr>
                <w:sz w:val="20"/>
                <w:szCs w:val="20"/>
                <w:color w:val="auto"/>
              </w:rPr>
            </w:pPr>
            <w:r>
              <w:rPr>
                <w:rFonts w:ascii="Arial" w:cs="Arial" w:eastAsia="Arial" w:hAnsi="Arial"/>
                <w:sz w:val="11"/>
                <w:szCs w:val="11"/>
                <w:b w:val="1"/>
                <w:bCs w:val="1"/>
                <w:color w:val="1A3FD6"/>
              </w:rPr>
              <w:t>Alvise J.</w:t>
            </w:r>
          </w:p>
        </w:tc>
        <w:tc>
          <w:tcPr>
            <w:tcW w:w="560" w:type="dxa"/>
            <w:vAlign w:val="bottom"/>
          </w:tcPr>
          <w:p>
            <w:pPr>
              <w:ind w:left="240"/>
              <w:spacing w:after="0"/>
              <w:rPr>
                <w:sz w:val="20"/>
                <w:szCs w:val="20"/>
                <w:color w:val="auto"/>
              </w:rPr>
            </w:pPr>
            <w:r>
              <w:rPr>
                <w:rFonts w:ascii="Arial" w:cs="Arial" w:eastAsia="Arial" w:hAnsi="Arial"/>
                <w:sz w:val="11"/>
                <w:szCs w:val="11"/>
                <w:color w:val="auto"/>
              </w:rPr>
              <w:t>AIP</w:t>
            </w:r>
          </w:p>
        </w:tc>
        <w:tc>
          <w:tcPr>
            <w:tcW w:w="260" w:type="dxa"/>
            <w:vAlign w:val="bottom"/>
          </w:tcPr>
          <w:p>
            <w:pPr>
              <w:spacing w:after="0"/>
              <w:rPr>
                <w:sz w:val="12"/>
                <w:szCs w:val="12"/>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87"/>
              <w:spacing w:after="0"/>
              <w:rPr>
                <w:sz w:val="20"/>
                <w:szCs w:val="20"/>
                <w:color w:val="auto"/>
              </w:rPr>
            </w:pPr>
            <w:r>
              <w:rPr>
                <w:rFonts w:ascii="Arial" w:cs="Arial" w:eastAsia="Arial" w:hAnsi="Arial"/>
                <w:sz w:val="11"/>
                <w:szCs w:val="11"/>
                <w:color w:val="auto"/>
              </w:rPr>
              <w:t>1,025,515</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1,538,272</w:t>
            </w:r>
          </w:p>
        </w:tc>
        <w:tc>
          <w:tcPr>
            <w:tcW w:w="100" w:type="dxa"/>
            <w:vAlign w:val="bottom"/>
          </w:tcPr>
          <w:p>
            <w:pPr>
              <w:spacing w:after="0"/>
              <w:rPr>
                <w:sz w:val="12"/>
                <w:szCs w:val="12"/>
                <w:color w:val="auto"/>
              </w:rPr>
            </w:pPr>
          </w:p>
        </w:tc>
        <w:tc>
          <w:tcPr>
            <w:tcW w:w="780" w:type="dxa"/>
            <w:vAlign w:val="bottom"/>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56"/>
        </w:trPr>
        <w:tc>
          <w:tcPr>
            <w:tcW w:w="920" w:type="dxa"/>
            <w:vAlign w:val="bottom"/>
            <w:vMerge w:val="restart"/>
          </w:tcPr>
          <w:p>
            <w:pPr>
              <w:ind w:left="20"/>
              <w:spacing w:after="0"/>
              <w:rPr>
                <w:sz w:val="20"/>
                <w:szCs w:val="20"/>
                <w:color w:val="auto"/>
              </w:rPr>
            </w:pPr>
            <w:r>
              <w:rPr>
                <w:rFonts w:ascii="Arial" w:cs="Arial" w:eastAsia="Arial" w:hAnsi="Arial"/>
                <w:sz w:val="11"/>
                <w:szCs w:val="11"/>
                <w:b w:val="1"/>
                <w:bCs w:val="1"/>
                <w:color w:val="1A3FD6"/>
              </w:rPr>
              <w:t>Munari</w:t>
            </w:r>
            <w:r>
              <w:rPr>
                <w:rFonts w:ascii="Arial" w:cs="Arial" w:eastAsia="Arial" w:hAnsi="Arial"/>
                <w:sz w:val="14"/>
                <w:szCs w:val="14"/>
                <w:b w:val="1"/>
                <w:bCs w:val="1"/>
                <w:color w:val="1A3FD6"/>
                <w:vertAlign w:val="superscript"/>
              </w:rPr>
              <w:t>(3)</w:t>
            </w:r>
          </w:p>
        </w:tc>
        <w:tc>
          <w:tcPr>
            <w:tcW w:w="560" w:type="dxa"/>
            <w:vAlign w:val="bottom"/>
            <w:tcBorders>
              <w:bottom w:val="single" w:sz="8" w:color="E6E7E8"/>
            </w:tcBorders>
          </w:tcPr>
          <w:p>
            <w:pPr>
              <w:spacing w:after="0"/>
              <w:rPr>
                <w:sz w:val="4"/>
                <w:szCs w:val="4"/>
                <w:color w:val="auto"/>
              </w:rPr>
            </w:pPr>
          </w:p>
        </w:tc>
        <w:tc>
          <w:tcPr>
            <w:tcW w:w="26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880" w:type="dxa"/>
            <w:vAlign w:val="bottom"/>
            <w:tcBorders>
              <w:bottom w:val="single" w:sz="8" w:color="E6E7E8"/>
            </w:tcBorders>
          </w:tcPr>
          <w:p>
            <w:pPr>
              <w:spacing w:after="0"/>
              <w:rPr>
                <w:sz w:val="4"/>
                <w:szCs w:val="4"/>
                <w:color w:val="auto"/>
              </w:rPr>
            </w:pPr>
          </w:p>
        </w:tc>
        <w:tc>
          <w:tcPr>
            <w:tcW w:w="800" w:type="dxa"/>
            <w:vAlign w:val="bottom"/>
            <w:tcBorders>
              <w:bottom w:val="single" w:sz="8" w:color="E6E7E8"/>
            </w:tcBorders>
          </w:tcPr>
          <w:p>
            <w:pPr>
              <w:spacing w:after="0"/>
              <w:rPr>
                <w:sz w:val="4"/>
                <w:szCs w:val="4"/>
                <w:color w:val="auto"/>
              </w:rPr>
            </w:pPr>
          </w:p>
        </w:tc>
        <w:tc>
          <w:tcPr>
            <w:tcW w:w="1000" w:type="dxa"/>
            <w:vAlign w:val="bottom"/>
            <w:tcBorders>
              <w:bottom w:val="single" w:sz="8" w:color="E6E7E8"/>
            </w:tcBorders>
          </w:tcPr>
          <w:p>
            <w:pPr>
              <w:spacing w:after="0"/>
              <w:rPr>
                <w:sz w:val="4"/>
                <w:szCs w:val="4"/>
                <w:color w:val="auto"/>
              </w:rPr>
            </w:pPr>
          </w:p>
        </w:tc>
        <w:tc>
          <w:tcPr>
            <w:tcW w:w="620" w:type="dxa"/>
            <w:vAlign w:val="bottom"/>
            <w:tcBorders>
              <w:bottom w:val="single" w:sz="8" w:color="E6E7E8"/>
            </w:tcBorders>
          </w:tcPr>
          <w:p>
            <w:pPr>
              <w:spacing w:after="0"/>
              <w:rPr>
                <w:sz w:val="4"/>
                <w:szCs w:val="4"/>
                <w:color w:val="auto"/>
              </w:rPr>
            </w:pPr>
          </w:p>
        </w:tc>
        <w:tc>
          <w:tcPr>
            <w:tcW w:w="100" w:type="dxa"/>
            <w:vAlign w:val="bottom"/>
            <w:tcBorders>
              <w:bottom w:val="single" w:sz="8" w:color="E6E7E8"/>
            </w:tcBorders>
          </w:tcPr>
          <w:p>
            <w:pPr>
              <w:spacing w:after="0"/>
              <w:rPr>
                <w:sz w:val="4"/>
                <w:szCs w:val="4"/>
                <w:color w:val="auto"/>
              </w:rPr>
            </w:pPr>
          </w:p>
        </w:tc>
        <w:tc>
          <w:tcPr>
            <w:tcW w:w="780" w:type="dxa"/>
            <w:vAlign w:val="bottom"/>
            <w:tcBorders>
              <w:bottom w:val="single" w:sz="8" w:color="E6E7E8"/>
            </w:tcBorders>
          </w:tcPr>
          <w:p>
            <w:pPr>
              <w:spacing w:after="0"/>
              <w:rPr>
                <w:sz w:val="4"/>
                <w:szCs w:val="4"/>
                <w:color w:val="auto"/>
              </w:rPr>
            </w:pPr>
          </w:p>
        </w:tc>
        <w:tc>
          <w:tcPr>
            <w:tcW w:w="920" w:type="dxa"/>
            <w:vAlign w:val="bottom"/>
            <w:tcBorders>
              <w:bottom w:val="single" w:sz="8" w:color="E6E7E8"/>
            </w:tcBorders>
          </w:tcPr>
          <w:p>
            <w:pPr>
              <w:spacing w:after="0"/>
              <w:rPr>
                <w:sz w:val="4"/>
                <w:szCs w:val="4"/>
                <w:color w:val="auto"/>
              </w:rPr>
            </w:pPr>
          </w:p>
        </w:tc>
        <w:tc>
          <w:tcPr>
            <w:tcW w:w="480" w:type="dxa"/>
            <w:vAlign w:val="bottom"/>
            <w:tcBorders>
              <w:bottom w:val="single" w:sz="8" w:color="E6E7E8"/>
            </w:tcBorders>
          </w:tcPr>
          <w:p>
            <w:pPr>
              <w:spacing w:after="0"/>
              <w:rPr>
                <w:sz w:val="4"/>
                <w:szCs w:val="4"/>
                <w:color w:val="auto"/>
              </w:rPr>
            </w:pPr>
          </w:p>
        </w:tc>
        <w:tc>
          <w:tcPr>
            <w:tcW w:w="840" w:type="dxa"/>
            <w:vAlign w:val="bottom"/>
            <w:tcBorders>
              <w:bottom w:val="single" w:sz="8" w:color="E6E7E8"/>
            </w:tcBorders>
          </w:tcPr>
          <w:p>
            <w:pPr>
              <w:spacing w:after="0"/>
              <w:rPr>
                <w:sz w:val="4"/>
                <w:szCs w:val="4"/>
                <w:color w:val="auto"/>
              </w:rPr>
            </w:pPr>
          </w:p>
        </w:tc>
        <w:tc>
          <w:tcPr>
            <w:tcW w:w="820" w:type="dxa"/>
            <w:vAlign w:val="bottom"/>
            <w:tcBorders>
              <w:bottom w:val="single" w:sz="8" w:color="E6E7E8"/>
            </w:tcBorders>
          </w:tcPr>
          <w:p>
            <w:pPr>
              <w:spacing w:after="0"/>
              <w:rPr>
                <w:sz w:val="4"/>
                <w:szCs w:val="4"/>
                <w:color w:val="auto"/>
              </w:rPr>
            </w:pPr>
          </w:p>
        </w:tc>
        <w:tc>
          <w:tcPr>
            <w:tcW w:w="720" w:type="dxa"/>
            <w:vAlign w:val="bottom"/>
            <w:tcBorders>
              <w:bottom w:val="single" w:sz="8" w:color="E6E7E8"/>
            </w:tcBorders>
          </w:tcPr>
          <w:p>
            <w:pPr>
              <w:spacing w:after="0"/>
              <w:rPr>
                <w:sz w:val="4"/>
                <w:szCs w:val="4"/>
                <w:color w:val="auto"/>
              </w:rPr>
            </w:pPr>
          </w:p>
        </w:tc>
        <w:tc>
          <w:tcPr>
            <w:tcW w:w="760" w:type="dxa"/>
            <w:vAlign w:val="bottom"/>
            <w:tcBorders>
              <w:bottom w:val="single" w:sz="8" w:color="E6E7E8"/>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920" w:type="dxa"/>
            <w:vAlign w:val="bottom"/>
            <w:vMerge w:val="continue"/>
          </w:tcPr>
          <w:p>
            <w:pPr>
              <w:spacing w:after="0"/>
              <w:rPr>
                <w:sz w:val="9"/>
                <w:szCs w:val="9"/>
                <w:color w:val="auto"/>
              </w:rPr>
            </w:pPr>
          </w:p>
        </w:tc>
        <w:tc>
          <w:tcPr>
            <w:tcW w:w="560" w:type="dxa"/>
            <w:vAlign w:val="bottom"/>
            <w:vMerge w:val="restart"/>
          </w:tcPr>
          <w:p>
            <w:pPr>
              <w:ind w:left="180"/>
              <w:spacing w:after="0" w:line="196" w:lineRule="exact"/>
              <w:rPr>
                <w:sz w:val="20"/>
                <w:szCs w:val="20"/>
                <w:color w:val="auto"/>
              </w:rPr>
            </w:pPr>
            <w:r>
              <w:rPr>
                <w:rFonts w:ascii="Arial" w:cs="Arial" w:eastAsia="Arial" w:hAnsi="Arial"/>
                <w:sz w:val="21"/>
                <w:szCs w:val="21"/>
                <w:color w:val="auto"/>
                <w:w w:val="89"/>
                <w:vertAlign w:val="subscript"/>
              </w:rPr>
              <w:t>RSU</w:t>
            </w:r>
            <w:r>
              <w:rPr>
                <w:rFonts w:ascii="Arial" w:cs="Arial" w:eastAsia="Arial" w:hAnsi="Arial"/>
                <w:sz w:val="7"/>
                <w:szCs w:val="7"/>
                <w:color w:val="auto"/>
                <w:w w:val="89"/>
              </w:rPr>
              <w:t xml:space="preserve"> (4)</w:t>
            </w:r>
          </w:p>
        </w:tc>
        <w:tc>
          <w:tcPr>
            <w:tcW w:w="26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vMerge w:val="restart"/>
          </w:tcPr>
          <w:p>
            <w:pPr>
              <w:ind w:left="640"/>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vMerge w:val="restart"/>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1,524</w:t>
            </w:r>
          </w:p>
        </w:tc>
        <w:tc>
          <w:tcPr>
            <w:tcW w:w="8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900,272</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560" w:type="dxa"/>
            <w:vAlign w:val="bottom"/>
            <w:tcBorders>
              <w:bottom w:val="single" w:sz="8" w:color="E6E7E8"/>
            </w:tcBorders>
            <w:vMerge w:val="continue"/>
          </w:tcPr>
          <w:p>
            <w:pPr>
              <w:spacing w:after="0"/>
              <w:rPr>
                <w:sz w:val="7"/>
                <w:szCs w:val="7"/>
                <w:color w:val="auto"/>
              </w:rPr>
            </w:pPr>
          </w:p>
        </w:tc>
        <w:tc>
          <w:tcPr>
            <w:tcW w:w="260" w:type="dxa"/>
            <w:vAlign w:val="bottom"/>
            <w:tcBorders>
              <w:bottom w:val="single" w:sz="8" w:color="E6E7E8"/>
            </w:tcBorders>
          </w:tcPr>
          <w:p>
            <w:pPr>
              <w:spacing w:after="0"/>
              <w:rPr>
                <w:sz w:val="7"/>
                <w:szCs w:val="7"/>
                <w:color w:val="auto"/>
              </w:rPr>
            </w:pPr>
          </w:p>
        </w:tc>
        <w:tc>
          <w:tcPr>
            <w:tcW w:w="780" w:type="dxa"/>
            <w:vAlign w:val="bottom"/>
            <w:tcBorders>
              <w:bottom w:val="single" w:sz="8" w:color="E6E7E8"/>
            </w:tcBorders>
            <w:vMerge w:val="continue"/>
          </w:tcPr>
          <w:p>
            <w:pPr>
              <w:spacing w:after="0"/>
              <w:rPr>
                <w:sz w:val="7"/>
                <w:szCs w:val="7"/>
                <w:color w:val="auto"/>
              </w:rPr>
            </w:pPr>
          </w:p>
        </w:tc>
        <w:tc>
          <w:tcPr>
            <w:tcW w:w="880" w:type="dxa"/>
            <w:vAlign w:val="bottom"/>
            <w:tcBorders>
              <w:bottom w:val="single" w:sz="8" w:color="E6E7E8"/>
            </w:tcBorders>
            <w:vMerge w:val="continue"/>
          </w:tcPr>
          <w:p>
            <w:pPr>
              <w:spacing w:after="0"/>
              <w:rPr>
                <w:sz w:val="7"/>
                <w:szCs w:val="7"/>
                <w:color w:val="auto"/>
              </w:rPr>
            </w:pPr>
          </w:p>
        </w:tc>
        <w:tc>
          <w:tcPr>
            <w:tcW w:w="800" w:type="dxa"/>
            <w:vAlign w:val="bottom"/>
            <w:tcBorders>
              <w:bottom w:val="single" w:sz="8" w:color="E6E7E8"/>
            </w:tcBorders>
            <w:vMerge w:val="continue"/>
          </w:tcPr>
          <w:p>
            <w:pPr>
              <w:spacing w:after="0"/>
              <w:rPr>
                <w:sz w:val="7"/>
                <w:szCs w:val="7"/>
                <w:color w:val="auto"/>
              </w:rPr>
            </w:pPr>
          </w:p>
        </w:tc>
        <w:tc>
          <w:tcPr>
            <w:tcW w:w="1000" w:type="dxa"/>
            <w:vAlign w:val="bottom"/>
            <w:tcBorders>
              <w:bottom w:val="single" w:sz="8" w:color="E6E7E8"/>
            </w:tcBorders>
            <w:vMerge w:val="continue"/>
          </w:tcPr>
          <w:p>
            <w:pPr>
              <w:spacing w:after="0"/>
              <w:rPr>
                <w:sz w:val="7"/>
                <w:szCs w:val="7"/>
                <w:color w:val="auto"/>
              </w:rPr>
            </w:pPr>
          </w:p>
        </w:tc>
        <w:tc>
          <w:tcPr>
            <w:tcW w:w="720" w:type="dxa"/>
            <w:vAlign w:val="bottom"/>
            <w:tcBorders>
              <w:bottom w:val="single" w:sz="8" w:color="E6E7E8"/>
            </w:tcBorders>
            <w:gridSpan w:val="2"/>
            <w:vMerge w:val="continue"/>
          </w:tcPr>
          <w:p>
            <w:pPr>
              <w:spacing w:after="0"/>
              <w:rPr>
                <w:sz w:val="7"/>
                <w:szCs w:val="7"/>
                <w:color w:val="auto"/>
              </w:rPr>
            </w:pPr>
          </w:p>
        </w:tc>
        <w:tc>
          <w:tcPr>
            <w:tcW w:w="780" w:type="dxa"/>
            <w:vAlign w:val="bottom"/>
            <w:tcBorders>
              <w:bottom w:val="single" w:sz="8" w:color="E6E7E8"/>
            </w:tcBorders>
            <w:vMerge w:val="continue"/>
          </w:tcPr>
          <w:p>
            <w:pPr>
              <w:spacing w:after="0"/>
              <w:rPr>
                <w:sz w:val="7"/>
                <w:szCs w:val="7"/>
                <w:color w:val="auto"/>
              </w:rPr>
            </w:pPr>
          </w:p>
        </w:tc>
        <w:tc>
          <w:tcPr>
            <w:tcW w:w="920" w:type="dxa"/>
            <w:vAlign w:val="bottom"/>
            <w:tcBorders>
              <w:bottom w:val="single" w:sz="8" w:color="E6E7E8"/>
            </w:tcBorders>
            <w:vMerge w:val="continue"/>
          </w:tcPr>
          <w:p>
            <w:pPr>
              <w:spacing w:after="0"/>
              <w:rPr>
                <w:sz w:val="7"/>
                <w:szCs w:val="7"/>
                <w:color w:val="auto"/>
              </w:rPr>
            </w:pPr>
          </w:p>
        </w:tc>
        <w:tc>
          <w:tcPr>
            <w:tcW w:w="480" w:type="dxa"/>
            <w:vAlign w:val="bottom"/>
            <w:tcBorders>
              <w:bottom w:val="single" w:sz="8" w:color="E6E7E8"/>
            </w:tcBorders>
            <w:vMerge w:val="continue"/>
          </w:tcPr>
          <w:p>
            <w:pPr>
              <w:spacing w:after="0"/>
              <w:rPr>
                <w:sz w:val="7"/>
                <w:szCs w:val="7"/>
                <w:color w:val="auto"/>
              </w:rPr>
            </w:pPr>
          </w:p>
        </w:tc>
        <w:tc>
          <w:tcPr>
            <w:tcW w:w="840" w:type="dxa"/>
            <w:vAlign w:val="bottom"/>
            <w:tcBorders>
              <w:bottom w:val="single" w:sz="8" w:color="E6E7E8"/>
            </w:tcBorders>
            <w:vMerge w:val="continue"/>
          </w:tcPr>
          <w:p>
            <w:pPr>
              <w:spacing w:after="0"/>
              <w:rPr>
                <w:sz w:val="7"/>
                <w:szCs w:val="7"/>
                <w:color w:val="auto"/>
              </w:rPr>
            </w:pPr>
          </w:p>
        </w:tc>
        <w:tc>
          <w:tcPr>
            <w:tcW w:w="820" w:type="dxa"/>
            <w:vAlign w:val="bottom"/>
            <w:tcBorders>
              <w:bottom w:val="single" w:sz="8" w:color="E6E7E8"/>
            </w:tcBorders>
            <w:vMerge w:val="continue"/>
          </w:tcPr>
          <w:p>
            <w:pPr>
              <w:spacing w:after="0"/>
              <w:rPr>
                <w:sz w:val="7"/>
                <w:szCs w:val="7"/>
                <w:color w:val="auto"/>
              </w:rPr>
            </w:pPr>
          </w:p>
        </w:tc>
        <w:tc>
          <w:tcPr>
            <w:tcW w:w="720" w:type="dxa"/>
            <w:vAlign w:val="bottom"/>
            <w:tcBorders>
              <w:bottom w:val="single" w:sz="8" w:color="E6E7E8"/>
            </w:tcBorders>
            <w:vMerge w:val="continue"/>
          </w:tcPr>
          <w:p>
            <w:pPr>
              <w:spacing w:after="0"/>
              <w:rPr>
                <w:sz w:val="7"/>
                <w:szCs w:val="7"/>
                <w:color w:val="auto"/>
              </w:rPr>
            </w:pPr>
          </w:p>
        </w:tc>
        <w:tc>
          <w:tcPr>
            <w:tcW w:w="760" w:type="dxa"/>
            <w:vAlign w:val="bottom"/>
            <w:tcBorders>
              <w:bottom w:val="single" w:sz="8" w:color="E6E7E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560" w:type="dxa"/>
            <w:vAlign w:val="bottom"/>
            <w:tcBorders>
              <w:bottom w:val="single" w:sz="8" w:color="E6E7E8"/>
            </w:tcBorders>
          </w:tcPr>
          <w:p>
            <w:pPr>
              <w:ind w:left="180"/>
              <w:spacing w:after="0"/>
              <w:rPr>
                <w:sz w:val="20"/>
                <w:szCs w:val="20"/>
                <w:color w:val="auto"/>
              </w:rPr>
            </w:pPr>
            <w:r>
              <w:rPr>
                <w:rFonts w:ascii="Arial" w:cs="Arial" w:eastAsia="Arial" w:hAnsi="Arial"/>
                <w:sz w:val="11"/>
                <w:szCs w:val="11"/>
                <w:color w:val="auto"/>
                <w:w w:val="96"/>
              </w:rPr>
              <w:t xml:space="preserve">PSU </w:t>
            </w:r>
            <w:r>
              <w:rPr>
                <w:rFonts w:ascii="Arial" w:cs="Arial" w:eastAsia="Arial" w:hAnsi="Arial"/>
                <w:sz w:val="14"/>
                <w:szCs w:val="14"/>
                <w:color w:val="auto"/>
                <w:w w:val="96"/>
                <w:vertAlign w:val="superscript"/>
              </w:rPr>
              <w:t>(5)</w:t>
            </w:r>
          </w:p>
        </w:tc>
        <w:tc>
          <w:tcPr>
            <w:tcW w:w="260" w:type="dxa"/>
            <w:vAlign w:val="bottom"/>
            <w:tcBorders>
              <w:bottom w:val="single" w:sz="8" w:color="E6E7E8"/>
            </w:tcBorders>
          </w:tcPr>
          <w:p>
            <w:pPr>
              <w:spacing w:after="0"/>
              <w:rPr>
                <w:sz w:val="16"/>
                <w:szCs w:val="16"/>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507"/>
              <w:spacing w:after="0"/>
              <w:rPr>
                <w:sz w:val="20"/>
                <w:szCs w:val="20"/>
                <w:color w:val="auto"/>
              </w:rPr>
            </w:pPr>
            <w:r>
              <w:rPr>
                <w:rFonts w:ascii="Arial" w:cs="Arial" w:eastAsia="Arial" w:hAnsi="Arial"/>
                <w:sz w:val="11"/>
                <w:szCs w:val="11"/>
                <w:color w:val="auto"/>
                <w:w w:val="97"/>
              </w:rPr>
              <w:t>166</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1,662</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3,324</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900,272</w:t>
            </w:r>
          </w:p>
        </w:tc>
        <w:tc>
          <w:tcPr>
            <w:tcW w:w="0" w:type="dxa"/>
            <w:vAlign w:val="bottom"/>
          </w:tcPr>
          <w:p>
            <w:pPr>
              <w:spacing w:after="0"/>
              <w:rPr>
                <w:sz w:val="1"/>
                <w:szCs w:val="1"/>
                <w:color w:val="auto"/>
              </w:rPr>
            </w:pPr>
          </w:p>
        </w:tc>
      </w:tr>
      <w:tr>
        <w:trPr>
          <w:trHeight w:val="198"/>
        </w:trPr>
        <w:tc>
          <w:tcPr>
            <w:tcW w:w="920" w:type="dxa"/>
            <w:vAlign w:val="bottom"/>
            <w:tcBorders>
              <w:bottom w:val="single" w:sz="8" w:color="E6E7E8"/>
            </w:tcBorders>
          </w:tcPr>
          <w:p>
            <w:pPr>
              <w:spacing w:after="0"/>
              <w:rPr>
                <w:sz w:val="17"/>
                <w:szCs w:val="17"/>
                <w:color w:val="auto"/>
              </w:rPr>
            </w:pPr>
          </w:p>
        </w:tc>
        <w:tc>
          <w:tcPr>
            <w:tcW w:w="560" w:type="dxa"/>
            <w:vAlign w:val="bottom"/>
            <w:tcBorders>
              <w:bottom w:val="single" w:sz="8" w:color="E6E7E8"/>
            </w:tcBorders>
          </w:tcPr>
          <w:p>
            <w:pPr>
              <w:ind w:left="180"/>
              <w:spacing w:after="0" w:line="198" w:lineRule="exact"/>
              <w:rPr>
                <w:sz w:val="20"/>
                <w:szCs w:val="20"/>
                <w:color w:val="auto"/>
              </w:rPr>
            </w:pPr>
            <w:r>
              <w:rPr>
                <w:rFonts w:ascii="Arial" w:cs="Arial" w:eastAsia="Arial" w:hAnsi="Arial"/>
                <w:sz w:val="21"/>
                <w:szCs w:val="21"/>
                <w:color w:val="auto"/>
                <w:w w:val="89"/>
                <w:vertAlign w:val="subscript"/>
              </w:rPr>
              <w:t>PSO</w:t>
            </w:r>
            <w:r>
              <w:rPr>
                <w:rFonts w:ascii="Arial" w:cs="Arial" w:eastAsia="Arial" w:hAnsi="Arial"/>
                <w:sz w:val="7"/>
                <w:szCs w:val="7"/>
                <w:color w:val="auto"/>
                <w:w w:val="89"/>
              </w:rPr>
              <w:t xml:space="preserve"> (6)</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1,344</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5,379</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10,758</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590.73</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1,200,108</w:t>
            </w:r>
          </w:p>
        </w:tc>
        <w:tc>
          <w:tcPr>
            <w:tcW w:w="0" w:type="dxa"/>
            <w:vAlign w:val="bottom"/>
          </w:tcPr>
          <w:p>
            <w:pPr>
              <w:spacing w:after="0"/>
              <w:rPr>
                <w:sz w:val="1"/>
                <w:szCs w:val="1"/>
                <w:color w:val="auto"/>
              </w:rPr>
            </w:pPr>
          </w:p>
        </w:tc>
      </w:tr>
      <w:tr>
        <w:trPr>
          <w:trHeight w:val="163"/>
        </w:trPr>
        <w:tc>
          <w:tcPr>
            <w:tcW w:w="920" w:type="dxa"/>
            <w:vAlign w:val="bottom"/>
          </w:tcPr>
          <w:p>
            <w:pPr>
              <w:ind w:left="20"/>
              <w:spacing w:after="0"/>
              <w:rPr>
                <w:sz w:val="20"/>
                <w:szCs w:val="20"/>
                <w:color w:val="auto"/>
              </w:rPr>
            </w:pPr>
            <w:r>
              <w:rPr>
                <w:rFonts w:ascii="Arial" w:cs="Arial" w:eastAsia="Arial" w:hAnsi="Arial"/>
                <w:sz w:val="11"/>
                <w:szCs w:val="11"/>
                <w:b w:val="1"/>
                <w:bCs w:val="1"/>
                <w:color w:val="1A3FD6"/>
              </w:rPr>
              <w:t>Scott A. Crum</w:t>
            </w:r>
          </w:p>
        </w:tc>
        <w:tc>
          <w:tcPr>
            <w:tcW w:w="560" w:type="dxa"/>
            <w:vAlign w:val="bottom"/>
          </w:tcPr>
          <w:p>
            <w:pPr>
              <w:ind w:left="240"/>
              <w:spacing w:after="0"/>
              <w:rPr>
                <w:sz w:val="20"/>
                <w:szCs w:val="20"/>
                <w:color w:val="auto"/>
              </w:rPr>
            </w:pPr>
            <w:r>
              <w:rPr>
                <w:rFonts w:ascii="Arial" w:cs="Arial" w:eastAsia="Arial" w:hAnsi="Arial"/>
                <w:sz w:val="11"/>
                <w:szCs w:val="11"/>
                <w:color w:val="auto"/>
              </w:rPr>
              <w:t>AIP</w:t>
            </w:r>
          </w:p>
        </w:tc>
        <w:tc>
          <w:tcPr>
            <w:tcW w:w="260" w:type="dxa"/>
            <w:vAlign w:val="bottom"/>
          </w:tcPr>
          <w:p>
            <w:pPr>
              <w:spacing w:after="0"/>
              <w:rPr>
                <w:sz w:val="14"/>
                <w:szCs w:val="14"/>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Pr>
          <w:p>
            <w:pPr>
              <w:ind w:left="64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187"/>
              <w:spacing w:after="0"/>
              <w:rPr>
                <w:sz w:val="20"/>
                <w:szCs w:val="20"/>
                <w:color w:val="auto"/>
              </w:rPr>
            </w:pPr>
            <w:r>
              <w:rPr>
                <w:rFonts w:ascii="Arial" w:cs="Arial" w:eastAsia="Arial" w:hAnsi="Arial"/>
                <w:sz w:val="11"/>
                <w:szCs w:val="11"/>
                <w:color w:val="auto"/>
              </w:rPr>
              <w:t>700,000</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1,050,000</w:t>
            </w:r>
          </w:p>
        </w:tc>
        <w:tc>
          <w:tcPr>
            <w:tcW w:w="100" w:type="dxa"/>
            <w:vAlign w:val="bottom"/>
          </w:tcPr>
          <w:p>
            <w:pPr>
              <w:spacing w:after="0"/>
              <w:rPr>
                <w:sz w:val="14"/>
                <w:szCs w:val="14"/>
                <w:color w:val="auto"/>
              </w:rPr>
            </w:pPr>
          </w:p>
        </w:tc>
        <w:tc>
          <w:tcPr>
            <w:tcW w:w="780" w:type="dxa"/>
            <w:vAlign w:val="bottom"/>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560" w:type="dxa"/>
            <w:vAlign w:val="bottom"/>
            <w:tcBorders>
              <w:bottom w:val="single" w:sz="8" w:color="E6E7E8"/>
            </w:tcBorders>
          </w:tcPr>
          <w:p>
            <w:pPr>
              <w:spacing w:after="0"/>
              <w:rPr>
                <w:sz w:val="2"/>
                <w:szCs w:val="2"/>
                <w:color w:val="auto"/>
              </w:rPr>
            </w:pPr>
          </w:p>
        </w:tc>
        <w:tc>
          <w:tcPr>
            <w:tcW w:w="26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880" w:type="dxa"/>
            <w:vAlign w:val="bottom"/>
            <w:tcBorders>
              <w:bottom w:val="single" w:sz="8" w:color="E6E7E8"/>
            </w:tcBorders>
          </w:tcPr>
          <w:p>
            <w:pPr>
              <w:spacing w:after="0"/>
              <w:rPr>
                <w:sz w:val="2"/>
                <w:szCs w:val="2"/>
                <w:color w:val="auto"/>
              </w:rPr>
            </w:pPr>
          </w:p>
        </w:tc>
        <w:tc>
          <w:tcPr>
            <w:tcW w:w="800" w:type="dxa"/>
            <w:vAlign w:val="bottom"/>
            <w:tcBorders>
              <w:bottom w:val="single" w:sz="8" w:color="E6E7E8"/>
            </w:tcBorders>
          </w:tcPr>
          <w:p>
            <w:pPr>
              <w:spacing w:after="0"/>
              <w:rPr>
                <w:sz w:val="2"/>
                <w:szCs w:val="2"/>
                <w:color w:val="auto"/>
              </w:rPr>
            </w:pPr>
          </w:p>
        </w:tc>
        <w:tc>
          <w:tcPr>
            <w:tcW w:w="1000" w:type="dxa"/>
            <w:vAlign w:val="bottom"/>
            <w:tcBorders>
              <w:bottom w:val="single" w:sz="8" w:color="E6E7E8"/>
            </w:tcBorders>
          </w:tcPr>
          <w:p>
            <w:pPr>
              <w:spacing w:after="0"/>
              <w:rPr>
                <w:sz w:val="2"/>
                <w:szCs w:val="2"/>
                <w:color w:val="auto"/>
              </w:rPr>
            </w:pPr>
          </w:p>
        </w:tc>
        <w:tc>
          <w:tcPr>
            <w:tcW w:w="620" w:type="dxa"/>
            <w:vAlign w:val="bottom"/>
            <w:tcBorders>
              <w:bottom w:val="single" w:sz="8" w:color="E6E7E8"/>
            </w:tcBorders>
          </w:tcPr>
          <w:p>
            <w:pPr>
              <w:spacing w:after="0"/>
              <w:rPr>
                <w:sz w:val="2"/>
                <w:szCs w:val="2"/>
                <w:color w:val="auto"/>
              </w:rPr>
            </w:pPr>
          </w:p>
        </w:tc>
        <w:tc>
          <w:tcPr>
            <w:tcW w:w="100" w:type="dxa"/>
            <w:vAlign w:val="bottom"/>
            <w:tcBorders>
              <w:bottom w:val="single" w:sz="8" w:color="E6E7E8"/>
            </w:tcBorders>
          </w:tcPr>
          <w:p>
            <w:pPr>
              <w:spacing w:after="0"/>
              <w:rPr>
                <w:sz w:val="2"/>
                <w:szCs w:val="2"/>
                <w:color w:val="auto"/>
              </w:rPr>
            </w:pPr>
          </w:p>
        </w:tc>
        <w:tc>
          <w:tcPr>
            <w:tcW w:w="780" w:type="dxa"/>
            <w:vAlign w:val="bottom"/>
            <w:tcBorders>
              <w:bottom w:val="single" w:sz="8" w:color="E6E7E8"/>
            </w:tcBorders>
          </w:tcPr>
          <w:p>
            <w:pPr>
              <w:spacing w:after="0"/>
              <w:rPr>
                <w:sz w:val="2"/>
                <w:szCs w:val="2"/>
                <w:color w:val="auto"/>
              </w:rPr>
            </w:pPr>
          </w:p>
        </w:tc>
        <w:tc>
          <w:tcPr>
            <w:tcW w:w="920" w:type="dxa"/>
            <w:vAlign w:val="bottom"/>
            <w:tcBorders>
              <w:bottom w:val="single" w:sz="8" w:color="E6E7E8"/>
            </w:tcBorders>
          </w:tcPr>
          <w:p>
            <w:pPr>
              <w:spacing w:after="0"/>
              <w:rPr>
                <w:sz w:val="2"/>
                <w:szCs w:val="2"/>
                <w:color w:val="auto"/>
              </w:rPr>
            </w:pPr>
          </w:p>
        </w:tc>
        <w:tc>
          <w:tcPr>
            <w:tcW w:w="48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20" w:type="dxa"/>
            <w:vAlign w:val="bottom"/>
            <w:tcBorders>
              <w:bottom w:val="single" w:sz="8" w:color="E6E7E8"/>
            </w:tcBorders>
          </w:tcPr>
          <w:p>
            <w:pPr>
              <w:spacing w:after="0"/>
              <w:rPr>
                <w:sz w:val="2"/>
                <w:szCs w:val="2"/>
                <w:color w:val="auto"/>
              </w:rPr>
            </w:pPr>
          </w:p>
        </w:tc>
        <w:tc>
          <w:tcPr>
            <w:tcW w:w="760" w:type="dxa"/>
            <w:vAlign w:val="bottom"/>
            <w:tcBorders>
              <w:bottom w:val="single" w:sz="8" w:color="E6E7E8"/>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560" w:type="dxa"/>
            <w:vAlign w:val="bottom"/>
            <w:tcBorders>
              <w:bottom w:val="single" w:sz="8" w:color="E6E7E8"/>
            </w:tcBorders>
          </w:tcPr>
          <w:p>
            <w:pPr>
              <w:ind w:left="180"/>
              <w:spacing w:after="0"/>
              <w:rPr>
                <w:sz w:val="20"/>
                <w:szCs w:val="20"/>
                <w:color w:val="auto"/>
              </w:rPr>
            </w:pPr>
            <w:r>
              <w:rPr>
                <w:rFonts w:ascii="Arial" w:cs="Arial" w:eastAsia="Arial" w:hAnsi="Arial"/>
                <w:sz w:val="11"/>
                <w:szCs w:val="11"/>
                <w:color w:val="auto"/>
                <w:w w:val="95"/>
              </w:rPr>
              <w:t xml:space="preserve">RSU </w:t>
            </w:r>
            <w:r>
              <w:rPr>
                <w:rFonts w:ascii="Arial" w:cs="Arial" w:eastAsia="Arial" w:hAnsi="Arial"/>
                <w:sz w:val="14"/>
                <w:szCs w:val="14"/>
                <w:color w:val="auto"/>
                <w:w w:val="95"/>
                <w:vertAlign w:val="superscript"/>
              </w:rPr>
              <w:t>(4)</w:t>
            </w:r>
          </w:p>
        </w:tc>
        <w:tc>
          <w:tcPr>
            <w:tcW w:w="260" w:type="dxa"/>
            <w:vAlign w:val="bottom"/>
            <w:tcBorders>
              <w:bottom w:val="single" w:sz="8" w:color="E6E7E8"/>
            </w:tcBorders>
          </w:tcPr>
          <w:p>
            <w:pPr>
              <w:spacing w:after="0"/>
              <w:rPr>
                <w:sz w:val="16"/>
                <w:szCs w:val="16"/>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487"/>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1,219</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720,099</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560" w:type="dxa"/>
            <w:vAlign w:val="bottom"/>
            <w:tcBorders>
              <w:bottom w:val="single" w:sz="8" w:color="E6E7E8"/>
            </w:tcBorders>
          </w:tcPr>
          <w:p>
            <w:pPr>
              <w:ind w:left="180"/>
              <w:spacing w:after="0" w:line="198" w:lineRule="exact"/>
              <w:rPr>
                <w:sz w:val="20"/>
                <w:szCs w:val="20"/>
                <w:color w:val="auto"/>
              </w:rPr>
            </w:pPr>
            <w:r>
              <w:rPr>
                <w:rFonts w:ascii="Arial" w:cs="Arial" w:eastAsia="Arial" w:hAnsi="Arial"/>
                <w:sz w:val="21"/>
                <w:szCs w:val="21"/>
                <w:color w:val="auto"/>
                <w:w w:val="91"/>
                <w:vertAlign w:val="subscript"/>
              </w:rPr>
              <w:t>PSU</w:t>
            </w:r>
            <w:r>
              <w:rPr>
                <w:rFonts w:ascii="Arial" w:cs="Arial" w:eastAsia="Arial" w:hAnsi="Arial"/>
                <w:sz w:val="7"/>
                <w:szCs w:val="7"/>
                <w:color w:val="auto"/>
                <w:w w:val="91"/>
              </w:rPr>
              <w:t xml:space="preserve"> (5)</w:t>
            </w:r>
          </w:p>
        </w:tc>
        <w:tc>
          <w:tcPr>
            <w:tcW w:w="260" w:type="dxa"/>
            <w:vAlign w:val="bottom"/>
            <w:tcBorders>
              <w:bottom w:val="single" w:sz="8" w:color="E6E7E8"/>
            </w:tcBorders>
          </w:tcPr>
          <w:p>
            <w:pPr>
              <w:spacing w:after="0"/>
              <w:rPr>
                <w:sz w:val="17"/>
                <w:szCs w:val="17"/>
                <w:color w:val="auto"/>
              </w:rPr>
            </w:pPr>
          </w:p>
        </w:tc>
        <w:tc>
          <w:tcPr>
            <w:tcW w:w="780" w:type="dxa"/>
            <w:vAlign w:val="bottom"/>
            <w:tcBorders>
              <w:bottom w:val="single" w:sz="8" w:color="E6E7E8"/>
            </w:tcBorders>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tcBorders>
              <w:bottom w:val="single" w:sz="8" w:color="E6E7E8"/>
            </w:tcBorders>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tcBorders>
              <w:bottom w:val="single" w:sz="8" w:color="E6E7E8"/>
            </w:tcBorders>
          </w:tcPr>
          <w:p>
            <w:pPr>
              <w:ind w:left="64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6E7E8"/>
            </w:tcBorders>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7E8"/>
            </w:tcBorders>
          </w:tcPr>
          <w:p>
            <w:pPr>
              <w:jc w:val="center"/>
              <w:ind w:left="507"/>
              <w:spacing w:after="0"/>
              <w:rPr>
                <w:sz w:val="20"/>
                <w:szCs w:val="20"/>
                <w:color w:val="auto"/>
              </w:rPr>
            </w:pPr>
            <w:r>
              <w:rPr>
                <w:rFonts w:ascii="Arial" w:cs="Arial" w:eastAsia="Arial" w:hAnsi="Arial"/>
                <w:sz w:val="11"/>
                <w:szCs w:val="11"/>
                <w:color w:val="auto"/>
                <w:w w:val="97"/>
              </w:rPr>
              <w:t>133</w:t>
            </w:r>
          </w:p>
        </w:tc>
        <w:tc>
          <w:tcPr>
            <w:tcW w:w="920" w:type="dxa"/>
            <w:vAlign w:val="bottom"/>
            <w:tcBorders>
              <w:bottom w:val="single" w:sz="8" w:color="E6E7E8"/>
            </w:tcBorders>
          </w:tcPr>
          <w:p>
            <w:pPr>
              <w:jc w:val="right"/>
              <w:ind w:right="307"/>
              <w:spacing w:after="0"/>
              <w:rPr>
                <w:sz w:val="20"/>
                <w:szCs w:val="20"/>
                <w:color w:val="auto"/>
              </w:rPr>
            </w:pPr>
            <w:r>
              <w:rPr>
                <w:rFonts w:ascii="Arial" w:cs="Arial" w:eastAsia="Arial" w:hAnsi="Arial"/>
                <w:sz w:val="11"/>
                <w:szCs w:val="11"/>
                <w:color w:val="auto"/>
              </w:rPr>
              <w:t>1,330</w:t>
            </w:r>
          </w:p>
        </w:tc>
        <w:tc>
          <w:tcPr>
            <w:tcW w:w="480" w:type="dxa"/>
            <w:vAlign w:val="bottom"/>
            <w:tcBorders>
              <w:bottom w:val="single" w:sz="8" w:color="E6E7E8"/>
            </w:tcBorders>
          </w:tcPr>
          <w:p>
            <w:pPr>
              <w:jc w:val="right"/>
              <w:ind w:right="6"/>
              <w:spacing w:after="0"/>
              <w:rPr>
                <w:sz w:val="20"/>
                <w:szCs w:val="20"/>
                <w:color w:val="auto"/>
              </w:rPr>
            </w:pPr>
            <w:r>
              <w:rPr>
                <w:rFonts w:ascii="Arial" w:cs="Arial" w:eastAsia="Arial" w:hAnsi="Arial"/>
                <w:sz w:val="11"/>
                <w:szCs w:val="11"/>
                <w:color w:val="auto"/>
              </w:rPr>
              <w:t>2,660</w:t>
            </w:r>
          </w:p>
        </w:tc>
        <w:tc>
          <w:tcPr>
            <w:tcW w:w="84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E6E7E8"/>
            </w:tcBorders>
          </w:tcPr>
          <w:p>
            <w:pPr>
              <w:jc w:val="right"/>
              <w:ind w:right="127"/>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E6E7E8"/>
            </w:tcBorders>
          </w:tcPr>
          <w:p>
            <w:pPr>
              <w:jc w:val="right"/>
              <w:ind w:right="7"/>
              <w:spacing w:after="0"/>
              <w:rPr>
                <w:sz w:val="20"/>
                <w:szCs w:val="20"/>
                <w:color w:val="auto"/>
              </w:rPr>
            </w:pPr>
            <w:r>
              <w:rPr>
                <w:rFonts w:ascii="Arial" w:cs="Arial" w:eastAsia="Arial" w:hAnsi="Arial"/>
                <w:sz w:val="11"/>
                <w:szCs w:val="11"/>
                <w:color w:val="auto"/>
              </w:rPr>
              <w:t>720,434</w:t>
            </w:r>
          </w:p>
        </w:tc>
        <w:tc>
          <w:tcPr>
            <w:tcW w:w="0" w:type="dxa"/>
            <w:vAlign w:val="bottom"/>
          </w:tcPr>
          <w:p>
            <w:pPr>
              <w:spacing w:after="0"/>
              <w:rPr>
                <w:sz w:val="1"/>
                <w:szCs w:val="1"/>
                <w:color w:val="auto"/>
              </w:rPr>
            </w:pPr>
          </w:p>
        </w:tc>
      </w:tr>
      <w:tr>
        <w:trPr>
          <w:trHeight w:val="97"/>
        </w:trPr>
        <w:tc>
          <w:tcPr>
            <w:tcW w:w="92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color w:val="auto"/>
              </w:rPr>
              <w:t>PSO</w:t>
            </w:r>
          </w:p>
        </w:tc>
        <w:tc>
          <w:tcPr>
            <w:tcW w:w="260" w:type="dxa"/>
            <w:vAlign w:val="bottom"/>
          </w:tcPr>
          <w:p>
            <w:pPr>
              <w:jc w:val="right"/>
              <w:ind w:right="105"/>
              <w:spacing w:after="0"/>
              <w:rPr>
                <w:sz w:val="20"/>
                <w:szCs w:val="20"/>
                <w:color w:val="auto"/>
              </w:rPr>
            </w:pPr>
            <w:r>
              <w:rPr>
                <w:rFonts w:ascii="Arial" w:cs="Arial" w:eastAsia="Arial" w:hAnsi="Arial"/>
                <w:sz w:val="7"/>
                <w:szCs w:val="7"/>
                <w:color w:val="auto"/>
              </w:rPr>
              <w:t>(6)</w:t>
            </w:r>
          </w:p>
        </w:tc>
        <w:tc>
          <w:tcPr>
            <w:tcW w:w="780" w:type="dxa"/>
            <w:vAlign w:val="bottom"/>
            <w:vMerge w:val="restart"/>
          </w:tcPr>
          <w:p>
            <w:pPr>
              <w:jc w:val="right"/>
              <w:ind w:right="106"/>
              <w:spacing w:after="0"/>
              <w:rPr>
                <w:sz w:val="20"/>
                <w:szCs w:val="20"/>
                <w:color w:val="auto"/>
              </w:rPr>
            </w:pPr>
            <w:r>
              <w:rPr>
                <w:rFonts w:ascii="Arial" w:cs="Arial" w:eastAsia="Arial" w:hAnsi="Arial"/>
                <w:sz w:val="11"/>
                <w:szCs w:val="11"/>
                <w:color w:val="auto"/>
              </w:rPr>
              <w:t>1/31/2025</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1/27/2025</w:t>
            </w:r>
          </w:p>
        </w:tc>
        <w:tc>
          <w:tcPr>
            <w:tcW w:w="800" w:type="dxa"/>
            <w:vAlign w:val="bottom"/>
            <w:vMerge w:val="restart"/>
          </w:tcPr>
          <w:p>
            <w:pPr>
              <w:ind w:left="640"/>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187"/>
              <w:spacing w:after="0"/>
              <w:rPr>
                <w:sz w:val="20"/>
                <w:szCs w:val="20"/>
                <w:color w:val="auto"/>
              </w:rPr>
            </w:pPr>
            <w:r>
              <w:rPr>
                <w:rFonts w:ascii="Arial" w:cs="Arial" w:eastAsia="Arial" w:hAnsi="Arial"/>
                <w:sz w:val="11"/>
                <w:szCs w:val="11"/>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1,075</w:t>
            </w:r>
          </w:p>
        </w:tc>
        <w:tc>
          <w:tcPr>
            <w:tcW w:w="920" w:type="dxa"/>
            <w:vAlign w:val="bottom"/>
            <w:vMerge w:val="restart"/>
          </w:tcPr>
          <w:p>
            <w:pPr>
              <w:jc w:val="right"/>
              <w:ind w:right="307"/>
              <w:spacing w:after="0"/>
              <w:rPr>
                <w:sz w:val="20"/>
                <w:szCs w:val="20"/>
                <w:color w:val="auto"/>
              </w:rPr>
            </w:pPr>
            <w:r>
              <w:rPr>
                <w:rFonts w:ascii="Arial" w:cs="Arial" w:eastAsia="Arial" w:hAnsi="Arial"/>
                <w:sz w:val="11"/>
                <w:szCs w:val="11"/>
                <w:color w:val="auto"/>
              </w:rPr>
              <w:t>4,303</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8,606</w:t>
            </w:r>
          </w:p>
        </w:tc>
        <w:tc>
          <w:tcPr>
            <w:tcW w:w="84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127"/>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127"/>
              <w:spacing w:after="0"/>
              <w:rPr>
                <w:sz w:val="20"/>
                <w:szCs w:val="20"/>
                <w:color w:val="auto"/>
              </w:rPr>
            </w:pPr>
            <w:r>
              <w:rPr>
                <w:rFonts w:ascii="Arial" w:cs="Arial" w:eastAsia="Arial" w:hAnsi="Arial"/>
                <w:sz w:val="11"/>
                <w:szCs w:val="11"/>
                <w:color w:val="auto"/>
              </w:rPr>
              <w:t>590.73</w:t>
            </w:r>
          </w:p>
        </w:tc>
        <w:tc>
          <w:tcPr>
            <w:tcW w:w="760" w:type="dxa"/>
            <w:vAlign w:val="bottom"/>
            <w:vMerge w:val="restart"/>
          </w:tcPr>
          <w:p>
            <w:pPr>
              <w:jc w:val="right"/>
              <w:ind w:right="7"/>
              <w:spacing w:after="0"/>
              <w:rPr>
                <w:sz w:val="20"/>
                <w:szCs w:val="20"/>
                <w:color w:val="auto"/>
              </w:rPr>
            </w:pPr>
            <w:r>
              <w:rPr>
                <w:rFonts w:ascii="Arial" w:cs="Arial" w:eastAsia="Arial" w:hAnsi="Arial"/>
                <w:sz w:val="11"/>
                <w:szCs w:val="11"/>
                <w:color w:val="auto"/>
              </w:rPr>
              <w:t>960,042</w:t>
            </w:r>
          </w:p>
        </w:tc>
        <w:tc>
          <w:tcPr>
            <w:tcW w:w="0" w:type="dxa"/>
            <w:vAlign w:val="bottom"/>
          </w:tcPr>
          <w:p>
            <w:pPr>
              <w:spacing w:after="0"/>
              <w:rPr>
                <w:sz w:val="1"/>
                <w:szCs w:val="1"/>
                <w:color w:val="auto"/>
              </w:rPr>
            </w:pPr>
          </w:p>
        </w:tc>
      </w:tr>
      <w:tr>
        <w:trPr>
          <w:trHeight w:val="66"/>
        </w:trPr>
        <w:tc>
          <w:tcPr>
            <w:tcW w:w="9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920" w:type="dxa"/>
            <w:vAlign w:val="bottom"/>
            <w:tcBorders>
              <w:bottom w:val="single" w:sz="8" w:color="1A3FD6"/>
            </w:tcBorders>
          </w:tcPr>
          <w:p>
            <w:pPr>
              <w:spacing w:after="0"/>
              <w:rPr>
                <w:sz w:val="2"/>
                <w:szCs w:val="2"/>
                <w:color w:val="auto"/>
              </w:rPr>
            </w:pPr>
          </w:p>
        </w:tc>
        <w:tc>
          <w:tcPr>
            <w:tcW w:w="560" w:type="dxa"/>
            <w:vAlign w:val="bottom"/>
            <w:tcBorders>
              <w:bottom w:val="single" w:sz="8" w:color="1A3FD6"/>
            </w:tcBorders>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880" w:type="dxa"/>
            <w:vAlign w:val="bottom"/>
            <w:tcBorders>
              <w:bottom w:val="single" w:sz="8" w:color="1A3FD6"/>
            </w:tcBorders>
          </w:tcPr>
          <w:p>
            <w:pPr>
              <w:spacing w:after="0"/>
              <w:rPr>
                <w:sz w:val="2"/>
                <w:szCs w:val="2"/>
                <w:color w:val="auto"/>
              </w:rPr>
            </w:pPr>
          </w:p>
        </w:tc>
        <w:tc>
          <w:tcPr>
            <w:tcW w:w="800" w:type="dxa"/>
            <w:vAlign w:val="bottom"/>
            <w:tcBorders>
              <w:bottom w:val="single" w:sz="8" w:color="1A3FD6"/>
            </w:tcBorders>
          </w:tcPr>
          <w:p>
            <w:pPr>
              <w:spacing w:after="0"/>
              <w:rPr>
                <w:sz w:val="2"/>
                <w:szCs w:val="2"/>
                <w:color w:val="auto"/>
              </w:rPr>
            </w:pPr>
          </w:p>
        </w:tc>
        <w:tc>
          <w:tcPr>
            <w:tcW w:w="1000" w:type="dxa"/>
            <w:vAlign w:val="bottom"/>
            <w:tcBorders>
              <w:bottom w:val="single" w:sz="8" w:color="1A3FD6"/>
            </w:tcBorders>
          </w:tcPr>
          <w:p>
            <w:pPr>
              <w:spacing w:after="0"/>
              <w:rPr>
                <w:sz w:val="2"/>
                <w:szCs w:val="2"/>
                <w:color w:val="auto"/>
              </w:rPr>
            </w:pPr>
          </w:p>
        </w:tc>
        <w:tc>
          <w:tcPr>
            <w:tcW w:w="620" w:type="dxa"/>
            <w:vAlign w:val="bottom"/>
            <w:tcBorders>
              <w:bottom w:val="single" w:sz="8" w:color="1A3FD6"/>
            </w:tcBorders>
          </w:tcPr>
          <w:p>
            <w:pPr>
              <w:spacing w:after="0"/>
              <w:rPr>
                <w:sz w:val="2"/>
                <w:szCs w:val="2"/>
                <w:color w:val="auto"/>
              </w:rPr>
            </w:pPr>
          </w:p>
        </w:tc>
        <w:tc>
          <w:tcPr>
            <w:tcW w:w="10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920" w:type="dxa"/>
            <w:vAlign w:val="bottom"/>
            <w:tcBorders>
              <w:bottom w:val="single" w:sz="8" w:color="1A3FD6"/>
            </w:tcBorders>
          </w:tcPr>
          <w:p>
            <w:pPr>
              <w:spacing w:after="0"/>
              <w:rPr>
                <w:sz w:val="2"/>
                <w:szCs w:val="2"/>
                <w:color w:val="auto"/>
              </w:rPr>
            </w:pPr>
          </w:p>
        </w:tc>
        <w:tc>
          <w:tcPr>
            <w:tcW w:w="480" w:type="dxa"/>
            <w:vAlign w:val="bottom"/>
            <w:tcBorders>
              <w:bottom w:val="single" w:sz="8" w:color="1A3FD6"/>
            </w:tcBorders>
          </w:tcPr>
          <w:p>
            <w:pPr>
              <w:spacing w:after="0"/>
              <w:rPr>
                <w:sz w:val="2"/>
                <w:szCs w:val="2"/>
                <w:color w:val="auto"/>
              </w:rPr>
            </w:pPr>
          </w:p>
        </w:tc>
        <w:tc>
          <w:tcPr>
            <w:tcW w:w="840" w:type="dxa"/>
            <w:vAlign w:val="bottom"/>
            <w:tcBorders>
              <w:bottom w:val="single" w:sz="8" w:color="1A3FD6"/>
            </w:tcBorders>
          </w:tcPr>
          <w:p>
            <w:pPr>
              <w:spacing w:after="0"/>
              <w:rPr>
                <w:sz w:val="2"/>
                <w:szCs w:val="2"/>
                <w:color w:val="auto"/>
              </w:rPr>
            </w:pPr>
          </w:p>
        </w:tc>
        <w:tc>
          <w:tcPr>
            <w:tcW w:w="820" w:type="dxa"/>
            <w:vAlign w:val="bottom"/>
            <w:tcBorders>
              <w:bottom w:val="single" w:sz="8" w:color="1A3FD6"/>
            </w:tcBorders>
          </w:tcPr>
          <w:p>
            <w:pPr>
              <w:spacing w:after="0"/>
              <w:rPr>
                <w:sz w:val="2"/>
                <w:szCs w:val="2"/>
                <w:color w:val="auto"/>
              </w:rPr>
            </w:pPr>
          </w:p>
        </w:tc>
        <w:tc>
          <w:tcPr>
            <w:tcW w:w="720" w:type="dxa"/>
            <w:vAlign w:val="bottom"/>
            <w:tcBorders>
              <w:bottom w:val="single" w:sz="8" w:color="1A3FD6"/>
            </w:tcBorders>
          </w:tcPr>
          <w:p>
            <w:pPr>
              <w:spacing w:after="0"/>
              <w:rPr>
                <w:sz w:val="2"/>
                <w:szCs w:val="2"/>
                <w:color w:val="auto"/>
              </w:rPr>
            </w:pPr>
          </w:p>
        </w:tc>
        <w:tc>
          <w:tcPr>
            <w:tcW w:w="76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60" w:right="580" w:hanging="252"/>
        <w:spacing w:after="0" w:line="231" w:lineRule="auto"/>
        <w:tabs>
          <w:tab w:leader="none" w:pos="264"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Represents the target and maximum payouts with respect to the AIP for 2025. There are no threshold or minimum payouts under the AIP. For additional information regarding the AIP, see “Compensation Discussion and Analysis–Variable Compensation–Annual Cash Incentives” above.</w:t>
      </w:r>
    </w:p>
    <w:p>
      <w:pPr>
        <w:spacing w:after="0" w:line="11"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Mr. Pettit’s 2025 target AIP payment was £900,000.</w:t>
      </w:r>
    </w:p>
    <w:p>
      <w:pPr>
        <w:spacing w:after="0" w:line="57" w:lineRule="exact"/>
        <w:rPr>
          <w:rFonts w:ascii="Arial" w:cs="Arial" w:eastAsia="Arial" w:hAnsi="Arial"/>
          <w:sz w:val="19"/>
          <w:szCs w:val="19"/>
          <w:color w:val="auto"/>
          <w:vertAlign w:val="superscript"/>
        </w:rPr>
      </w:pPr>
    </w:p>
    <w:p>
      <w:pPr>
        <w:ind w:left="260" w:hanging="252"/>
        <w:spacing w:after="0" w:line="210" w:lineRule="auto"/>
        <w:tabs>
          <w:tab w:leader="none" w:pos="26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Mr. Munari’s 2025 target AIP payment was CHF 850,000</w:t>
      </w:r>
      <w:r>
        <w:rPr>
          <w:rFonts w:ascii="Arial" w:cs="Arial" w:eastAsia="Arial" w:hAnsi="Arial"/>
          <w:sz w:val="16"/>
          <w:szCs w:val="16"/>
          <w:color w:val="auto"/>
        </w:rPr>
        <w:t>.</w:t>
      </w:r>
    </w:p>
    <w:p>
      <w:pPr>
        <w:spacing w:after="0" w:line="48" w:lineRule="exact"/>
        <w:rPr>
          <w:rFonts w:ascii="Arial" w:cs="Arial" w:eastAsia="Arial" w:hAnsi="Arial"/>
          <w:sz w:val="19"/>
          <w:szCs w:val="19"/>
          <w:color w:val="auto"/>
          <w:vertAlign w:val="superscript"/>
        </w:rPr>
      </w:pPr>
    </w:p>
    <w:p>
      <w:pPr>
        <w:ind w:left="260" w:hanging="252"/>
        <w:spacing w:after="0" w:line="193" w:lineRule="auto"/>
        <w:tabs>
          <w:tab w:leader="none" w:pos="26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Represents service vesting RSUs granted during 2025 that cliff-vest on January 31, 2028, subject to continued service through the vesting date.</w:t>
      </w:r>
    </w:p>
    <w:p>
      <w:pPr>
        <w:spacing w:after="0" w:line="53" w:lineRule="exact"/>
        <w:rPr>
          <w:rFonts w:ascii="Arial" w:cs="Arial" w:eastAsia="Arial" w:hAnsi="Arial"/>
          <w:sz w:val="19"/>
          <w:szCs w:val="19"/>
          <w:color w:val="auto"/>
          <w:vertAlign w:val="superscript"/>
        </w:rPr>
      </w:pPr>
    </w:p>
    <w:p>
      <w:pPr>
        <w:jc w:val="both"/>
        <w:ind w:left="260" w:right="20" w:hanging="252"/>
        <w:spacing w:after="0" w:line="228" w:lineRule="auto"/>
        <w:tabs>
          <w:tab w:leader="none" w:pos="25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Represents the target number of PSUs granted during 2025 that cliff-vest at the end of a three-year performance period from January 31, 2025 to January 30, 2028, subject to achievement of a TSR CAGR performance metric and continued service through the last day of the performance period. The actual number of PSUs will be determined at the end of the performance period and may be adjusted down to 0% or up to 200% of the target amount.</w:t>
      </w:r>
    </w:p>
    <w:p>
      <w:pPr>
        <w:spacing w:after="0" w:line="39" w:lineRule="exact"/>
        <w:rPr>
          <w:rFonts w:ascii="Arial" w:cs="Arial" w:eastAsia="Arial" w:hAnsi="Arial"/>
          <w:sz w:val="19"/>
          <w:szCs w:val="19"/>
          <w:color w:val="auto"/>
          <w:vertAlign w:val="superscript"/>
        </w:rPr>
      </w:pPr>
    </w:p>
    <w:p>
      <w:pPr>
        <w:ind w:left="260" w:right="60" w:hanging="252"/>
        <w:spacing w:after="0" w:line="246" w:lineRule="auto"/>
        <w:tabs>
          <w:tab w:leader="none" w:pos="25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Represents the target number of PSOs granted during 2025 that cliff-vest and become exercisable on the third anniversary of the grant date, subject to the combined level of achievement of (i) a cumulative revenue performance goal and (ii) a cumulative adjusted EPS performance goal, in each case measured over a cumulative three-year performance period from January 1, 2025 to December 31, 2027. The actual number of PSOs will be determined at the end of the performance period and may be adjusted down to 0% or up to 200% of the target amount.</w:t>
      </w:r>
    </w:p>
    <w:p>
      <w:pPr>
        <w:spacing w:after="0" w:line="23"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2"/>
        </w:numPr>
        <w:rPr>
          <w:rFonts w:ascii="Arial" w:cs="Arial" w:eastAsia="Arial" w:hAnsi="Arial"/>
          <w:sz w:val="9"/>
          <w:szCs w:val="9"/>
          <w:color w:val="auto"/>
        </w:rPr>
      </w:pPr>
      <w:r>
        <w:rPr>
          <w:rFonts w:ascii="Arial" w:cs="Arial" w:eastAsia="Arial" w:hAnsi="Arial"/>
          <w:sz w:val="14"/>
          <w:szCs w:val="14"/>
          <w:color w:val="auto"/>
        </w:rPr>
        <w:t>Represents the special PPO award granted to Mr. Fernandez during 2025 that cliff-vest on January 31, 2030, subject to continued service through the vesting date.</w:t>
      </w:r>
    </w:p>
    <w:p>
      <w:pPr>
        <w:spacing w:after="0" w:line="68" w:lineRule="exact"/>
        <w:rPr>
          <w:rFonts w:ascii="Arial" w:cs="Arial" w:eastAsia="Arial" w:hAnsi="Arial"/>
          <w:sz w:val="9"/>
          <w:szCs w:val="9"/>
          <w:color w:val="auto"/>
        </w:rPr>
      </w:pPr>
    </w:p>
    <w:p>
      <w:pPr>
        <w:ind w:left="260" w:right="60" w:hanging="252"/>
        <w:spacing w:after="0" w:line="250" w:lineRule="auto"/>
        <w:tabs>
          <w:tab w:leader="none" w:pos="250"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Represents the grant date fair value of stock and option awards as computed in accordance with FASB ASC Subtopic 718-10. The grant date fair value for the RSUs was based on the closing share price of MSCI common stock on the trading day preceding the grant date or service inception date. For PSUs, the grant date fair value is based on the probable outcome of the performance conditions as of the grant date, consistent with the estimate of aggregate compensation cost to be recognized over the service period determined as of the grant date under FASB ASC Subtopic 718-10. For PSOs, the grant date fair value was calculated using the Black-Scholes option pricing model, in accordance with FASB ASC Subtopic 718-10. For PPOs, the grant date fair value was calculated using the Hull-White lattice model, in accordance with FASB ASC Subtopic 718-10. For the values of the PSUs and PSOs, assuming attainment of the maximum level of the performance conditions, and the values of the PPOs, see footnote 2 to the “Summary Compensation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267970</wp:posOffset>
            </wp:positionV>
            <wp:extent cx="556895" cy="145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Outstanding Equity Awards at Fiscal Year-End</w:t>
      </w:r>
    </w:p>
    <w:p>
      <w:pPr>
        <w:spacing w:after="0" w:line="119"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following table shows the number of shares covered by outstanding PSOs, PPOs, PSUs and RSUs held by each of our NEOs on December 31, 2025, which units remain subject to forfeiture and cancellation provisions.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b w:val="1"/>
                <w:bCs w:val="1"/>
                <w:color w:val="auto"/>
                <w:w w:val="94"/>
              </w:rPr>
              <w:t>Option Awards</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0" w:type="dxa"/>
            <w:vAlign w:val="bottom"/>
            <w:gridSpan w:val="2"/>
          </w:tcPr>
          <w:p>
            <w:pPr>
              <w:jc w:val="right"/>
              <w:ind w:right="805"/>
              <w:spacing w:after="0"/>
              <w:rPr>
                <w:sz w:val="20"/>
                <w:szCs w:val="20"/>
                <w:color w:val="auto"/>
              </w:rPr>
            </w:pPr>
            <w:r>
              <w:rPr>
                <w:rFonts w:ascii="Arial" w:cs="Arial" w:eastAsia="Arial" w:hAnsi="Arial"/>
                <w:sz w:val="11"/>
                <w:szCs w:val="11"/>
                <w:b w:val="1"/>
                <w:bCs w:val="1"/>
                <w:color w:val="auto"/>
              </w:rPr>
              <w:t>Stock Awards</w:t>
            </w:r>
          </w:p>
        </w:tc>
        <w:tc>
          <w:tcPr>
            <w:tcW w:w="960" w:type="dxa"/>
            <w:vAlign w:val="bottom"/>
          </w:tcPr>
          <w:p>
            <w:pPr>
              <w:spacing w:after="0"/>
              <w:rPr>
                <w:sz w:val="12"/>
                <w:szCs w:val="12"/>
                <w:color w:val="auto"/>
              </w:rPr>
            </w:pPr>
          </w:p>
        </w:tc>
      </w:tr>
      <w:tr>
        <w:trPr>
          <w:trHeight w:val="28"/>
        </w:trPr>
        <w:tc>
          <w:tcPr>
            <w:tcW w:w="1860" w:type="dxa"/>
            <w:vAlign w:val="bottom"/>
          </w:tcPr>
          <w:p>
            <w:pPr>
              <w:spacing w:after="0"/>
              <w:rPr>
                <w:sz w:val="2"/>
                <w:szCs w:val="2"/>
                <w:color w:val="auto"/>
              </w:rPr>
            </w:pPr>
          </w:p>
        </w:tc>
        <w:tc>
          <w:tcPr>
            <w:tcW w:w="1120" w:type="dxa"/>
            <w:vAlign w:val="bottom"/>
            <w:tcBorders>
              <w:bottom w:val="single" w:sz="8" w:color="0626A9"/>
            </w:tcBorders>
          </w:tcPr>
          <w:p>
            <w:pPr>
              <w:spacing w:after="0"/>
              <w:rPr>
                <w:sz w:val="2"/>
                <w:szCs w:val="2"/>
                <w:color w:val="auto"/>
              </w:rPr>
            </w:pPr>
          </w:p>
        </w:tc>
        <w:tc>
          <w:tcPr>
            <w:tcW w:w="940" w:type="dxa"/>
            <w:vAlign w:val="bottom"/>
            <w:tcBorders>
              <w:bottom w:val="single" w:sz="8" w:color="0626A9"/>
            </w:tcBorders>
          </w:tcPr>
          <w:p>
            <w:pPr>
              <w:spacing w:after="0"/>
              <w:rPr>
                <w:sz w:val="2"/>
                <w:szCs w:val="2"/>
                <w:color w:val="auto"/>
              </w:rPr>
            </w:pPr>
          </w:p>
        </w:tc>
        <w:tc>
          <w:tcPr>
            <w:tcW w:w="840" w:type="dxa"/>
            <w:vAlign w:val="bottom"/>
            <w:tcBorders>
              <w:bottom w:val="single" w:sz="8" w:color="0626A9"/>
            </w:tcBorders>
          </w:tcPr>
          <w:p>
            <w:pPr>
              <w:spacing w:after="0"/>
              <w:rPr>
                <w:sz w:val="2"/>
                <w:szCs w:val="2"/>
                <w:color w:val="auto"/>
              </w:rPr>
            </w:pPr>
          </w:p>
        </w:tc>
        <w:tc>
          <w:tcPr>
            <w:tcW w:w="460" w:type="dxa"/>
            <w:vAlign w:val="bottom"/>
            <w:tcBorders>
              <w:bottom w:val="single" w:sz="8" w:color="0626A9"/>
            </w:tcBorders>
          </w:tcPr>
          <w:p>
            <w:pPr>
              <w:spacing w:after="0"/>
              <w:rPr>
                <w:sz w:val="2"/>
                <w:szCs w:val="2"/>
                <w:color w:val="auto"/>
              </w:rPr>
            </w:pPr>
          </w:p>
        </w:tc>
        <w:tc>
          <w:tcPr>
            <w:tcW w:w="820" w:type="dxa"/>
            <w:vAlign w:val="bottom"/>
            <w:tcBorders>
              <w:bottom w:val="single" w:sz="8" w:color="0626A9"/>
            </w:tcBorders>
          </w:tcPr>
          <w:p>
            <w:pPr>
              <w:spacing w:after="0"/>
              <w:rPr>
                <w:sz w:val="2"/>
                <w:szCs w:val="2"/>
                <w:color w:val="auto"/>
              </w:rPr>
            </w:pPr>
          </w:p>
        </w:tc>
        <w:tc>
          <w:tcPr>
            <w:tcW w:w="700" w:type="dxa"/>
            <w:vAlign w:val="bottom"/>
            <w:tcBorders>
              <w:bottom w:val="single" w:sz="8" w:color="0626A9"/>
            </w:tcBorders>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Borders>
              <w:bottom w:val="single" w:sz="8" w:color="1A3FD6"/>
            </w:tcBorders>
          </w:tcPr>
          <w:p>
            <w:pPr>
              <w:spacing w:after="0"/>
              <w:rPr>
                <w:sz w:val="2"/>
                <w:szCs w:val="2"/>
                <w:color w:val="auto"/>
              </w:rPr>
            </w:pPr>
          </w:p>
        </w:tc>
        <w:tc>
          <w:tcPr>
            <w:tcW w:w="1020" w:type="dxa"/>
            <w:vAlign w:val="bottom"/>
            <w:tcBorders>
              <w:bottom w:val="single" w:sz="8" w:color="1A3FD6"/>
            </w:tcBorders>
          </w:tcPr>
          <w:p>
            <w:pPr>
              <w:spacing w:after="0"/>
              <w:rPr>
                <w:sz w:val="2"/>
                <w:szCs w:val="2"/>
                <w:color w:val="auto"/>
              </w:rPr>
            </w:pPr>
          </w:p>
        </w:tc>
        <w:tc>
          <w:tcPr>
            <w:tcW w:w="1180" w:type="dxa"/>
            <w:vAlign w:val="bottom"/>
            <w:tcBorders>
              <w:bottom w:val="single" w:sz="8" w:color="1A3FD6"/>
            </w:tcBorders>
          </w:tcPr>
          <w:p>
            <w:pPr>
              <w:spacing w:after="0"/>
              <w:rPr>
                <w:sz w:val="2"/>
                <w:szCs w:val="2"/>
                <w:color w:val="auto"/>
              </w:rPr>
            </w:pPr>
          </w:p>
        </w:tc>
        <w:tc>
          <w:tcPr>
            <w:tcW w:w="960" w:type="dxa"/>
            <w:vAlign w:val="bottom"/>
            <w:tcBorders>
              <w:bottom w:val="single" w:sz="8" w:color="1A3FD6"/>
            </w:tcBorders>
          </w:tcPr>
          <w:p>
            <w:pPr>
              <w:spacing w:after="0"/>
              <w:rPr>
                <w:sz w:val="2"/>
                <w:szCs w:val="2"/>
                <w:color w:val="auto"/>
              </w:rPr>
            </w:pPr>
          </w:p>
        </w:tc>
      </w:tr>
      <w:tr>
        <w:trPr>
          <w:trHeight w:val="142"/>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Equity</w:t>
            </w:r>
          </w:p>
        </w:tc>
      </w:tr>
      <w:tr>
        <w:trPr>
          <w:trHeight w:val="148"/>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Incentive</w:t>
            </w:r>
          </w:p>
        </w:tc>
      </w:tr>
      <w:tr>
        <w:trPr>
          <w:trHeight w:val="136"/>
        </w:trPr>
        <w:tc>
          <w:tcPr>
            <w:tcW w:w="1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Equity</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Plan Awards:</w:t>
            </w:r>
          </w:p>
        </w:tc>
      </w:tr>
      <w:tr>
        <w:trPr>
          <w:trHeight w:val="135"/>
        </w:trPr>
        <w:tc>
          <w:tcPr>
            <w:tcW w:w="1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Equity</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Incentive</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Market or</w:t>
            </w:r>
          </w:p>
        </w:tc>
      </w:tr>
      <w:tr>
        <w:trPr>
          <w:trHeight w:val="148"/>
        </w:trPr>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Incentive</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Plan Awards:</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Payout</w:t>
            </w:r>
          </w:p>
        </w:tc>
      </w:tr>
      <w:tr>
        <w:trPr>
          <w:trHeight w:val="135"/>
        </w:trPr>
        <w:tc>
          <w:tcPr>
            <w:tcW w:w="1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Plan Awards:</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Market</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Number of</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Value of</w:t>
            </w:r>
          </w:p>
        </w:tc>
      </w:tr>
      <w:tr>
        <w:trPr>
          <w:trHeight w:val="135"/>
        </w:trPr>
        <w:tc>
          <w:tcPr>
            <w:tcW w:w="1860" w:type="dxa"/>
            <w:vAlign w:val="bottom"/>
          </w:tcPr>
          <w:p>
            <w:pPr>
              <w:spacing w:after="0"/>
              <w:rPr>
                <w:sz w:val="11"/>
                <w:szCs w:val="11"/>
                <w:color w:val="auto"/>
              </w:rPr>
            </w:pPr>
          </w:p>
        </w:tc>
        <w:tc>
          <w:tcPr>
            <w:tcW w:w="1120" w:type="dxa"/>
            <w:vAlign w:val="bottom"/>
          </w:tcPr>
          <w:p>
            <w:pPr>
              <w:jc w:val="right"/>
              <w:ind w:right="145"/>
              <w:spacing w:after="0"/>
              <w:rPr>
                <w:sz w:val="20"/>
                <w:szCs w:val="20"/>
                <w:color w:val="auto"/>
              </w:rPr>
            </w:pPr>
            <w:r>
              <w:rPr>
                <w:rFonts w:ascii="Arial" w:cs="Arial" w:eastAsia="Arial" w:hAnsi="Arial"/>
                <w:sz w:val="11"/>
                <w:szCs w:val="11"/>
                <w:b w:val="1"/>
                <w:bCs w:val="1"/>
                <w:color w:val="auto"/>
              </w:rPr>
              <w:t>Number of</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Number of</w:t>
            </w: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Number of</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64"/>
              <w:spacing w:after="0"/>
              <w:rPr>
                <w:sz w:val="20"/>
                <w:szCs w:val="20"/>
                <w:color w:val="auto"/>
              </w:rPr>
            </w:pPr>
            <w:r>
              <w:rPr>
                <w:rFonts w:ascii="Arial" w:cs="Arial" w:eastAsia="Arial" w:hAnsi="Arial"/>
                <w:sz w:val="11"/>
                <w:szCs w:val="11"/>
                <w:b w:val="1"/>
                <w:bCs w:val="1"/>
                <w:color w:val="auto"/>
              </w:rPr>
              <w:t>Number of</w:t>
            </w: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Value of</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Unearned</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Unearned</w:t>
            </w:r>
          </w:p>
        </w:tc>
      </w:tr>
      <w:tr>
        <w:trPr>
          <w:trHeight w:val="148"/>
        </w:trPr>
        <w:tc>
          <w:tcPr>
            <w:tcW w:w="1860" w:type="dxa"/>
            <w:vAlign w:val="bottom"/>
          </w:tcPr>
          <w:p>
            <w:pPr>
              <w:spacing w:after="0"/>
              <w:rPr>
                <w:sz w:val="12"/>
                <w:szCs w:val="12"/>
                <w:color w:val="auto"/>
              </w:rPr>
            </w:pPr>
          </w:p>
        </w:tc>
        <w:tc>
          <w:tcPr>
            <w:tcW w:w="1120" w:type="dxa"/>
            <w:vAlign w:val="bottom"/>
          </w:tcPr>
          <w:p>
            <w:pPr>
              <w:jc w:val="right"/>
              <w:ind w:right="145"/>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Securities</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64"/>
              <w:spacing w:after="0"/>
              <w:rPr>
                <w:sz w:val="20"/>
                <w:szCs w:val="20"/>
                <w:color w:val="auto"/>
              </w:rPr>
            </w:pPr>
            <w:r>
              <w:rPr>
                <w:rFonts w:ascii="Arial" w:cs="Arial" w:eastAsia="Arial" w:hAnsi="Arial"/>
                <w:sz w:val="11"/>
                <w:szCs w:val="11"/>
                <w:b w:val="1"/>
                <w:bCs w:val="1"/>
                <w:color w:val="auto"/>
              </w:rPr>
              <w:t>Shares or</w:t>
            </w: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Shares or</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Shares, Units</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Shares, Units</w:t>
            </w:r>
          </w:p>
        </w:tc>
      </w:tr>
      <w:tr>
        <w:trPr>
          <w:trHeight w:val="135"/>
        </w:trPr>
        <w:tc>
          <w:tcPr>
            <w:tcW w:w="1860" w:type="dxa"/>
            <w:vAlign w:val="bottom"/>
          </w:tcPr>
          <w:p>
            <w:pPr>
              <w:spacing w:after="0"/>
              <w:rPr>
                <w:sz w:val="11"/>
                <w:szCs w:val="11"/>
                <w:color w:val="auto"/>
              </w:rPr>
            </w:pPr>
          </w:p>
        </w:tc>
        <w:tc>
          <w:tcPr>
            <w:tcW w:w="1120" w:type="dxa"/>
            <w:vAlign w:val="bottom"/>
          </w:tcPr>
          <w:p>
            <w:pPr>
              <w:jc w:val="right"/>
              <w:ind w:right="145"/>
              <w:spacing w:after="0"/>
              <w:rPr>
                <w:sz w:val="20"/>
                <w:szCs w:val="20"/>
                <w:color w:val="auto"/>
              </w:rPr>
            </w:pPr>
            <w:r>
              <w:rPr>
                <w:rFonts w:ascii="Arial" w:cs="Arial" w:eastAsia="Arial" w:hAnsi="Arial"/>
                <w:sz w:val="11"/>
                <w:szCs w:val="11"/>
                <w:b w:val="1"/>
                <w:bCs w:val="1"/>
                <w:color w:val="auto"/>
              </w:rPr>
              <w:t>underlying</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underlying</w:t>
            </w: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Underlying</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64"/>
              <w:spacing w:after="0"/>
              <w:rPr>
                <w:sz w:val="20"/>
                <w:szCs w:val="20"/>
                <w:color w:val="auto"/>
              </w:rPr>
            </w:pPr>
            <w:r>
              <w:rPr>
                <w:rFonts w:ascii="Arial" w:cs="Arial" w:eastAsia="Arial" w:hAnsi="Arial"/>
                <w:sz w:val="11"/>
                <w:szCs w:val="11"/>
                <w:b w:val="1"/>
                <w:bCs w:val="1"/>
                <w:color w:val="auto"/>
              </w:rPr>
              <w:t>Units of</w:t>
            </w: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Units of</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or Other</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or Other</w:t>
            </w:r>
          </w:p>
        </w:tc>
      </w:tr>
      <w:tr>
        <w:trPr>
          <w:trHeight w:val="135"/>
        </w:trPr>
        <w:tc>
          <w:tcPr>
            <w:tcW w:w="1860" w:type="dxa"/>
            <w:vAlign w:val="bottom"/>
          </w:tcPr>
          <w:p>
            <w:pPr>
              <w:spacing w:after="0"/>
              <w:rPr>
                <w:sz w:val="11"/>
                <w:szCs w:val="11"/>
                <w:color w:val="auto"/>
              </w:rPr>
            </w:pPr>
          </w:p>
        </w:tc>
        <w:tc>
          <w:tcPr>
            <w:tcW w:w="1120" w:type="dxa"/>
            <w:vAlign w:val="bottom"/>
          </w:tcPr>
          <w:p>
            <w:pPr>
              <w:jc w:val="right"/>
              <w:ind w:right="145"/>
              <w:spacing w:after="0"/>
              <w:rPr>
                <w:sz w:val="20"/>
                <w:szCs w:val="20"/>
                <w:color w:val="auto"/>
              </w:rPr>
            </w:pPr>
            <w:r>
              <w:rPr>
                <w:rFonts w:ascii="Arial" w:cs="Arial" w:eastAsia="Arial" w:hAnsi="Arial"/>
                <w:sz w:val="11"/>
                <w:szCs w:val="11"/>
                <w:b w:val="1"/>
                <w:bCs w:val="1"/>
                <w:color w:val="auto"/>
              </w:rPr>
              <w:t>unexercised</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unexercised</w:t>
            </w: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Unexercised</w:t>
            </w:r>
          </w:p>
        </w:tc>
        <w:tc>
          <w:tcPr>
            <w:tcW w:w="820" w:type="dxa"/>
            <w:vAlign w:val="bottom"/>
          </w:tcPr>
          <w:p>
            <w:pPr>
              <w:jc w:val="right"/>
              <w:ind w:right="102"/>
              <w:spacing w:after="0"/>
              <w:rPr>
                <w:sz w:val="20"/>
                <w:szCs w:val="20"/>
                <w:color w:val="auto"/>
              </w:rPr>
            </w:pPr>
            <w:r>
              <w:rPr>
                <w:rFonts w:ascii="Arial" w:cs="Arial" w:eastAsia="Arial" w:hAnsi="Arial"/>
                <w:sz w:val="11"/>
                <w:szCs w:val="11"/>
                <w:b w:val="1"/>
                <w:bCs w:val="1"/>
                <w:color w:val="auto"/>
              </w:rPr>
              <w:t>Option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64"/>
              <w:spacing w:after="0"/>
              <w:rPr>
                <w:sz w:val="20"/>
                <w:szCs w:val="20"/>
                <w:color w:val="auto"/>
              </w:rPr>
            </w:pPr>
            <w:r>
              <w:rPr>
                <w:rFonts w:ascii="Arial" w:cs="Arial" w:eastAsia="Arial" w:hAnsi="Arial"/>
                <w:sz w:val="11"/>
                <w:szCs w:val="11"/>
                <w:b w:val="1"/>
                <w:bCs w:val="1"/>
                <w:color w:val="auto"/>
              </w:rPr>
              <w:t>Stock That</w:t>
            </w: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Stock That</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Rights That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Rights That</w:t>
            </w:r>
          </w:p>
        </w:tc>
      </w:tr>
      <w:tr>
        <w:trPr>
          <w:trHeight w:val="148"/>
        </w:trPr>
        <w:tc>
          <w:tcPr>
            <w:tcW w:w="1860" w:type="dxa"/>
            <w:vAlign w:val="bottom"/>
          </w:tcPr>
          <w:p>
            <w:pPr>
              <w:spacing w:after="0"/>
              <w:rPr>
                <w:sz w:val="12"/>
                <w:szCs w:val="12"/>
                <w:color w:val="auto"/>
              </w:rPr>
            </w:pPr>
          </w:p>
        </w:tc>
        <w:tc>
          <w:tcPr>
            <w:tcW w:w="1120" w:type="dxa"/>
            <w:vAlign w:val="bottom"/>
          </w:tcPr>
          <w:p>
            <w:pPr>
              <w:jc w:val="right"/>
              <w:ind w:right="145"/>
              <w:spacing w:after="0"/>
              <w:rPr>
                <w:sz w:val="20"/>
                <w:szCs w:val="20"/>
                <w:color w:val="auto"/>
              </w:rPr>
            </w:pPr>
            <w:r>
              <w:rPr>
                <w:rFonts w:ascii="Arial" w:cs="Arial" w:eastAsia="Arial" w:hAnsi="Arial"/>
                <w:sz w:val="11"/>
                <w:szCs w:val="11"/>
                <w:b w:val="1"/>
                <w:bCs w:val="1"/>
                <w:color w:val="auto"/>
              </w:rPr>
              <w:t>options</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options</w:t>
            </w:r>
          </w:p>
        </w:tc>
        <w:tc>
          <w:tcPr>
            <w:tcW w:w="130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Unearned</w:t>
            </w:r>
          </w:p>
        </w:tc>
        <w:tc>
          <w:tcPr>
            <w:tcW w:w="820" w:type="dxa"/>
            <w:vAlign w:val="bottom"/>
          </w:tcPr>
          <w:p>
            <w:pPr>
              <w:jc w:val="right"/>
              <w:ind w:right="102"/>
              <w:spacing w:after="0"/>
              <w:rPr>
                <w:sz w:val="20"/>
                <w:szCs w:val="20"/>
                <w:color w:val="auto"/>
              </w:rPr>
            </w:pPr>
            <w:r>
              <w:rPr>
                <w:rFonts w:ascii="Arial" w:cs="Arial" w:eastAsia="Arial" w:hAnsi="Arial"/>
                <w:sz w:val="11"/>
                <w:szCs w:val="11"/>
                <w:b w:val="1"/>
                <w:bCs w:val="1"/>
                <w:color w:val="auto"/>
              </w:rPr>
              <w:t>Exercise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Option</w:t>
            </w:r>
          </w:p>
        </w:tc>
        <w:tc>
          <w:tcPr>
            <w:tcW w:w="1180" w:type="dxa"/>
            <w:vAlign w:val="bottom"/>
          </w:tcPr>
          <w:p>
            <w:pPr>
              <w:jc w:val="right"/>
              <w:ind w:right="164"/>
              <w:spacing w:after="0"/>
              <w:rPr>
                <w:sz w:val="20"/>
                <w:szCs w:val="20"/>
                <w:color w:val="auto"/>
              </w:rPr>
            </w:pPr>
            <w:r>
              <w:rPr>
                <w:rFonts w:ascii="Arial" w:cs="Arial" w:eastAsia="Arial" w:hAnsi="Arial"/>
                <w:sz w:val="11"/>
                <w:szCs w:val="11"/>
                <w:b w:val="1"/>
                <w:bCs w:val="1"/>
                <w:color w:val="auto"/>
              </w:rPr>
              <w:t>Have Not</w:t>
            </w: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Have Not</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Have Not</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r>
      <w:tr>
        <w:trPr>
          <w:trHeight w:val="135"/>
        </w:trPr>
        <w:tc>
          <w:tcPr>
            <w:tcW w:w="1860" w:type="dxa"/>
            <w:vAlign w:val="bottom"/>
          </w:tcPr>
          <w:p>
            <w:pPr>
              <w:spacing w:after="0"/>
              <w:rPr>
                <w:sz w:val="11"/>
                <w:szCs w:val="11"/>
                <w:color w:val="auto"/>
              </w:rPr>
            </w:pPr>
          </w:p>
        </w:tc>
        <w:tc>
          <w:tcPr>
            <w:tcW w:w="1120" w:type="dxa"/>
            <w:vAlign w:val="bottom"/>
          </w:tcPr>
          <w:p>
            <w:pPr>
              <w:jc w:val="right"/>
              <w:ind w:right="145"/>
              <w:spacing w:after="0"/>
              <w:rPr>
                <w:sz w:val="20"/>
                <w:szCs w:val="20"/>
                <w:color w:val="auto"/>
              </w:rPr>
            </w:pPr>
            <w:r>
              <w:rPr>
                <w:rFonts w:ascii="Arial" w:cs="Arial" w:eastAsia="Arial" w:hAnsi="Arial"/>
                <w:sz w:val="11"/>
                <w:szCs w:val="11"/>
                <w:b w:val="1"/>
                <w:bCs w:val="1"/>
                <w:color w:val="auto"/>
              </w:rPr>
              <w:t>exercisable</w:t>
            </w: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unexercisable</w:t>
            </w:r>
          </w:p>
        </w:tc>
        <w:tc>
          <w:tcPr>
            <w:tcW w:w="1300" w:type="dxa"/>
            <w:vAlign w:val="bottom"/>
            <w:gridSpan w:val="2"/>
          </w:tcPr>
          <w:p>
            <w:pPr>
              <w:jc w:val="center"/>
              <w:ind w:left="443"/>
              <w:spacing w:after="0"/>
              <w:rPr>
                <w:sz w:val="20"/>
                <w:szCs w:val="20"/>
                <w:color w:val="auto"/>
              </w:rPr>
            </w:pPr>
            <w:r>
              <w:rPr>
                <w:rFonts w:ascii="Arial" w:cs="Arial" w:eastAsia="Arial" w:hAnsi="Arial"/>
                <w:sz w:val="11"/>
                <w:szCs w:val="11"/>
                <w:b w:val="1"/>
                <w:bCs w:val="1"/>
                <w:color w:val="auto"/>
                <w:w w:val="96"/>
              </w:rPr>
              <w:t>Options</w:t>
            </w:r>
          </w:p>
        </w:tc>
        <w:tc>
          <w:tcPr>
            <w:tcW w:w="820" w:type="dxa"/>
            <w:vAlign w:val="bottom"/>
          </w:tcPr>
          <w:p>
            <w:pPr>
              <w:jc w:val="right"/>
              <w:ind w:right="102"/>
              <w:spacing w:after="0"/>
              <w:rPr>
                <w:sz w:val="20"/>
                <w:szCs w:val="20"/>
                <w:color w:val="auto"/>
              </w:rPr>
            </w:pPr>
            <w:r>
              <w:rPr>
                <w:rFonts w:ascii="Arial" w:cs="Arial" w:eastAsia="Arial" w:hAnsi="Arial"/>
                <w:sz w:val="11"/>
                <w:szCs w:val="11"/>
                <w:b w:val="1"/>
                <w:bCs w:val="1"/>
                <w:color w:val="auto"/>
              </w:rPr>
              <w:t>Price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Expiration</w:t>
            </w:r>
          </w:p>
        </w:tc>
        <w:tc>
          <w:tcPr>
            <w:tcW w:w="1180" w:type="dxa"/>
            <w:vAlign w:val="bottom"/>
          </w:tcPr>
          <w:p>
            <w:pPr>
              <w:jc w:val="right"/>
              <w:ind w:right="164"/>
              <w:spacing w:after="0"/>
              <w:rPr>
                <w:sz w:val="20"/>
                <w:szCs w:val="20"/>
                <w:color w:val="auto"/>
              </w:rPr>
            </w:pPr>
            <w:r>
              <w:rPr>
                <w:rFonts w:ascii="Arial" w:cs="Arial" w:eastAsia="Arial" w:hAnsi="Arial"/>
                <w:sz w:val="11"/>
                <w:szCs w:val="11"/>
                <w:b w:val="1"/>
                <w:bCs w:val="1"/>
                <w:color w:val="auto"/>
              </w:rPr>
              <w:t>Vested</w:t>
            </w:r>
          </w:p>
        </w:tc>
        <w:tc>
          <w:tcPr>
            <w:tcW w:w="1020" w:type="dxa"/>
            <w:vAlign w:val="bottom"/>
          </w:tcPr>
          <w:p>
            <w:pPr>
              <w:jc w:val="right"/>
              <w:ind w:right="184"/>
              <w:spacing w:after="0"/>
              <w:rPr>
                <w:sz w:val="20"/>
                <w:szCs w:val="20"/>
                <w:color w:val="auto"/>
              </w:rPr>
            </w:pPr>
            <w:r>
              <w:rPr>
                <w:rFonts w:ascii="Arial" w:cs="Arial" w:eastAsia="Arial" w:hAnsi="Arial"/>
                <w:sz w:val="11"/>
                <w:szCs w:val="11"/>
                <w:b w:val="1"/>
                <w:bCs w:val="1"/>
                <w:color w:val="auto"/>
              </w:rPr>
              <w:t>Vested</w:t>
            </w:r>
          </w:p>
        </w:tc>
        <w:tc>
          <w:tcPr>
            <w:tcW w:w="1180" w:type="dxa"/>
            <w:vAlign w:val="bottom"/>
          </w:tcPr>
          <w:p>
            <w:pPr>
              <w:jc w:val="right"/>
              <w:ind w:right="185"/>
              <w:spacing w:after="0"/>
              <w:rPr>
                <w:sz w:val="20"/>
                <w:szCs w:val="20"/>
                <w:color w:val="auto"/>
              </w:rPr>
            </w:pPr>
            <w:r>
              <w:rPr>
                <w:rFonts w:ascii="Arial" w:cs="Arial" w:eastAsia="Arial" w:hAnsi="Arial"/>
                <w:sz w:val="11"/>
                <w:szCs w:val="11"/>
                <w:b w:val="1"/>
                <w:bCs w:val="1"/>
                <w:color w:val="auto"/>
              </w:rPr>
              <w:t>Vested</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Vested</w:t>
            </w:r>
          </w:p>
        </w:tc>
      </w:tr>
      <w:tr>
        <w:trPr>
          <w:trHeight w:val="189"/>
        </w:trPr>
        <w:tc>
          <w:tcPr>
            <w:tcW w:w="1860" w:type="dxa"/>
            <w:vAlign w:val="bottom"/>
            <w:tcBorders>
              <w:bottom w:val="single" w:sz="8" w:color="1A3FD6"/>
            </w:tcBorders>
          </w:tcPr>
          <w:p>
            <w:pPr>
              <w:ind w:left="20"/>
              <w:spacing w:after="0"/>
              <w:rPr>
                <w:sz w:val="20"/>
                <w:szCs w:val="20"/>
                <w:color w:val="auto"/>
              </w:rPr>
            </w:pPr>
            <w:r>
              <w:rPr>
                <w:rFonts w:ascii="Arial" w:cs="Arial" w:eastAsia="Arial" w:hAnsi="Arial"/>
                <w:sz w:val="11"/>
                <w:szCs w:val="11"/>
                <w:b w:val="1"/>
                <w:bCs w:val="1"/>
                <w:color w:val="auto"/>
              </w:rPr>
              <w:t>Name</w:t>
            </w:r>
          </w:p>
        </w:tc>
        <w:tc>
          <w:tcPr>
            <w:tcW w:w="1120" w:type="dxa"/>
            <w:vAlign w:val="bottom"/>
            <w:tcBorders>
              <w:bottom w:val="single" w:sz="8" w:color="1A3FD6"/>
            </w:tcBorders>
          </w:tcPr>
          <w:p>
            <w:pPr>
              <w:jc w:val="right"/>
              <w:ind w:right="145"/>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1A3FD6"/>
            </w:tcBorders>
          </w:tcPr>
          <w:p>
            <w:pPr>
              <w:spacing w:after="0"/>
              <w:rPr>
                <w:sz w:val="16"/>
                <w:szCs w:val="16"/>
                <w:color w:val="auto"/>
              </w:rPr>
            </w:pPr>
          </w:p>
        </w:tc>
        <w:tc>
          <w:tcPr>
            <w:tcW w:w="460" w:type="dxa"/>
            <w:vAlign w:val="bottom"/>
            <w:tcBorders>
              <w:bottom w:val="single" w:sz="8" w:color="1A3FD6"/>
            </w:tcBorders>
          </w:tcPr>
          <w:p>
            <w:pPr>
              <w:jc w:val="right"/>
              <w:ind w:right="161"/>
              <w:spacing w:after="0"/>
              <w:rPr>
                <w:sz w:val="20"/>
                <w:szCs w:val="20"/>
                <w:color w:val="auto"/>
              </w:rPr>
            </w:pPr>
            <w:r>
              <w:rPr>
                <w:rFonts w:ascii="Arial" w:cs="Arial" w:eastAsia="Arial" w:hAnsi="Arial"/>
                <w:sz w:val="11"/>
                <w:szCs w:val="11"/>
                <w:b w:val="1"/>
                <w:bCs w:val="1"/>
                <w:color w:val="auto"/>
              </w:rPr>
              <w:t>(#)</w:t>
            </w:r>
          </w:p>
        </w:tc>
        <w:tc>
          <w:tcPr>
            <w:tcW w:w="820" w:type="dxa"/>
            <w:vAlign w:val="bottom"/>
            <w:tcBorders>
              <w:bottom w:val="single" w:sz="8" w:color="1A3FD6"/>
            </w:tcBorders>
          </w:tcPr>
          <w:p>
            <w:pPr>
              <w:jc w:val="right"/>
              <w:ind w:right="102"/>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1A3FD6"/>
            </w:tcBorders>
            <w:gridSpan w:val="2"/>
          </w:tcPr>
          <w:p>
            <w:pPr>
              <w:jc w:val="right"/>
              <w:ind w:right="180"/>
              <w:spacing w:after="0"/>
              <w:rPr>
                <w:sz w:val="20"/>
                <w:szCs w:val="20"/>
                <w:color w:val="auto"/>
              </w:rPr>
            </w:pPr>
            <w:r>
              <w:rPr>
                <w:rFonts w:ascii="Arial" w:cs="Arial" w:eastAsia="Arial" w:hAnsi="Arial"/>
                <w:sz w:val="11"/>
                <w:szCs w:val="11"/>
                <w:b w:val="1"/>
                <w:bCs w:val="1"/>
                <w:color w:val="auto"/>
              </w:rPr>
              <w:t>Date</w:t>
            </w:r>
          </w:p>
        </w:tc>
        <w:tc>
          <w:tcPr>
            <w:tcW w:w="1180" w:type="dxa"/>
            <w:vAlign w:val="bottom"/>
            <w:tcBorders>
              <w:bottom w:val="single" w:sz="8" w:color="1A3FD6"/>
            </w:tcBorders>
          </w:tcPr>
          <w:p>
            <w:pPr>
              <w:jc w:val="right"/>
              <w:ind w:right="164"/>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7"/>
                <w:szCs w:val="7"/>
                <w:b w:val="1"/>
                <w:bCs w:val="1"/>
                <w:color w:val="auto"/>
              </w:rPr>
              <w:t>(5)</w:t>
            </w:r>
          </w:p>
        </w:tc>
        <w:tc>
          <w:tcPr>
            <w:tcW w:w="1020" w:type="dxa"/>
            <w:vAlign w:val="bottom"/>
            <w:tcBorders>
              <w:bottom w:val="single" w:sz="8" w:color="1A3FD6"/>
            </w:tcBorders>
          </w:tcPr>
          <w:p>
            <w:pPr>
              <w:jc w:val="right"/>
              <w:ind w:right="184"/>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(6)</w:t>
            </w:r>
          </w:p>
        </w:tc>
        <w:tc>
          <w:tcPr>
            <w:tcW w:w="1180" w:type="dxa"/>
            <w:vAlign w:val="bottom"/>
            <w:tcBorders>
              <w:bottom w:val="single" w:sz="8" w:color="1A3FD6"/>
            </w:tcBorders>
          </w:tcPr>
          <w:p>
            <w:pPr>
              <w:jc w:val="right"/>
              <w:ind w:right="185"/>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(7)</w:t>
            </w:r>
          </w:p>
        </w:tc>
        <w:tc>
          <w:tcPr>
            <w:tcW w:w="96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(7)</w:t>
            </w:r>
          </w:p>
        </w:tc>
      </w:tr>
      <w:tr>
        <w:trPr>
          <w:trHeight w:val="170"/>
        </w:trPr>
        <w:tc>
          <w:tcPr>
            <w:tcW w:w="1860" w:type="dxa"/>
            <w:vAlign w:val="bottom"/>
          </w:tcPr>
          <w:p>
            <w:pPr>
              <w:ind w:left="20"/>
              <w:spacing w:after="0"/>
              <w:rPr>
                <w:sz w:val="20"/>
                <w:szCs w:val="20"/>
                <w:color w:val="auto"/>
              </w:rPr>
            </w:pPr>
            <w:r>
              <w:rPr>
                <w:rFonts w:ascii="Arial" w:cs="Arial" w:eastAsia="Arial" w:hAnsi="Arial"/>
                <w:sz w:val="12"/>
                <w:szCs w:val="12"/>
                <w:b w:val="1"/>
                <w:bCs w:val="1"/>
                <w:color w:val="1A3FD6"/>
              </w:rPr>
              <w:t>Henry A. Fernandez</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4"/>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25"/>
              <w:spacing w:after="0"/>
              <w:rPr>
                <w:sz w:val="20"/>
                <w:szCs w:val="20"/>
                <w:color w:val="auto"/>
              </w:rPr>
            </w:pPr>
            <w:r>
              <w:rPr>
                <w:rFonts w:ascii="Arial" w:cs="Arial" w:eastAsia="Arial" w:hAnsi="Arial"/>
                <w:sz w:val="12"/>
                <w:szCs w:val="12"/>
                <w:color w:val="auto"/>
              </w:rPr>
              <w:t>20,527</w:t>
            </w:r>
          </w:p>
        </w:tc>
        <w:tc>
          <w:tcPr>
            <w:tcW w:w="960" w:type="dxa"/>
            <w:vAlign w:val="bottom"/>
          </w:tcPr>
          <w:p>
            <w:pPr>
              <w:jc w:val="right"/>
              <w:ind w:right="5"/>
              <w:spacing w:after="0"/>
              <w:rPr>
                <w:sz w:val="20"/>
                <w:szCs w:val="20"/>
                <w:color w:val="auto"/>
              </w:rPr>
            </w:pPr>
            <w:r>
              <w:rPr>
                <w:rFonts w:ascii="Arial" w:cs="Arial" w:eastAsia="Arial" w:hAnsi="Arial"/>
                <w:sz w:val="12"/>
                <w:szCs w:val="12"/>
                <w:color w:val="auto"/>
              </w:rPr>
              <w:t>11,776,955</w:t>
            </w:r>
          </w:p>
        </w:tc>
      </w:tr>
      <w:tr>
        <w:trPr>
          <w:trHeight w:val="26"/>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91,616</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590.73</w:t>
            </w:r>
          </w:p>
        </w:tc>
        <w:tc>
          <w:tcPr>
            <w:tcW w:w="700" w:type="dxa"/>
            <w:vAlign w:val="bottom"/>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96"/>
        </w:trPr>
        <w:tc>
          <w:tcPr>
            <w:tcW w:w="1860" w:type="dxa"/>
            <w:vAlign w:val="bottom"/>
          </w:tcPr>
          <w:p>
            <w:pPr>
              <w:spacing w:after="0"/>
              <w:rPr>
                <w:sz w:val="17"/>
                <w:szCs w:val="17"/>
                <w:color w:val="auto"/>
              </w:rPr>
            </w:pPr>
          </w:p>
        </w:tc>
        <w:tc>
          <w:tcPr>
            <w:tcW w:w="1120" w:type="dxa"/>
            <w:vAlign w:val="bottom"/>
            <w:tcBorders>
              <w:bottom w:val="single" w:sz="8" w:color="E6E7E8"/>
            </w:tcBorders>
          </w:tcPr>
          <w:p>
            <w:pPr>
              <w:jc w:val="right"/>
              <w:ind w:right="185"/>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E6E7E8"/>
            </w:tcBorders>
          </w:tcPr>
          <w:p>
            <w:pPr>
              <w:jc w:val="right"/>
              <w:ind w:right="105"/>
              <w:spacing w:after="0"/>
              <w:rPr>
                <w:sz w:val="20"/>
                <w:szCs w:val="20"/>
                <w:color w:val="auto"/>
              </w:rPr>
            </w:pPr>
            <w:r>
              <w:rPr>
                <w:rFonts w:ascii="Arial" w:cs="Arial" w:eastAsia="Arial" w:hAnsi="Arial"/>
                <w:sz w:val="12"/>
                <w:szCs w:val="12"/>
                <w:color w:val="auto"/>
              </w:rPr>
              <w:t xml:space="preserve">36,846 </w:t>
            </w:r>
            <w:r>
              <w:rPr>
                <w:rFonts w:ascii="Arial" w:cs="Arial" w:eastAsia="Arial" w:hAnsi="Arial"/>
                <w:sz w:val="15"/>
                <w:szCs w:val="15"/>
                <w:color w:val="auto"/>
                <w:vertAlign w:val="superscript"/>
              </w:rPr>
              <w:t>(3)</w:t>
            </w:r>
          </w:p>
        </w:tc>
        <w:tc>
          <w:tcPr>
            <w:tcW w:w="840" w:type="dxa"/>
            <w:vAlign w:val="bottom"/>
            <w:tcBorders>
              <w:bottom w:val="single" w:sz="8" w:color="E6E7E8"/>
            </w:tcBorders>
          </w:tcPr>
          <w:p>
            <w:pPr>
              <w:spacing w:after="0"/>
              <w:rPr>
                <w:sz w:val="17"/>
                <w:szCs w:val="17"/>
                <w:color w:val="auto"/>
              </w:rPr>
            </w:pPr>
          </w:p>
        </w:tc>
        <w:tc>
          <w:tcPr>
            <w:tcW w:w="460" w:type="dxa"/>
            <w:vAlign w:val="bottom"/>
            <w:tcBorders>
              <w:bottom w:val="single" w:sz="8" w:color="E6E7E8"/>
            </w:tcBorders>
          </w:tcPr>
          <w:p>
            <w:pPr>
              <w:spacing w:after="0"/>
              <w:rPr>
                <w:sz w:val="17"/>
                <w:szCs w:val="17"/>
                <w:color w:val="auto"/>
              </w:rPr>
            </w:pPr>
          </w:p>
        </w:tc>
        <w:tc>
          <w:tcPr>
            <w:tcW w:w="820" w:type="dxa"/>
            <w:vAlign w:val="bottom"/>
            <w:tcBorders>
              <w:bottom w:val="single" w:sz="8" w:color="E6E7E8"/>
            </w:tcBorders>
          </w:tcPr>
          <w:p>
            <w:pPr>
              <w:jc w:val="right"/>
              <w:ind w:right="102"/>
              <w:spacing w:after="0"/>
              <w:rPr>
                <w:sz w:val="20"/>
                <w:szCs w:val="20"/>
                <w:color w:val="auto"/>
              </w:rPr>
            </w:pPr>
            <w:r>
              <w:rPr>
                <w:rFonts w:ascii="Arial" w:cs="Arial" w:eastAsia="Arial" w:hAnsi="Arial"/>
                <w:sz w:val="12"/>
                <w:szCs w:val="12"/>
                <w:color w:val="auto"/>
              </w:rPr>
              <w:t>1,000.00</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Borders>
              <w:bottom w:val="single" w:sz="8" w:color="E6E7E8"/>
            </w:tcBorders>
          </w:tcPr>
          <w:p>
            <w:pPr>
              <w:spacing w:after="0"/>
              <w:rPr>
                <w:sz w:val="17"/>
                <w:szCs w:val="17"/>
                <w:color w:val="auto"/>
              </w:rPr>
            </w:pPr>
          </w:p>
        </w:tc>
        <w:tc>
          <w:tcPr>
            <w:tcW w:w="1180" w:type="dxa"/>
            <w:vAlign w:val="bottom"/>
            <w:tcBorders>
              <w:bottom w:val="single" w:sz="8" w:color="E6E7E8"/>
            </w:tcBorders>
          </w:tcPr>
          <w:p>
            <w:pPr>
              <w:spacing w:after="0"/>
              <w:rPr>
                <w:sz w:val="17"/>
                <w:szCs w:val="17"/>
                <w:color w:val="auto"/>
              </w:rPr>
            </w:pPr>
          </w:p>
        </w:tc>
        <w:tc>
          <w:tcPr>
            <w:tcW w:w="1020" w:type="dxa"/>
            <w:vAlign w:val="bottom"/>
            <w:tcBorders>
              <w:bottom w:val="single" w:sz="8" w:color="E6E7E8"/>
            </w:tcBorders>
          </w:tcPr>
          <w:p>
            <w:pPr>
              <w:spacing w:after="0"/>
              <w:rPr>
                <w:sz w:val="17"/>
                <w:szCs w:val="17"/>
                <w:color w:val="auto"/>
              </w:rPr>
            </w:pPr>
          </w:p>
        </w:tc>
        <w:tc>
          <w:tcPr>
            <w:tcW w:w="1180" w:type="dxa"/>
            <w:vAlign w:val="bottom"/>
            <w:tcBorders>
              <w:bottom w:val="single" w:sz="8" w:color="E6E7E8"/>
            </w:tcBorders>
          </w:tcPr>
          <w:p>
            <w:pPr>
              <w:spacing w:after="0"/>
              <w:rPr>
                <w:sz w:val="17"/>
                <w:szCs w:val="17"/>
                <w:color w:val="auto"/>
              </w:rPr>
            </w:pPr>
          </w:p>
        </w:tc>
        <w:tc>
          <w:tcPr>
            <w:tcW w:w="960" w:type="dxa"/>
            <w:vAlign w:val="bottom"/>
            <w:tcBorders>
              <w:bottom w:val="single" w:sz="8" w:color="E6E7E8"/>
            </w:tcBorders>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1120" w:type="dxa"/>
            <w:vAlign w:val="bottom"/>
            <w:tcBorders>
              <w:bottom w:val="single" w:sz="8" w:color="E6E7E8"/>
            </w:tcBorders>
          </w:tcPr>
          <w:p>
            <w:pPr>
              <w:jc w:val="right"/>
              <w:ind w:right="185"/>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E6E7E8"/>
            </w:tcBorders>
          </w:tcPr>
          <w:p>
            <w:pPr>
              <w:jc w:val="right"/>
              <w:ind w:right="105"/>
              <w:spacing w:after="0"/>
              <w:rPr>
                <w:sz w:val="20"/>
                <w:szCs w:val="20"/>
                <w:color w:val="auto"/>
              </w:rPr>
            </w:pPr>
            <w:r>
              <w:rPr>
                <w:rFonts w:ascii="Arial" w:cs="Arial" w:eastAsia="Arial" w:hAnsi="Arial"/>
                <w:sz w:val="12"/>
                <w:szCs w:val="12"/>
                <w:color w:val="auto"/>
              </w:rPr>
              <w:t xml:space="preserve">40,780 </w:t>
            </w:r>
            <w:r>
              <w:rPr>
                <w:rFonts w:ascii="Arial" w:cs="Arial" w:eastAsia="Arial" w:hAnsi="Arial"/>
                <w:sz w:val="15"/>
                <w:szCs w:val="15"/>
                <w:color w:val="auto"/>
                <w:vertAlign w:val="superscript"/>
              </w:rPr>
              <w:t>(3)</w:t>
            </w:r>
          </w:p>
        </w:tc>
        <w:tc>
          <w:tcPr>
            <w:tcW w:w="840" w:type="dxa"/>
            <w:vAlign w:val="bottom"/>
            <w:tcBorders>
              <w:bottom w:val="single" w:sz="8" w:color="E6E7E8"/>
            </w:tcBorders>
          </w:tcPr>
          <w:p>
            <w:pPr>
              <w:spacing w:after="0"/>
              <w:rPr>
                <w:sz w:val="17"/>
                <w:szCs w:val="17"/>
                <w:color w:val="auto"/>
              </w:rPr>
            </w:pPr>
          </w:p>
        </w:tc>
        <w:tc>
          <w:tcPr>
            <w:tcW w:w="460" w:type="dxa"/>
            <w:vAlign w:val="bottom"/>
            <w:tcBorders>
              <w:bottom w:val="single" w:sz="8" w:color="E6E7E8"/>
            </w:tcBorders>
          </w:tcPr>
          <w:p>
            <w:pPr>
              <w:spacing w:after="0"/>
              <w:rPr>
                <w:sz w:val="17"/>
                <w:szCs w:val="17"/>
                <w:color w:val="auto"/>
              </w:rPr>
            </w:pPr>
          </w:p>
        </w:tc>
        <w:tc>
          <w:tcPr>
            <w:tcW w:w="820" w:type="dxa"/>
            <w:vAlign w:val="bottom"/>
            <w:tcBorders>
              <w:bottom w:val="single" w:sz="8" w:color="E6E7E8"/>
            </w:tcBorders>
          </w:tcPr>
          <w:p>
            <w:pPr>
              <w:jc w:val="right"/>
              <w:ind w:right="102"/>
              <w:spacing w:after="0"/>
              <w:rPr>
                <w:sz w:val="20"/>
                <w:szCs w:val="20"/>
                <w:color w:val="auto"/>
              </w:rPr>
            </w:pPr>
            <w:r>
              <w:rPr>
                <w:rFonts w:ascii="Arial" w:cs="Arial" w:eastAsia="Arial" w:hAnsi="Arial"/>
                <w:sz w:val="12"/>
                <w:szCs w:val="12"/>
                <w:color w:val="auto"/>
              </w:rPr>
              <w:t>1,100.00</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Borders>
              <w:bottom w:val="single" w:sz="8" w:color="E6E7E8"/>
            </w:tcBorders>
          </w:tcPr>
          <w:p>
            <w:pPr>
              <w:spacing w:after="0"/>
              <w:rPr>
                <w:sz w:val="17"/>
                <w:szCs w:val="17"/>
                <w:color w:val="auto"/>
              </w:rPr>
            </w:pPr>
          </w:p>
        </w:tc>
        <w:tc>
          <w:tcPr>
            <w:tcW w:w="1180" w:type="dxa"/>
            <w:vAlign w:val="bottom"/>
            <w:tcBorders>
              <w:bottom w:val="single" w:sz="8" w:color="E6E7E8"/>
            </w:tcBorders>
          </w:tcPr>
          <w:p>
            <w:pPr>
              <w:spacing w:after="0"/>
              <w:rPr>
                <w:sz w:val="17"/>
                <w:szCs w:val="17"/>
                <w:color w:val="auto"/>
              </w:rPr>
            </w:pPr>
          </w:p>
        </w:tc>
        <w:tc>
          <w:tcPr>
            <w:tcW w:w="1020" w:type="dxa"/>
            <w:vAlign w:val="bottom"/>
            <w:tcBorders>
              <w:bottom w:val="single" w:sz="8" w:color="E6E7E8"/>
            </w:tcBorders>
          </w:tcPr>
          <w:p>
            <w:pPr>
              <w:spacing w:after="0"/>
              <w:rPr>
                <w:sz w:val="17"/>
                <w:szCs w:val="17"/>
                <w:color w:val="auto"/>
              </w:rPr>
            </w:pPr>
          </w:p>
        </w:tc>
        <w:tc>
          <w:tcPr>
            <w:tcW w:w="1180" w:type="dxa"/>
            <w:vAlign w:val="bottom"/>
            <w:tcBorders>
              <w:bottom w:val="single" w:sz="8" w:color="E6E7E8"/>
            </w:tcBorders>
          </w:tcPr>
          <w:p>
            <w:pPr>
              <w:spacing w:after="0"/>
              <w:rPr>
                <w:sz w:val="17"/>
                <w:szCs w:val="17"/>
                <w:color w:val="auto"/>
              </w:rPr>
            </w:pPr>
          </w:p>
        </w:tc>
        <w:tc>
          <w:tcPr>
            <w:tcW w:w="960" w:type="dxa"/>
            <w:vAlign w:val="bottom"/>
            <w:tcBorders>
              <w:bottom w:val="single" w:sz="8" w:color="E6E7E8"/>
            </w:tcBorders>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1120" w:type="dxa"/>
            <w:vAlign w:val="bottom"/>
            <w:tcBorders>
              <w:bottom w:val="single" w:sz="8" w:color="E6E7E8"/>
            </w:tcBorders>
          </w:tcPr>
          <w:p>
            <w:pPr>
              <w:jc w:val="right"/>
              <w:ind w:right="185"/>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E6E7E8"/>
            </w:tcBorders>
          </w:tcPr>
          <w:p>
            <w:pPr>
              <w:jc w:val="right"/>
              <w:ind w:right="105"/>
              <w:spacing w:after="0"/>
              <w:rPr>
                <w:sz w:val="20"/>
                <w:szCs w:val="20"/>
                <w:color w:val="auto"/>
              </w:rPr>
            </w:pPr>
            <w:r>
              <w:rPr>
                <w:rFonts w:ascii="Arial" w:cs="Arial" w:eastAsia="Arial" w:hAnsi="Arial"/>
                <w:sz w:val="12"/>
                <w:szCs w:val="12"/>
                <w:color w:val="auto"/>
              </w:rPr>
              <w:t xml:space="preserve">44,920 </w:t>
            </w:r>
            <w:r>
              <w:rPr>
                <w:rFonts w:ascii="Arial" w:cs="Arial" w:eastAsia="Arial" w:hAnsi="Arial"/>
                <w:sz w:val="15"/>
                <w:szCs w:val="15"/>
                <w:color w:val="auto"/>
                <w:vertAlign w:val="superscript"/>
              </w:rPr>
              <w:t>(3)</w:t>
            </w:r>
          </w:p>
        </w:tc>
        <w:tc>
          <w:tcPr>
            <w:tcW w:w="840" w:type="dxa"/>
            <w:vAlign w:val="bottom"/>
            <w:tcBorders>
              <w:bottom w:val="single" w:sz="8" w:color="E6E7E8"/>
            </w:tcBorders>
          </w:tcPr>
          <w:p>
            <w:pPr>
              <w:spacing w:after="0"/>
              <w:rPr>
                <w:sz w:val="17"/>
                <w:szCs w:val="17"/>
                <w:color w:val="auto"/>
              </w:rPr>
            </w:pPr>
          </w:p>
        </w:tc>
        <w:tc>
          <w:tcPr>
            <w:tcW w:w="460" w:type="dxa"/>
            <w:vAlign w:val="bottom"/>
            <w:tcBorders>
              <w:bottom w:val="single" w:sz="8" w:color="E6E7E8"/>
            </w:tcBorders>
          </w:tcPr>
          <w:p>
            <w:pPr>
              <w:spacing w:after="0"/>
              <w:rPr>
                <w:sz w:val="17"/>
                <w:szCs w:val="17"/>
                <w:color w:val="auto"/>
              </w:rPr>
            </w:pPr>
          </w:p>
        </w:tc>
        <w:tc>
          <w:tcPr>
            <w:tcW w:w="820" w:type="dxa"/>
            <w:vAlign w:val="bottom"/>
            <w:tcBorders>
              <w:bottom w:val="single" w:sz="8" w:color="E6E7E8"/>
            </w:tcBorders>
          </w:tcPr>
          <w:p>
            <w:pPr>
              <w:jc w:val="right"/>
              <w:ind w:right="102"/>
              <w:spacing w:after="0"/>
              <w:rPr>
                <w:sz w:val="20"/>
                <w:szCs w:val="20"/>
                <w:color w:val="auto"/>
              </w:rPr>
            </w:pPr>
            <w:r>
              <w:rPr>
                <w:rFonts w:ascii="Arial" w:cs="Arial" w:eastAsia="Arial" w:hAnsi="Arial"/>
                <w:sz w:val="12"/>
                <w:szCs w:val="12"/>
                <w:color w:val="auto"/>
              </w:rPr>
              <w:t>1,200.00</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Borders>
              <w:bottom w:val="single" w:sz="8" w:color="E6E7E8"/>
            </w:tcBorders>
          </w:tcPr>
          <w:p>
            <w:pPr>
              <w:spacing w:after="0"/>
              <w:rPr>
                <w:sz w:val="17"/>
                <w:szCs w:val="17"/>
                <w:color w:val="auto"/>
              </w:rPr>
            </w:pPr>
          </w:p>
        </w:tc>
        <w:tc>
          <w:tcPr>
            <w:tcW w:w="1180" w:type="dxa"/>
            <w:vAlign w:val="bottom"/>
            <w:tcBorders>
              <w:bottom w:val="single" w:sz="8" w:color="E6E7E8"/>
            </w:tcBorders>
          </w:tcPr>
          <w:p>
            <w:pPr>
              <w:spacing w:after="0"/>
              <w:rPr>
                <w:sz w:val="17"/>
                <w:szCs w:val="17"/>
                <w:color w:val="auto"/>
              </w:rPr>
            </w:pPr>
          </w:p>
        </w:tc>
        <w:tc>
          <w:tcPr>
            <w:tcW w:w="1020" w:type="dxa"/>
            <w:vAlign w:val="bottom"/>
            <w:tcBorders>
              <w:bottom w:val="single" w:sz="8" w:color="E6E7E8"/>
            </w:tcBorders>
          </w:tcPr>
          <w:p>
            <w:pPr>
              <w:spacing w:after="0"/>
              <w:rPr>
                <w:sz w:val="17"/>
                <w:szCs w:val="17"/>
                <w:color w:val="auto"/>
              </w:rPr>
            </w:pPr>
          </w:p>
        </w:tc>
        <w:tc>
          <w:tcPr>
            <w:tcW w:w="1180" w:type="dxa"/>
            <w:vAlign w:val="bottom"/>
            <w:tcBorders>
              <w:bottom w:val="single" w:sz="8" w:color="E6E7E8"/>
            </w:tcBorders>
          </w:tcPr>
          <w:p>
            <w:pPr>
              <w:spacing w:after="0"/>
              <w:rPr>
                <w:sz w:val="17"/>
                <w:szCs w:val="17"/>
                <w:color w:val="auto"/>
              </w:rPr>
            </w:pPr>
          </w:p>
        </w:tc>
        <w:tc>
          <w:tcPr>
            <w:tcW w:w="960" w:type="dxa"/>
            <w:vAlign w:val="bottom"/>
            <w:tcBorders>
              <w:bottom w:val="single" w:sz="8" w:color="E6E7E8"/>
            </w:tcBorders>
          </w:tcPr>
          <w:p>
            <w:pPr>
              <w:spacing w:after="0"/>
              <w:rPr>
                <w:sz w:val="17"/>
                <w:szCs w:val="17"/>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73,046</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(2)</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598.62</w:t>
            </w:r>
          </w:p>
        </w:tc>
        <w:tc>
          <w:tcPr>
            <w:tcW w:w="700" w:type="dxa"/>
            <w:vAlign w:val="bottom"/>
          </w:tcPr>
          <w:p>
            <w:pPr>
              <w:jc w:val="right"/>
              <w:spacing w:after="0"/>
              <w:rPr>
                <w:sz w:val="20"/>
                <w:szCs w:val="20"/>
                <w:color w:val="auto"/>
              </w:rPr>
            </w:pPr>
            <w:r>
              <w:rPr>
                <w:rFonts w:ascii="Arial" w:cs="Arial" w:eastAsia="Arial" w:hAnsi="Arial"/>
                <w:sz w:val="12"/>
                <w:szCs w:val="12"/>
                <w:color w:val="auto"/>
              </w:rPr>
              <w:t>2/1/2034</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55,848</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(1)</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554.52</w:t>
            </w:r>
          </w:p>
        </w:tc>
        <w:tc>
          <w:tcPr>
            <w:tcW w:w="700" w:type="dxa"/>
            <w:vAlign w:val="bottom"/>
          </w:tcPr>
          <w:p>
            <w:pPr>
              <w:jc w:val="right"/>
              <w:spacing w:after="0"/>
              <w:rPr>
                <w:sz w:val="20"/>
                <w:szCs w:val="20"/>
                <w:color w:val="auto"/>
              </w:rPr>
            </w:pPr>
            <w:r>
              <w:rPr>
                <w:rFonts w:ascii="Arial" w:cs="Arial" w:eastAsia="Arial" w:hAnsi="Arial"/>
                <w:sz w:val="12"/>
                <w:szCs w:val="12"/>
                <w:color w:val="auto"/>
              </w:rPr>
              <w:t>2/2/2033</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70"/>
        </w:trPr>
        <w:tc>
          <w:tcPr>
            <w:tcW w:w="1860" w:type="dxa"/>
            <w:vAlign w:val="bottom"/>
          </w:tcPr>
          <w:p>
            <w:pPr>
              <w:ind w:left="20"/>
              <w:spacing w:after="0"/>
              <w:rPr>
                <w:sz w:val="20"/>
                <w:szCs w:val="20"/>
                <w:color w:val="auto"/>
              </w:rPr>
            </w:pPr>
            <w:r>
              <w:rPr>
                <w:rFonts w:ascii="Arial" w:cs="Arial" w:eastAsia="Arial" w:hAnsi="Arial"/>
                <w:sz w:val="12"/>
                <w:szCs w:val="12"/>
                <w:b w:val="1"/>
                <w:bCs w:val="1"/>
                <w:color w:val="1A3FD6"/>
              </w:rPr>
              <w:t>Andrew C. Wiechmann</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04"/>
              <w:spacing w:after="0"/>
              <w:rPr>
                <w:sz w:val="20"/>
                <w:szCs w:val="20"/>
                <w:color w:val="auto"/>
              </w:rPr>
            </w:pPr>
            <w:r>
              <w:rPr>
                <w:rFonts w:ascii="Arial" w:cs="Arial" w:eastAsia="Arial" w:hAnsi="Arial"/>
                <w:sz w:val="12"/>
                <w:szCs w:val="12"/>
                <w:color w:val="auto"/>
              </w:rPr>
              <w:t>3,990</w:t>
            </w:r>
          </w:p>
        </w:tc>
        <w:tc>
          <w:tcPr>
            <w:tcW w:w="1020" w:type="dxa"/>
            <w:vAlign w:val="bottom"/>
          </w:tcPr>
          <w:p>
            <w:pPr>
              <w:jc w:val="right"/>
              <w:ind w:right="224"/>
              <w:spacing w:after="0"/>
              <w:rPr>
                <w:sz w:val="20"/>
                <w:szCs w:val="20"/>
                <w:color w:val="auto"/>
              </w:rPr>
            </w:pPr>
            <w:r>
              <w:rPr>
                <w:rFonts w:ascii="Arial" w:cs="Arial" w:eastAsia="Arial" w:hAnsi="Arial"/>
                <w:sz w:val="12"/>
                <w:szCs w:val="12"/>
                <w:color w:val="auto"/>
              </w:rPr>
              <w:t>2,289,183</w:t>
            </w:r>
          </w:p>
        </w:tc>
        <w:tc>
          <w:tcPr>
            <w:tcW w:w="1180" w:type="dxa"/>
            <w:vAlign w:val="bottom"/>
          </w:tcPr>
          <w:p>
            <w:pPr>
              <w:jc w:val="right"/>
              <w:ind w:right="225"/>
              <w:spacing w:after="0"/>
              <w:rPr>
                <w:sz w:val="20"/>
                <w:szCs w:val="20"/>
                <w:color w:val="auto"/>
              </w:rPr>
            </w:pPr>
            <w:r>
              <w:rPr>
                <w:rFonts w:ascii="Arial" w:cs="Arial" w:eastAsia="Arial" w:hAnsi="Arial"/>
                <w:sz w:val="12"/>
                <w:szCs w:val="12"/>
                <w:color w:val="auto"/>
              </w:rPr>
              <w:t>2,933</w:t>
            </w:r>
          </w:p>
        </w:tc>
        <w:tc>
          <w:tcPr>
            <w:tcW w:w="960" w:type="dxa"/>
            <w:vAlign w:val="bottom"/>
          </w:tcPr>
          <w:p>
            <w:pPr>
              <w:jc w:val="right"/>
              <w:ind w:right="5"/>
              <w:spacing w:after="0"/>
              <w:rPr>
                <w:sz w:val="20"/>
                <w:szCs w:val="20"/>
                <w:color w:val="auto"/>
              </w:rPr>
            </w:pPr>
            <w:r>
              <w:rPr>
                <w:rFonts w:ascii="Arial" w:cs="Arial" w:eastAsia="Arial" w:hAnsi="Arial"/>
                <w:sz w:val="12"/>
                <w:szCs w:val="12"/>
                <w:color w:val="auto"/>
              </w:rPr>
              <w:t>1,682,750</w:t>
            </w:r>
          </w:p>
        </w:tc>
      </w:tr>
      <w:tr>
        <w:trPr>
          <w:trHeight w:val="26"/>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5"/>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10,758</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590.73</w:t>
            </w:r>
          </w:p>
        </w:tc>
        <w:tc>
          <w:tcPr>
            <w:tcW w:w="700" w:type="dxa"/>
            <w:vAlign w:val="bottom"/>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9,536</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(2)</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598.62</w:t>
            </w:r>
          </w:p>
        </w:tc>
        <w:tc>
          <w:tcPr>
            <w:tcW w:w="700" w:type="dxa"/>
            <w:vAlign w:val="bottom"/>
          </w:tcPr>
          <w:p>
            <w:pPr>
              <w:jc w:val="right"/>
              <w:spacing w:after="0"/>
              <w:rPr>
                <w:sz w:val="20"/>
                <w:szCs w:val="20"/>
                <w:color w:val="auto"/>
              </w:rPr>
            </w:pPr>
            <w:r>
              <w:rPr>
                <w:rFonts w:ascii="Arial" w:cs="Arial" w:eastAsia="Arial" w:hAnsi="Arial"/>
                <w:sz w:val="12"/>
                <w:szCs w:val="12"/>
                <w:color w:val="auto"/>
              </w:rPr>
              <w:t>2/1/2034</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7,464</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(1)</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554.52</w:t>
            </w:r>
          </w:p>
        </w:tc>
        <w:tc>
          <w:tcPr>
            <w:tcW w:w="700" w:type="dxa"/>
            <w:vAlign w:val="bottom"/>
          </w:tcPr>
          <w:p>
            <w:pPr>
              <w:jc w:val="right"/>
              <w:spacing w:after="0"/>
              <w:rPr>
                <w:sz w:val="20"/>
                <w:szCs w:val="20"/>
                <w:color w:val="auto"/>
              </w:rPr>
            </w:pPr>
            <w:r>
              <w:rPr>
                <w:rFonts w:ascii="Arial" w:cs="Arial" w:eastAsia="Arial" w:hAnsi="Arial"/>
                <w:sz w:val="12"/>
                <w:szCs w:val="12"/>
                <w:color w:val="auto"/>
              </w:rPr>
              <w:t>2/2/2033</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70"/>
        </w:trPr>
        <w:tc>
          <w:tcPr>
            <w:tcW w:w="1860" w:type="dxa"/>
            <w:vAlign w:val="bottom"/>
          </w:tcPr>
          <w:p>
            <w:pPr>
              <w:ind w:left="20"/>
              <w:spacing w:after="0"/>
              <w:rPr>
                <w:sz w:val="20"/>
                <w:szCs w:val="20"/>
                <w:color w:val="auto"/>
              </w:rPr>
            </w:pPr>
            <w:r>
              <w:rPr>
                <w:rFonts w:ascii="Arial" w:cs="Arial" w:eastAsia="Arial" w:hAnsi="Arial"/>
                <w:sz w:val="12"/>
                <w:szCs w:val="12"/>
                <w:b w:val="1"/>
                <w:bCs w:val="1"/>
                <w:color w:val="1A3FD6"/>
              </w:rPr>
              <w:t>C.D. Baer Pettit</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04"/>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24"/>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225"/>
              <w:spacing w:after="0"/>
              <w:rPr>
                <w:sz w:val="20"/>
                <w:szCs w:val="20"/>
                <w:color w:val="auto"/>
              </w:rPr>
            </w:pPr>
            <w:r>
              <w:rPr>
                <w:rFonts w:ascii="Arial" w:cs="Arial" w:eastAsia="Arial" w:hAnsi="Arial"/>
                <w:sz w:val="12"/>
                <w:szCs w:val="12"/>
                <w:color w:val="auto"/>
              </w:rPr>
              <w:t>10,730</w:t>
            </w:r>
          </w:p>
        </w:tc>
        <w:tc>
          <w:tcPr>
            <w:tcW w:w="960" w:type="dxa"/>
            <w:vAlign w:val="bottom"/>
          </w:tcPr>
          <w:p>
            <w:pPr>
              <w:jc w:val="right"/>
              <w:ind w:right="5"/>
              <w:spacing w:after="0"/>
              <w:rPr>
                <w:sz w:val="20"/>
                <w:szCs w:val="20"/>
                <w:color w:val="auto"/>
              </w:rPr>
            </w:pPr>
            <w:r>
              <w:rPr>
                <w:rFonts w:ascii="Arial" w:cs="Arial" w:eastAsia="Arial" w:hAnsi="Arial"/>
                <w:sz w:val="12"/>
                <w:szCs w:val="12"/>
                <w:color w:val="auto"/>
              </w:rPr>
              <w:t>6,156,122</w:t>
            </w:r>
          </w:p>
        </w:tc>
      </w:tr>
      <w:tr>
        <w:trPr>
          <w:trHeight w:val="25"/>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5"/>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45,180</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590.73</w:t>
            </w:r>
          </w:p>
        </w:tc>
        <w:tc>
          <w:tcPr>
            <w:tcW w:w="700" w:type="dxa"/>
            <w:vAlign w:val="bottom"/>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40,932</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(2)</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598.62</w:t>
            </w:r>
          </w:p>
        </w:tc>
        <w:tc>
          <w:tcPr>
            <w:tcW w:w="700" w:type="dxa"/>
            <w:vAlign w:val="bottom"/>
          </w:tcPr>
          <w:p>
            <w:pPr>
              <w:jc w:val="right"/>
              <w:spacing w:after="0"/>
              <w:rPr>
                <w:sz w:val="20"/>
                <w:szCs w:val="20"/>
                <w:color w:val="auto"/>
              </w:rPr>
            </w:pPr>
            <w:r>
              <w:rPr>
                <w:rFonts w:ascii="Arial" w:cs="Arial" w:eastAsia="Arial" w:hAnsi="Arial"/>
                <w:sz w:val="12"/>
                <w:szCs w:val="12"/>
                <w:color w:val="auto"/>
              </w:rPr>
              <w:t>2/1/2034</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31,478</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(1)</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554.52</w:t>
            </w:r>
          </w:p>
        </w:tc>
        <w:tc>
          <w:tcPr>
            <w:tcW w:w="700" w:type="dxa"/>
            <w:vAlign w:val="bottom"/>
          </w:tcPr>
          <w:p>
            <w:pPr>
              <w:jc w:val="right"/>
              <w:spacing w:after="0"/>
              <w:rPr>
                <w:sz w:val="20"/>
                <w:szCs w:val="20"/>
                <w:color w:val="auto"/>
              </w:rPr>
            </w:pPr>
            <w:r>
              <w:rPr>
                <w:rFonts w:ascii="Arial" w:cs="Arial" w:eastAsia="Arial" w:hAnsi="Arial"/>
                <w:sz w:val="12"/>
                <w:szCs w:val="12"/>
                <w:color w:val="auto"/>
              </w:rPr>
              <w:t>2/2/2033</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71"/>
        </w:trPr>
        <w:tc>
          <w:tcPr>
            <w:tcW w:w="1860" w:type="dxa"/>
            <w:vAlign w:val="bottom"/>
          </w:tcPr>
          <w:p>
            <w:pPr>
              <w:ind w:left="20"/>
              <w:spacing w:after="0"/>
              <w:rPr>
                <w:sz w:val="20"/>
                <w:szCs w:val="20"/>
                <w:color w:val="auto"/>
              </w:rPr>
            </w:pPr>
            <w:r>
              <w:rPr>
                <w:rFonts w:ascii="Arial" w:cs="Arial" w:eastAsia="Arial" w:hAnsi="Arial"/>
                <w:sz w:val="12"/>
                <w:szCs w:val="12"/>
                <w:b w:val="1"/>
                <w:bCs w:val="1"/>
                <w:color w:val="1A3FD6"/>
              </w:rPr>
              <w:t>Alvise J. Munari</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04"/>
              <w:spacing w:after="0"/>
              <w:rPr>
                <w:sz w:val="20"/>
                <w:szCs w:val="20"/>
                <w:color w:val="auto"/>
              </w:rPr>
            </w:pPr>
            <w:r>
              <w:rPr>
                <w:rFonts w:ascii="Arial" w:cs="Arial" w:eastAsia="Arial" w:hAnsi="Arial"/>
                <w:sz w:val="12"/>
                <w:szCs w:val="12"/>
                <w:color w:val="auto"/>
              </w:rPr>
              <w:t>3,970</w:t>
            </w:r>
          </w:p>
        </w:tc>
        <w:tc>
          <w:tcPr>
            <w:tcW w:w="1020" w:type="dxa"/>
            <w:vAlign w:val="bottom"/>
          </w:tcPr>
          <w:p>
            <w:pPr>
              <w:jc w:val="right"/>
              <w:ind w:right="224"/>
              <w:spacing w:after="0"/>
              <w:rPr>
                <w:sz w:val="20"/>
                <w:szCs w:val="20"/>
                <w:color w:val="auto"/>
              </w:rPr>
            </w:pPr>
            <w:r>
              <w:rPr>
                <w:rFonts w:ascii="Arial" w:cs="Arial" w:eastAsia="Arial" w:hAnsi="Arial"/>
                <w:sz w:val="12"/>
                <w:szCs w:val="12"/>
                <w:color w:val="auto"/>
              </w:rPr>
              <w:t>2,277,708</w:t>
            </w:r>
          </w:p>
        </w:tc>
        <w:tc>
          <w:tcPr>
            <w:tcW w:w="1180" w:type="dxa"/>
            <w:vAlign w:val="bottom"/>
          </w:tcPr>
          <w:p>
            <w:pPr>
              <w:jc w:val="right"/>
              <w:ind w:right="225"/>
              <w:spacing w:after="0"/>
              <w:rPr>
                <w:sz w:val="20"/>
                <w:szCs w:val="20"/>
                <w:color w:val="auto"/>
              </w:rPr>
            </w:pPr>
            <w:r>
              <w:rPr>
                <w:rFonts w:ascii="Arial" w:cs="Arial" w:eastAsia="Arial" w:hAnsi="Arial"/>
                <w:sz w:val="12"/>
                <w:szCs w:val="12"/>
                <w:color w:val="auto"/>
              </w:rPr>
              <w:t>4,491</w:t>
            </w:r>
          </w:p>
        </w:tc>
        <w:tc>
          <w:tcPr>
            <w:tcW w:w="960" w:type="dxa"/>
            <w:vAlign w:val="bottom"/>
          </w:tcPr>
          <w:p>
            <w:pPr>
              <w:jc w:val="right"/>
              <w:ind w:right="5"/>
              <w:spacing w:after="0"/>
              <w:rPr>
                <w:sz w:val="20"/>
                <w:szCs w:val="20"/>
                <w:color w:val="auto"/>
              </w:rPr>
            </w:pPr>
            <w:r>
              <w:rPr>
                <w:rFonts w:ascii="Arial" w:cs="Arial" w:eastAsia="Arial" w:hAnsi="Arial"/>
                <w:sz w:val="12"/>
                <w:szCs w:val="12"/>
                <w:color w:val="auto"/>
              </w:rPr>
              <w:t>2,576,621</w:t>
            </w:r>
          </w:p>
        </w:tc>
      </w:tr>
      <w:tr>
        <w:trPr>
          <w:trHeight w:val="25"/>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10,758</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590.73</w:t>
            </w:r>
          </w:p>
        </w:tc>
        <w:tc>
          <w:tcPr>
            <w:tcW w:w="700" w:type="dxa"/>
            <w:vAlign w:val="bottom"/>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8,816</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(2)</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598.62</w:t>
            </w:r>
          </w:p>
        </w:tc>
        <w:tc>
          <w:tcPr>
            <w:tcW w:w="700" w:type="dxa"/>
            <w:vAlign w:val="bottom"/>
          </w:tcPr>
          <w:p>
            <w:pPr>
              <w:jc w:val="right"/>
              <w:spacing w:after="0"/>
              <w:rPr>
                <w:sz w:val="20"/>
                <w:szCs w:val="20"/>
                <w:color w:val="auto"/>
              </w:rPr>
            </w:pPr>
            <w:r>
              <w:rPr>
                <w:rFonts w:ascii="Arial" w:cs="Arial" w:eastAsia="Arial" w:hAnsi="Arial"/>
                <w:sz w:val="12"/>
                <w:szCs w:val="12"/>
                <w:color w:val="auto"/>
              </w:rPr>
              <w:t>2/1/2034</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5"/>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7,998</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(1)</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554.52</w:t>
            </w:r>
          </w:p>
        </w:tc>
        <w:tc>
          <w:tcPr>
            <w:tcW w:w="700" w:type="dxa"/>
            <w:vAlign w:val="bottom"/>
          </w:tcPr>
          <w:p>
            <w:pPr>
              <w:jc w:val="right"/>
              <w:spacing w:after="0"/>
              <w:rPr>
                <w:sz w:val="20"/>
                <w:szCs w:val="20"/>
                <w:color w:val="auto"/>
              </w:rPr>
            </w:pPr>
            <w:r>
              <w:rPr>
                <w:rFonts w:ascii="Arial" w:cs="Arial" w:eastAsia="Arial" w:hAnsi="Arial"/>
                <w:sz w:val="12"/>
                <w:szCs w:val="12"/>
                <w:color w:val="auto"/>
              </w:rPr>
              <w:t>2/2/2033</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70"/>
        </w:trPr>
        <w:tc>
          <w:tcPr>
            <w:tcW w:w="1860" w:type="dxa"/>
            <w:vAlign w:val="bottom"/>
          </w:tcPr>
          <w:p>
            <w:pPr>
              <w:ind w:left="20"/>
              <w:spacing w:after="0"/>
              <w:rPr>
                <w:sz w:val="20"/>
                <w:szCs w:val="20"/>
                <w:color w:val="auto"/>
              </w:rPr>
            </w:pPr>
            <w:r>
              <w:rPr>
                <w:rFonts w:ascii="Arial" w:cs="Arial" w:eastAsia="Arial" w:hAnsi="Arial"/>
                <w:sz w:val="12"/>
                <w:szCs w:val="12"/>
                <w:b w:val="1"/>
                <w:bCs w:val="1"/>
                <w:color w:val="1A3FD6"/>
              </w:rPr>
              <w:t>Scott A. Crum</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204"/>
              <w:spacing w:after="0"/>
              <w:rPr>
                <w:sz w:val="20"/>
                <w:szCs w:val="20"/>
                <w:color w:val="auto"/>
              </w:rPr>
            </w:pPr>
            <w:r>
              <w:rPr>
                <w:rFonts w:ascii="Arial" w:cs="Arial" w:eastAsia="Arial" w:hAnsi="Arial"/>
                <w:sz w:val="12"/>
                <w:szCs w:val="12"/>
                <w:color w:val="auto"/>
              </w:rPr>
              <w:t>3,223</w:t>
            </w:r>
          </w:p>
        </w:tc>
        <w:tc>
          <w:tcPr>
            <w:tcW w:w="1020" w:type="dxa"/>
            <w:vAlign w:val="bottom"/>
          </w:tcPr>
          <w:p>
            <w:pPr>
              <w:jc w:val="right"/>
              <w:ind w:right="224"/>
              <w:spacing w:after="0"/>
              <w:rPr>
                <w:sz w:val="20"/>
                <w:szCs w:val="20"/>
                <w:color w:val="auto"/>
              </w:rPr>
            </w:pPr>
            <w:r>
              <w:rPr>
                <w:rFonts w:ascii="Arial" w:cs="Arial" w:eastAsia="Arial" w:hAnsi="Arial"/>
                <w:sz w:val="12"/>
                <w:szCs w:val="12"/>
                <w:color w:val="auto"/>
              </w:rPr>
              <w:t>1,849,132</w:t>
            </w:r>
          </w:p>
        </w:tc>
        <w:tc>
          <w:tcPr>
            <w:tcW w:w="1180" w:type="dxa"/>
            <w:vAlign w:val="bottom"/>
          </w:tcPr>
          <w:p>
            <w:pPr>
              <w:jc w:val="right"/>
              <w:ind w:right="225"/>
              <w:spacing w:after="0"/>
              <w:rPr>
                <w:sz w:val="20"/>
                <w:szCs w:val="20"/>
                <w:color w:val="auto"/>
              </w:rPr>
            </w:pPr>
            <w:r>
              <w:rPr>
                <w:rFonts w:ascii="Arial" w:cs="Arial" w:eastAsia="Arial" w:hAnsi="Arial"/>
                <w:sz w:val="12"/>
                <w:szCs w:val="12"/>
                <w:color w:val="auto"/>
              </w:rPr>
              <w:t>2,675</w:t>
            </w:r>
          </w:p>
        </w:tc>
        <w:tc>
          <w:tcPr>
            <w:tcW w:w="960" w:type="dxa"/>
            <w:vAlign w:val="bottom"/>
          </w:tcPr>
          <w:p>
            <w:pPr>
              <w:jc w:val="right"/>
              <w:ind w:right="5"/>
              <w:spacing w:after="0"/>
              <w:rPr>
                <w:sz w:val="20"/>
                <w:szCs w:val="20"/>
                <w:color w:val="auto"/>
              </w:rPr>
            </w:pPr>
            <w:r>
              <w:rPr>
                <w:rFonts w:ascii="Arial" w:cs="Arial" w:eastAsia="Arial" w:hAnsi="Arial"/>
                <w:sz w:val="12"/>
                <w:szCs w:val="12"/>
                <w:color w:val="auto"/>
              </w:rPr>
              <w:t>1,534,727</w:t>
            </w:r>
          </w:p>
        </w:tc>
      </w:tr>
      <w:tr>
        <w:trPr>
          <w:trHeight w:val="25"/>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5"/>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8,606</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(4)</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590.73</w:t>
            </w:r>
          </w:p>
        </w:tc>
        <w:tc>
          <w:tcPr>
            <w:tcW w:w="700" w:type="dxa"/>
            <w:vAlign w:val="bottom"/>
          </w:tcPr>
          <w:p>
            <w:pPr>
              <w:jc w:val="right"/>
              <w:spacing w:after="0"/>
              <w:rPr>
                <w:sz w:val="20"/>
                <w:szCs w:val="20"/>
                <w:color w:val="auto"/>
              </w:rPr>
            </w:pPr>
            <w:r>
              <w:rPr>
                <w:rFonts w:ascii="Arial" w:cs="Arial" w:eastAsia="Arial" w:hAnsi="Arial"/>
                <w:sz w:val="12"/>
                <w:szCs w:val="12"/>
                <w:color w:val="auto"/>
              </w:rPr>
              <w:t>1/31/2035</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7,198</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(2)</w:t>
            </w:r>
          </w:p>
        </w:tc>
        <w:tc>
          <w:tcPr>
            <w:tcW w:w="820" w:type="dxa"/>
            <w:vAlign w:val="bottom"/>
          </w:tcPr>
          <w:p>
            <w:pPr>
              <w:jc w:val="right"/>
              <w:ind w:right="102"/>
              <w:spacing w:after="0"/>
              <w:rPr>
                <w:sz w:val="20"/>
                <w:szCs w:val="20"/>
                <w:color w:val="auto"/>
              </w:rPr>
            </w:pPr>
            <w:r>
              <w:rPr>
                <w:rFonts w:ascii="Arial" w:cs="Arial" w:eastAsia="Arial" w:hAnsi="Arial"/>
                <w:sz w:val="12"/>
                <w:szCs w:val="12"/>
                <w:color w:val="auto"/>
              </w:rPr>
              <w:t>598.62</w:t>
            </w:r>
          </w:p>
        </w:tc>
        <w:tc>
          <w:tcPr>
            <w:tcW w:w="700" w:type="dxa"/>
            <w:vAlign w:val="bottom"/>
          </w:tcPr>
          <w:p>
            <w:pPr>
              <w:jc w:val="right"/>
              <w:spacing w:after="0"/>
              <w:rPr>
                <w:sz w:val="20"/>
                <w:szCs w:val="20"/>
                <w:color w:val="auto"/>
              </w:rPr>
            </w:pPr>
            <w:r>
              <w:rPr>
                <w:rFonts w:ascii="Arial" w:cs="Arial" w:eastAsia="Arial" w:hAnsi="Arial"/>
                <w:sz w:val="12"/>
                <w:szCs w:val="12"/>
                <w:color w:val="auto"/>
              </w:rPr>
              <w:t>2/1/2034</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940" w:type="dxa"/>
            <w:vAlign w:val="bottom"/>
            <w:tcBorders>
              <w:bottom w:val="single" w:sz="8" w:color="E6E7E8"/>
            </w:tcBorders>
          </w:tcPr>
          <w:p>
            <w:pPr>
              <w:spacing w:after="0"/>
              <w:rPr>
                <w:sz w:val="2"/>
                <w:szCs w:val="2"/>
                <w:color w:val="auto"/>
              </w:rPr>
            </w:pPr>
          </w:p>
        </w:tc>
        <w:tc>
          <w:tcPr>
            <w:tcW w:w="840" w:type="dxa"/>
            <w:vAlign w:val="bottom"/>
            <w:tcBorders>
              <w:bottom w:val="single" w:sz="8" w:color="E6E7E8"/>
            </w:tcBorders>
          </w:tcPr>
          <w:p>
            <w:pPr>
              <w:spacing w:after="0"/>
              <w:rPr>
                <w:sz w:val="2"/>
                <w:szCs w:val="2"/>
                <w:color w:val="auto"/>
              </w:rPr>
            </w:pPr>
          </w:p>
        </w:tc>
        <w:tc>
          <w:tcPr>
            <w:tcW w:w="460" w:type="dxa"/>
            <w:vAlign w:val="bottom"/>
            <w:tcBorders>
              <w:bottom w:val="single" w:sz="8" w:color="E6E7E8"/>
            </w:tcBorders>
          </w:tcPr>
          <w:p>
            <w:pPr>
              <w:spacing w:after="0"/>
              <w:rPr>
                <w:sz w:val="2"/>
                <w:szCs w:val="2"/>
                <w:color w:val="auto"/>
              </w:rPr>
            </w:pPr>
          </w:p>
        </w:tc>
        <w:tc>
          <w:tcPr>
            <w:tcW w:w="820" w:type="dxa"/>
            <w:vAlign w:val="bottom"/>
            <w:tcBorders>
              <w:bottom w:val="single" w:sz="8" w:color="E6E7E8"/>
            </w:tcBorders>
          </w:tcPr>
          <w:p>
            <w:pPr>
              <w:spacing w:after="0"/>
              <w:rPr>
                <w:sz w:val="2"/>
                <w:szCs w:val="2"/>
                <w:color w:val="auto"/>
              </w:rPr>
            </w:pPr>
          </w:p>
        </w:tc>
        <w:tc>
          <w:tcPr>
            <w:tcW w:w="700" w:type="dxa"/>
            <w:vAlign w:val="bottom"/>
            <w:tcBorders>
              <w:bottom w:val="single" w:sz="8" w:color="E6E7E8"/>
            </w:tcBorders>
          </w:tcPr>
          <w:p>
            <w:pPr>
              <w:spacing w:after="0"/>
              <w:rPr>
                <w:sz w:val="2"/>
                <w:szCs w:val="2"/>
                <w:color w:val="auto"/>
              </w:rPr>
            </w:pPr>
          </w:p>
        </w:tc>
        <w:tc>
          <w:tcPr>
            <w:tcW w:w="16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1020" w:type="dxa"/>
            <w:vAlign w:val="bottom"/>
            <w:tcBorders>
              <w:bottom w:val="single" w:sz="8" w:color="E6E7E8"/>
            </w:tcBorders>
          </w:tcPr>
          <w:p>
            <w:pPr>
              <w:spacing w:after="0"/>
              <w:rPr>
                <w:sz w:val="2"/>
                <w:szCs w:val="2"/>
                <w:color w:val="auto"/>
              </w:rPr>
            </w:pPr>
          </w:p>
        </w:tc>
        <w:tc>
          <w:tcPr>
            <w:tcW w:w="1180" w:type="dxa"/>
            <w:vAlign w:val="bottom"/>
            <w:tcBorders>
              <w:bottom w:val="single" w:sz="8" w:color="E6E7E8"/>
            </w:tcBorders>
          </w:tcPr>
          <w:p>
            <w:pPr>
              <w:spacing w:after="0"/>
              <w:rPr>
                <w:sz w:val="2"/>
                <w:szCs w:val="2"/>
                <w:color w:val="auto"/>
              </w:rPr>
            </w:pPr>
          </w:p>
        </w:tc>
        <w:tc>
          <w:tcPr>
            <w:tcW w:w="960" w:type="dxa"/>
            <w:vAlign w:val="bottom"/>
            <w:tcBorders>
              <w:bottom w:val="single" w:sz="8" w:color="E6E7E8"/>
            </w:tcBorders>
          </w:tcPr>
          <w:p>
            <w:pPr>
              <w:spacing w:after="0"/>
              <w:rPr>
                <w:sz w:val="2"/>
                <w:szCs w:val="2"/>
                <w:color w:val="auto"/>
              </w:rPr>
            </w:pPr>
          </w:p>
        </w:tc>
      </w:tr>
      <w:tr>
        <w:trPr>
          <w:trHeight w:val="164"/>
        </w:trPr>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6,576</w:t>
            </w:r>
          </w:p>
        </w:tc>
        <w:tc>
          <w:tcPr>
            <w:tcW w:w="460" w:type="dxa"/>
            <w:vAlign w:val="bottom"/>
          </w:tcPr>
          <w:p>
            <w:pPr>
              <w:jc w:val="center"/>
              <w:ind w:right="281"/>
              <w:spacing w:after="0"/>
              <w:rPr>
                <w:sz w:val="20"/>
                <w:szCs w:val="20"/>
                <w:color w:val="auto"/>
              </w:rPr>
            </w:pPr>
            <w:r>
              <w:rPr>
                <w:rFonts w:ascii="Arial" w:cs="Arial" w:eastAsia="Arial" w:hAnsi="Arial"/>
                <w:sz w:val="8"/>
                <w:szCs w:val="8"/>
                <w:color w:val="auto"/>
              </w:rPr>
              <w:t>(1)</w:t>
            </w:r>
          </w:p>
        </w:tc>
        <w:tc>
          <w:tcPr>
            <w:tcW w:w="820" w:type="dxa"/>
            <w:vAlign w:val="bottom"/>
          </w:tcPr>
          <w:p>
            <w:pPr>
              <w:jc w:val="right"/>
              <w:ind w:right="142"/>
              <w:spacing w:after="0"/>
              <w:rPr>
                <w:sz w:val="20"/>
                <w:szCs w:val="20"/>
                <w:color w:val="auto"/>
              </w:rPr>
            </w:pPr>
            <w:r>
              <w:rPr>
                <w:rFonts w:ascii="Arial" w:cs="Arial" w:eastAsia="Arial" w:hAnsi="Arial"/>
                <w:sz w:val="12"/>
                <w:szCs w:val="12"/>
                <w:color w:val="auto"/>
              </w:rPr>
              <w:t>554.52</w:t>
            </w:r>
          </w:p>
        </w:tc>
        <w:tc>
          <w:tcPr>
            <w:tcW w:w="700" w:type="dxa"/>
            <w:vAlign w:val="bottom"/>
          </w:tcPr>
          <w:p>
            <w:pPr>
              <w:jc w:val="right"/>
              <w:spacing w:after="0"/>
              <w:rPr>
                <w:sz w:val="20"/>
                <w:szCs w:val="20"/>
                <w:color w:val="auto"/>
              </w:rPr>
            </w:pPr>
            <w:r>
              <w:rPr>
                <w:rFonts w:ascii="Arial" w:cs="Arial" w:eastAsia="Arial" w:hAnsi="Arial"/>
                <w:sz w:val="12"/>
                <w:szCs w:val="12"/>
                <w:color w:val="auto"/>
              </w:rPr>
              <w:t>2/2/2033</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2"/>
        </w:trPr>
        <w:tc>
          <w:tcPr>
            <w:tcW w:w="18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940" w:type="dxa"/>
            <w:vAlign w:val="bottom"/>
            <w:tcBorders>
              <w:bottom w:val="single" w:sz="8" w:color="1A3FD6"/>
            </w:tcBorders>
          </w:tcPr>
          <w:p>
            <w:pPr>
              <w:spacing w:after="0"/>
              <w:rPr>
                <w:sz w:val="2"/>
                <w:szCs w:val="2"/>
                <w:color w:val="auto"/>
              </w:rPr>
            </w:pPr>
          </w:p>
        </w:tc>
        <w:tc>
          <w:tcPr>
            <w:tcW w:w="840" w:type="dxa"/>
            <w:vAlign w:val="bottom"/>
            <w:tcBorders>
              <w:bottom w:val="single" w:sz="8" w:color="1A3FD6"/>
            </w:tcBorders>
          </w:tcPr>
          <w:p>
            <w:pPr>
              <w:spacing w:after="0"/>
              <w:rPr>
                <w:sz w:val="2"/>
                <w:szCs w:val="2"/>
                <w:color w:val="auto"/>
              </w:rPr>
            </w:pPr>
          </w:p>
        </w:tc>
        <w:tc>
          <w:tcPr>
            <w:tcW w:w="460" w:type="dxa"/>
            <w:vAlign w:val="bottom"/>
            <w:tcBorders>
              <w:bottom w:val="single" w:sz="8" w:color="1A3FD6"/>
            </w:tcBorders>
          </w:tcPr>
          <w:p>
            <w:pPr>
              <w:spacing w:after="0"/>
              <w:rPr>
                <w:sz w:val="2"/>
                <w:szCs w:val="2"/>
                <w:color w:val="auto"/>
              </w:rPr>
            </w:pPr>
          </w:p>
        </w:tc>
        <w:tc>
          <w:tcPr>
            <w:tcW w:w="820" w:type="dxa"/>
            <w:vAlign w:val="bottom"/>
            <w:tcBorders>
              <w:bottom w:val="single" w:sz="8" w:color="1A3FD6"/>
            </w:tcBorders>
          </w:tcPr>
          <w:p>
            <w:pPr>
              <w:spacing w:after="0"/>
              <w:rPr>
                <w:sz w:val="2"/>
                <w:szCs w:val="2"/>
                <w:color w:val="auto"/>
              </w:rPr>
            </w:pPr>
          </w:p>
        </w:tc>
        <w:tc>
          <w:tcPr>
            <w:tcW w:w="700" w:type="dxa"/>
            <w:vAlign w:val="bottom"/>
            <w:tcBorders>
              <w:bottom w:val="single" w:sz="8" w:color="1A3FD6"/>
            </w:tcBorders>
          </w:tcPr>
          <w:p>
            <w:pPr>
              <w:spacing w:after="0"/>
              <w:rPr>
                <w:sz w:val="2"/>
                <w:szCs w:val="2"/>
                <w:color w:val="auto"/>
              </w:rPr>
            </w:pPr>
          </w:p>
        </w:tc>
        <w:tc>
          <w:tcPr>
            <w:tcW w:w="160" w:type="dxa"/>
            <w:vAlign w:val="bottom"/>
            <w:tcBorders>
              <w:bottom w:val="single" w:sz="8" w:color="1A3FD6"/>
            </w:tcBorders>
          </w:tcPr>
          <w:p>
            <w:pPr>
              <w:spacing w:after="0"/>
              <w:rPr>
                <w:sz w:val="2"/>
                <w:szCs w:val="2"/>
                <w:color w:val="auto"/>
              </w:rPr>
            </w:pPr>
          </w:p>
        </w:tc>
        <w:tc>
          <w:tcPr>
            <w:tcW w:w="1180" w:type="dxa"/>
            <w:vAlign w:val="bottom"/>
            <w:tcBorders>
              <w:bottom w:val="single" w:sz="8" w:color="1A3FD6"/>
            </w:tcBorders>
          </w:tcPr>
          <w:p>
            <w:pPr>
              <w:spacing w:after="0"/>
              <w:rPr>
                <w:sz w:val="2"/>
                <w:szCs w:val="2"/>
                <w:color w:val="auto"/>
              </w:rPr>
            </w:pPr>
          </w:p>
        </w:tc>
        <w:tc>
          <w:tcPr>
            <w:tcW w:w="1020" w:type="dxa"/>
            <w:vAlign w:val="bottom"/>
            <w:tcBorders>
              <w:bottom w:val="single" w:sz="8" w:color="1A3FD6"/>
            </w:tcBorders>
          </w:tcPr>
          <w:p>
            <w:pPr>
              <w:spacing w:after="0"/>
              <w:rPr>
                <w:sz w:val="2"/>
                <w:szCs w:val="2"/>
                <w:color w:val="auto"/>
              </w:rPr>
            </w:pPr>
          </w:p>
        </w:tc>
        <w:tc>
          <w:tcPr>
            <w:tcW w:w="1180" w:type="dxa"/>
            <w:vAlign w:val="bottom"/>
            <w:tcBorders>
              <w:bottom w:val="single" w:sz="8" w:color="1A3FD6"/>
            </w:tcBorders>
          </w:tcPr>
          <w:p>
            <w:pPr>
              <w:spacing w:after="0"/>
              <w:rPr>
                <w:sz w:val="2"/>
                <w:szCs w:val="2"/>
                <w:color w:val="auto"/>
              </w:rPr>
            </w:pPr>
          </w:p>
        </w:tc>
        <w:tc>
          <w:tcPr>
            <w:tcW w:w="960" w:type="dxa"/>
            <w:vAlign w:val="bottom"/>
            <w:tcBorders>
              <w:bottom w:val="single" w:sz="8" w:color="1A3FD6"/>
            </w:tcBorders>
          </w:tcPr>
          <w:p>
            <w:pPr>
              <w:spacing w:after="0"/>
              <w:rPr>
                <w:sz w:val="2"/>
                <w:szCs w:val="2"/>
                <w:color w:val="auto"/>
              </w:rPr>
            </w:pPr>
          </w:p>
        </w:tc>
      </w:tr>
    </w:tbl>
    <w:p>
      <w:pPr>
        <w:spacing w:after="0" w:line="153" w:lineRule="exact"/>
        <w:rPr>
          <w:sz w:val="20"/>
          <w:szCs w:val="20"/>
          <w:color w:val="auto"/>
        </w:rPr>
      </w:pPr>
    </w:p>
    <w:p>
      <w:pPr>
        <w:ind w:left="260" w:right="100" w:hanging="252"/>
        <w:spacing w:after="0" w:line="264" w:lineRule="auto"/>
        <w:tabs>
          <w:tab w:leader="none" w:pos="264"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award of PSOs that was granted on February 2, 2023, which 2023 PSOs were unexercised and unearned as of December 31, 2025 and remain subject to performance adjustment and forfeiture provisions. These values represent the number of stock options each NEO would receive upon vesting, assuming maximum attainment of the applicable performance goals. This column does not give effect to retirement provisions as detailed below under “—Potential Payments Upon Termination or Change in Control—Equity Acceleration.”</w:t>
      </w:r>
    </w:p>
    <w:p>
      <w:pPr>
        <w:spacing w:after="0" w:line="51" w:lineRule="exact"/>
        <w:rPr>
          <w:rFonts w:ascii="Arial" w:cs="Arial" w:eastAsia="Arial" w:hAnsi="Arial"/>
          <w:sz w:val="19"/>
          <w:szCs w:val="19"/>
          <w:color w:val="auto"/>
          <w:vertAlign w:val="superscript"/>
        </w:rPr>
      </w:pPr>
    </w:p>
    <w:p>
      <w:pPr>
        <w:ind w:left="260" w:right="100" w:hanging="252"/>
        <w:spacing w:after="0" w:line="258" w:lineRule="auto"/>
        <w:tabs>
          <w:tab w:leader="none" w:pos="25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award of PSOs that was granted on February 1, 2024, which 2024 PSOs were unexercised and unearned as of December 31, 2025 and remain subject to performance adjustment and forfeiture provisions. These values represent the number of stock options each NEO would receive upon vesting, assuming maximum attainment of the applicable performance goals. This column does not give effect to retirement provisions as detailed below under “—Potential Payments Upon Termination or Change in Control—Equity Acceleration.”</w:t>
      </w:r>
    </w:p>
    <w:p>
      <w:pPr>
        <w:spacing w:after="0" w:line="41"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special award of PPOs that was granted on January 31, 2025, which PPOs were unexercisable as of December 31, 2025.</w:t>
      </w:r>
    </w:p>
    <w:p>
      <w:pPr>
        <w:spacing w:after="0" w:line="66" w:lineRule="exact"/>
        <w:rPr>
          <w:rFonts w:ascii="Arial" w:cs="Arial" w:eastAsia="Arial" w:hAnsi="Arial"/>
          <w:sz w:val="19"/>
          <w:szCs w:val="19"/>
          <w:color w:val="auto"/>
          <w:vertAlign w:val="superscript"/>
        </w:rPr>
      </w:pPr>
    </w:p>
    <w:p>
      <w:pPr>
        <w:ind w:left="260" w:right="100" w:hanging="252"/>
        <w:spacing w:after="0" w:line="258" w:lineRule="auto"/>
        <w:tabs>
          <w:tab w:leader="none" w:pos="25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the award of PSOs that was granted on January 31, 2025, which 2025 PSOs were unexercised and unearned as of December 31, 2025 and remain subject to performance adjustment and forfeiture provisions. These values represent the number of stock options each NEO would receive upon vesting, assuming maximum attainment of the applicable performance goals. This column does not give effect to retirement provisions as detailed below under “—Potential Payments Upon Termination or Change in Control—Equity Acceleration.”</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93</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60" w:hanging="252"/>
        <w:spacing w:after="0" w:line="239" w:lineRule="auto"/>
        <w:tabs>
          <w:tab w:leader="none" w:pos="25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unvested RSUs outstanding as of December 31, 2025. This column does not give effect to retirement provisions as detailed below under “—Potential Payments Upon Termination or Change in Control—Equity Acceleration.” The number of RSUs included in this table vest on the following dates for each NEO:</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gridSpan w:val="2"/>
          </w:tcPr>
          <w:p>
            <w:pPr>
              <w:jc w:val="right"/>
              <w:ind w:right="290"/>
              <w:spacing w:after="0"/>
              <w:rPr>
                <w:sz w:val="20"/>
                <w:szCs w:val="20"/>
                <w:color w:val="auto"/>
              </w:rPr>
            </w:pPr>
            <w:r>
              <w:rPr>
                <w:rFonts w:ascii="Arial" w:cs="Arial" w:eastAsia="Arial" w:hAnsi="Arial"/>
                <w:sz w:val="13"/>
                <w:szCs w:val="13"/>
                <w:b w:val="1"/>
                <w:bCs w:val="1"/>
                <w:color w:val="auto"/>
                <w:w w:val="96"/>
              </w:rPr>
              <w:t>Number of RSUs by Vesting Date</w:t>
            </w:r>
          </w:p>
        </w:tc>
        <w:tc>
          <w:tcPr>
            <w:tcW w:w="720" w:type="dxa"/>
            <w:vAlign w:val="bottom"/>
          </w:tcPr>
          <w:p>
            <w:pPr>
              <w:spacing w:after="0"/>
              <w:rPr>
                <w:sz w:val="14"/>
                <w:szCs w:val="14"/>
                <w:color w:val="auto"/>
              </w:rPr>
            </w:pPr>
          </w:p>
        </w:tc>
      </w:tr>
      <w:tr>
        <w:trPr>
          <w:trHeight w:val="22"/>
        </w:trPr>
        <w:tc>
          <w:tcPr>
            <w:tcW w:w="6620" w:type="dxa"/>
            <w:vAlign w:val="bottom"/>
          </w:tcPr>
          <w:p>
            <w:pPr>
              <w:spacing w:after="0" w:line="20" w:lineRule="exact"/>
              <w:rPr>
                <w:sz w:val="1"/>
                <w:szCs w:val="1"/>
                <w:color w:val="auto"/>
              </w:rPr>
            </w:pPr>
          </w:p>
        </w:tc>
        <w:tc>
          <w:tcPr>
            <w:tcW w:w="1060" w:type="dxa"/>
            <w:vAlign w:val="bottom"/>
            <w:tcBorders>
              <w:bottom w:val="single" w:sz="8" w:color="1A3FD6"/>
            </w:tcBorders>
          </w:tcPr>
          <w:p>
            <w:pPr>
              <w:spacing w:after="0" w:line="20" w:lineRule="exact"/>
              <w:rPr>
                <w:sz w:val="1"/>
                <w:szCs w:val="1"/>
                <w:color w:val="auto"/>
              </w:rPr>
            </w:pPr>
          </w:p>
        </w:tc>
        <w:tc>
          <w:tcPr>
            <w:tcW w:w="1240" w:type="dxa"/>
            <w:vAlign w:val="bottom"/>
            <w:tcBorders>
              <w:bottom w:val="single" w:sz="8" w:color="1A3FD6"/>
            </w:tcBorders>
          </w:tcPr>
          <w:p>
            <w:pPr>
              <w:spacing w:after="0" w:line="20" w:lineRule="exact"/>
              <w:rPr>
                <w:sz w:val="1"/>
                <w:szCs w:val="1"/>
                <w:color w:val="auto"/>
              </w:rPr>
            </w:pPr>
          </w:p>
        </w:tc>
        <w:tc>
          <w:tcPr>
            <w:tcW w:w="1120" w:type="dxa"/>
            <w:vAlign w:val="bottom"/>
            <w:tcBorders>
              <w:bottom w:val="single" w:sz="8" w:color="1A3FD6"/>
            </w:tcBorders>
          </w:tcPr>
          <w:p>
            <w:pPr>
              <w:spacing w:after="0" w:line="20" w:lineRule="exact"/>
              <w:rPr>
                <w:sz w:val="1"/>
                <w:szCs w:val="1"/>
                <w:color w:val="auto"/>
              </w:rPr>
            </w:pPr>
          </w:p>
        </w:tc>
        <w:tc>
          <w:tcPr>
            <w:tcW w:w="720" w:type="dxa"/>
            <w:vAlign w:val="bottom"/>
            <w:tcBorders>
              <w:bottom w:val="single" w:sz="8" w:color="1A3FD6"/>
            </w:tcBorders>
          </w:tcPr>
          <w:p>
            <w:pPr>
              <w:spacing w:after="0" w:line="20" w:lineRule="exact"/>
              <w:rPr>
                <w:sz w:val="1"/>
                <w:szCs w:val="1"/>
                <w:color w:val="auto"/>
              </w:rPr>
            </w:pPr>
          </w:p>
        </w:tc>
      </w:tr>
      <w:tr>
        <w:trPr>
          <w:trHeight w:val="188"/>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2/2/2026</w:t>
            </w:r>
          </w:p>
        </w:tc>
        <w:tc>
          <w:tcPr>
            <w:tcW w:w="1240" w:type="dxa"/>
            <w:vAlign w:val="bottom"/>
          </w:tcPr>
          <w:p>
            <w:pPr>
              <w:jc w:val="right"/>
              <w:ind w:right="171"/>
              <w:spacing w:after="0"/>
              <w:rPr>
                <w:sz w:val="20"/>
                <w:szCs w:val="20"/>
                <w:color w:val="auto"/>
              </w:rPr>
            </w:pPr>
            <w:r>
              <w:rPr>
                <w:rFonts w:ascii="Arial" w:cs="Arial" w:eastAsia="Arial" w:hAnsi="Arial"/>
                <w:sz w:val="13"/>
                <w:szCs w:val="13"/>
                <w:b w:val="1"/>
                <w:bCs w:val="1"/>
                <w:color w:val="auto"/>
              </w:rPr>
              <w:t>2/1/2027</w:t>
            </w:r>
          </w:p>
        </w:tc>
        <w:tc>
          <w:tcPr>
            <w:tcW w:w="1120" w:type="dxa"/>
            <w:vAlign w:val="bottom"/>
          </w:tcPr>
          <w:p>
            <w:pPr>
              <w:jc w:val="right"/>
              <w:ind w:right="250"/>
              <w:spacing w:after="0"/>
              <w:rPr>
                <w:sz w:val="20"/>
                <w:szCs w:val="20"/>
                <w:color w:val="auto"/>
              </w:rPr>
            </w:pPr>
            <w:r>
              <w:rPr>
                <w:rFonts w:ascii="Arial" w:cs="Arial" w:eastAsia="Arial" w:hAnsi="Arial"/>
                <w:sz w:val="13"/>
                <w:szCs w:val="13"/>
                <w:b w:val="1"/>
                <w:bCs w:val="1"/>
                <w:color w:val="auto"/>
              </w:rPr>
              <w:t>1/31/2028</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
        </w:trPr>
        <w:tc>
          <w:tcPr>
            <w:tcW w:w="6620" w:type="dxa"/>
            <w:vAlign w:val="bottom"/>
            <w:tcBorders>
              <w:bottom w:val="single" w:sz="8" w:color="1A3FD6"/>
            </w:tcBorders>
          </w:tcPr>
          <w:p>
            <w:pPr>
              <w:spacing w:after="0" w:line="20" w:lineRule="exact"/>
              <w:rPr>
                <w:sz w:val="1"/>
                <w:szCs w:val="1"/>
                <w:color w:val="auto"/>
              </w:rPr>
            </w:pPr>
          </w:p>
        </w:tc>
        <w:tc>
          <w:tcPr>
            <w:tcW w:w="1060" w:type="dxa"/>
            <w:vAlign w:val="bottom"/>
            <w:tcBorders>
              <w:bottom w:val="single" w:sz="8" w:color="1A3FD6"/>
            </w:tcBorders>
          </w:tcPr>
          <w:p>
            <w:pPr>
              <w:spacing w:after="0" w:line="20" w:lineRule="exact"/>
              <w:rPr>
                <w:sz w:val="1"/>
                <w:szCs w:val="1"/>
                <w:color w:val="auto"/>
              </w:rPr>
            </w:pPr>
          </w:p>
        </w:tc>
        <w:tc>
          <w:tcPr>
            <w:tcW w:w="1240" w:type="dxa"/>
            <w:vAlign w:val="bottom"/>
            <w:tcBorders>
              <w:bottom w:val="single" w:sz="8" w:color="1A3FD6"/>
            </w:tcBorders>
          </w:tcPr>
          <w:p>
            <w:pPr>
              <w:spacing w:after="0" w:line="20" w:lineRule="exact"/>
              <w:rPr>
                <w:sz w:val="1"/>
                <w:szCs w:val="1"/>
                <w:color w:val="auto"/>
              </w:rPr>
            </w:pPr>
          </w:p>
        </w:tc>
        <w:tc>
          <w:tcPr>
            <w:tcW w:w="1120" w:type="dxa"/>
            <w:vAlign w:val="bottom"/>
            <w:tcBorders>
              <w:bottom w:val="single" w:sz="8" w:color="1A3FD6"/>
            </w:tcBorders>
          </w:tcPr>
          <w:p>
            <w:pPr>
              <w:spacing w:after="0" w:line="20" w:lineRule="exact"/>
              <w:rPr>
                <w:sz w:val="1"/>
                <w:szCs w:val="1"/>
                <w:color w:val="auto"/>
              </w:rPr>
            </w:pPr>
          </w:p>
        </w:tc>
        <w:tc>
          <w:tcPr>
            <w:tcW w:w="720" w:type="dxa"/>
            <w:vAlign w:val="bottom"/>
            <w:tcBorders>
              <w:bottom w:val="single" w:sz="8" w:color="1A3FD6"/>
            </w:tcBorders>
          </w:tcPr>
          <w:p>
            <w:pPr>
              <w:spacing w:after="0" w:line="20" w:lineRule="exact"/>
              <w:rPr>
                <w:sz w:val="1"/>
                <w:szCs w:val="1"/>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
        </w:trPr>
        <w:tc>
          <w:tcPr>
            <w:tcW w:w="6620" w:type="dxa"/>
            <w:vAlign w:val="bottom"/>
            <w:tcBorders>
              <w:bottom w:val="single" w:sz="8" w:color="E6E7E8"/>
            </w:tcBorders>
          </w:tcPr>
          <w:p>
            <w:pPr>
              <w:spacing w:after="0"/>
              <w:rPr>
                <w:sz w:val="2"/>
                <w:szCs w:val="2"/>
                <w:color w:val="auto"/>
              </w:rPr>
            </w:pPr>
          </w:p>
        </w:tc>
        <w:tc>
          <w:tcPr>
            <w:tcW w:w="1060" w:type="dxa"/>
            <w:vAlign w:val="bottom"/>
            <w:tcBorders>
              <w:bottom w:val="single" w:sz="8" w:color="E6E7E8"/>
            </w:tcBorders>
          </w:tcPr>
          <w:p>
            <w:pPr>
              <w:spacing w:after="0"/>
              <w:rPr>
                <w:sz w:val="2"/>
                <w:szCs w:val="2"/>
                <w:color w:val="auto"/>
              </w:rPr>
            </w:pPr>
          </w:p>
        </w:tc>
        <w:tc>
          <w:tcPr>
            <w:tcW w:w="124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720" w:type="dxa"/>
            <w:vAlign w:val="bottom"/>
            <w:tcBorders>
              <w:bottom w:val="single" w:sz="8" w:color="E6E7E8"/>
            </w:tcBorders>
          </w:tcPr>
          <w:p>
            <w:pPr>
              <w:spacing w:after="0"/>
              <w:rPr>
                <w:sz w:val="2"/>
                <w:szCs w:val="2"/>
                <w:color w:val="auto"/>
              </w:rPr>
            </w:pPr>
          </w:p>
        </w:tc>
      </w:tr>
      <w:tr>
        <w:trPr>
          <w:trHeight w:val="207"/>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1,137</w:t>
            </w:r>
          </w:p>
        </w:tc>
        <w:tc>
          <w:tcPr>
            <w:tcW w:w="1240" w:type="dxa"/>
            <w:vAlign w:val="bottom"/>
          </w:tcPr>
          <w:p>
            <w:pPr>
              <w:jc w:val="right"/>
              <w:ind w:right="231"/>
              <w:spacing w:after="0"/>
              <w:rPr>
                <w:sz w:val="20"/>
                <w:szCs w:val="20"/>
                <w:color w:val="auto"/>
              </w:rPr>
            </w:pPr>
            <w:r>
              <w:rPr>
                <w:rFonts w:ascii="Arial" w:cs="Arial" w:eastAsia="Arial" w:hAnsi="Arial"/>
                <w:sz w:val="14"/>
                <w:szCs w:val="14"/>
                <w:color w:val="auto"/>
              </w:rPr>
              <w:t>1,329</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1,524</w:t>
            </w:r>
          </w:p>
        </w:tc>
        <w:tc>
          <w:tcPr>
            <w:tcW w:w="720" w:type="dxa"/>
            <w:vAlign w:val="bottom"/>
          </w:tcPr>
          <w:p>
            <w:pPr>
              <w:jc w:val="right"/>
              <w:spacing w:after="0"/>
              <w:rPr>
                <w:sz w:val="20"/>
                <w:szCs w:val="20"/>
                <w:color w:val="auto"/>
              </w:rPr>
            </w:pPr>
            <w:r>
              <w:rPr>
                <w:rFonts w:ascii="Arial" w:cs="Arial" w:eastAsia="Arial" w:hAnsi="Arial"/>
                <w:sz w:val="14"/>
                <w:szCs w:val="14"/>
                <w:color w:val="auto"/>
              </w:rPr>
              <w:t>3,990</w:t>
            </w:r>
          </w:p>
        </w:tc>
      </w:tr>
      <w:tr>
        <w:trPr>
          <w:trHeight w:val="29"/>
        </w:trPr>
        <w:tc>
          <w:tcPr>
            <w:tcW w:w="6620" w:type="dxa"/>
            <w:vAlign w:val="bottom"/>
            <w:tcBorders>
              <w:bottom w:val="single" w:sz="8" w:color="E6E7E8"/>
            </w:tcBorders>
          </w:tcPr>
          <w:p>
            <w:pPr>
              <w:spacing w:after="0"/>
              <w:rPr>
                <w:sz w:val="2"/>
                <w:szCs w:val="2"/>
                <w:color w:val="auto"/>
              </w:rPr>
            </w:pPr>
          </w:p>
        </w:tc>
        <w:tc>
          <w:tcPr>
            <w:tcW w:w="1060" w:type="dxa"/>
            <w:vAlign w:val="bottom"/>
            <w:tcBorders>
              <w:bottom w:val="single" w:sz="8" w:color="E6E7E8"/>
            </w:tcBorders>
          </w:tcPr>
          <w:p>
            <w:pPr>
              <w:spacing w:after="0"/>
              <w:rPr>
                <w:sz w:val="2"/>
                <w:szCs w:val="2"/>
                <w:color w:val="auto"/>
              </w:rPr>
            </w:pPr>
          </w:p>
        </w:tc>
        <w:tc>
          <w:tcPr>
            <w:tcW w:w="124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720" w:type="dxa"/>
            <w:vAlign w:val="bottom"/>
            <w:tcBorders>
              <w:bottom w:val="single" w:sz="8" w:color="E6E7E8"/>
            </w:tcBorders>
          </w:tcPr>
          <w:p>
            <w:pPr>
              <w:spacing w:after="0"/>
              <w:rPr>
                <w:sz w:val="2"/>
                <w:szCs w:val="2"/>
                <w:color w:val="auto"/>
              </w:rPr>
            </w:pPr>
          </w:p>
        </w:tc>
      </w:tr>
      <w:tr>
        <w:trPr>
          <w:trHeight w:val="208"/>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9"/>
        </w:trPr>
        <w:tc>
          <w:tcPr>
            <w:tcW w:w="6620" w:type="dxa"/>
            <w:vAlign w:val="bottom"/>
            <w:tcBorders>
              <w:bottom w:val="single" w:sz="8" w:color="E6E7E8"/>
            </w:tcBorders>
          </w:tcPr>
          <w:p>
            <w:pPr>
              <w:spacing w:after="0"/>
              <w:rPr>
                <w:sz w:val="2"/>
                <w:szCs w:val="2"/>
                <w:color w:val="auto"/>
              </w:rPr>
            </w:pPr>
          </w:p>
        </w:tc>
        <w:tc>
          <w:tcPr>
            <w:tcW w:w="1060" w:type="dxa"/>
            <w:vAlign w:val="bottom"/>
            <w:tcBorders>
              <w:bottom w:val="single" w:sz="8" w:color="E6E7E8"/>
            </w:tcBorders>
          </w:tcPr>
          <w:p>
            <w:pPr>
              <w:spacing w:after="0"/>
              <w:rPr>
                <w:sz w:val="2"/>
                <w:szCs w:val="2"/>
                <w:color w:val="auto"/>
              </w:rPr>
            </w:pPr>
          </w:p>
        </w:tc>
        <w:tc>
          <w:tcPr>
            <w:tcW w:w="124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720" w:type="dxa"/>
            <w:vAlign w:val="bottom"/>
            <w:tcBorders>
              <w:bottom w:val="single" w:sz="8" w:color="E6E7E8"/>
            </w:tcBorders>
          </w:tcPr>
          <w:p>
            <w:pPr>
              <w:spacing w:after="0"/>
              <w:rPr>
                <w:sz w:val="2"/>
                <w:szCs w:val="2"/>
                <w:color w:val="auto"/>
              </w:rPr>
            </w:pPr>
          </w:p>
        </w:tc>
      </w:tr>
      <w:tr>
        <w:trPr>
          <w:trHeight w:val="208"/>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Alvise J. Munari</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1,218</w:t>
            </w:r>
          </w:p>
        </w:tc>
        <w:tc>
          <w:tcPr>
            <w:tcW w:w="1240" w:type="dxa"/>
            <w:vAlign w:val="bottom"/>
          </w:tcPr>
          <w:p>
            <w:pPr>
              <w:jc w:val="right"/>
              <w:ind w:right="231"/>
              <w:spacing w:after="0"/>
              <w:rPr>
                <w:sz w:val="20"/>
                <w:szCs w:val="20"/>
                <w:color w:val="auto"/>
              </w:rPr>
            </w:pPr>
            <w:r>
              <w:rPr>
                <w:rFonts w:ascii="Arial" w:cs="Arial" w:eastAsia="Arial" w:hAnsi="Arial"/>
                <w:sz w:val="14"/>
                <w:szCs w:val="14"/>
                <w:color w:val="auto"/>
              </w:rPr>
              <w:t>1,228</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1,524</w:t>
            </w:r>
          </w:p>
        </w:tc>
        <w:tc>
          <w:tcPr>
            <w:tcW w:w="720" w:type="dxa"/>
            <w:vAlign w:val="bottom"/>
          </w:tcPr>
          <w:p>
            <w:pPr>
              <w:jc w:val="right"/>
              <w:spacing w:after="0"/>
              <w:rPr>
                <w:sz w:val="20"/>
                <w:szCs w:val="20"/>
                <w:color w:val="auto"/>
              </w:rPr>
            </w:pPr>
            <w:r>
              <w:rPr>
                <w:rFonts w:ascii="Arial" w:cs="Arial" w:eastAsia="Arial" w:hAnsi="Arial"/>
                <w:sz w:val="14"/>
                <w:szCs w:val="14"/>
                <w:color w:val="auto"/>
              </w:rPr>
              <w:t>3,970</w:t>
            </w:r>
          </w:p>
        </w:tc>
      </w:tr>
      <w:tr>
        <w:trPr>
          <w:trHeight w:val="29"/>
        </w:trPr>
        <w:tc>
          <w:tcPr>
            <w:tcW w:w="6620" w:type="dxa"/>
            <w:vAlign w:val="bottom"/>
            <w:tcBorders>
              <w:bottom w:val="single" w:sz="8" w:color="E6E7E8"/>
            </w:tcBorders>
          </w:tcPr>
          <w:p>
            <w:pPr>
              <w:spacing w:after="0"/>
              <w:rPr>
                <w:sz w:val="2"/>
                <w:szCs w:val="2"/>
                <w:color w:val="auto"/>
              </w:rPr>
            </w:pPr>
          </w:p>
        </w:tc>
        <w:tc>
          <w:tcPr>
            <w:tcW w:w="1060" w:type="dxa"/>
            <w:vAlign w:val="bottom"/>
            <w:tcBorders>
              <w:bottom w:val="single" w:sz="8" w:color="E6E7E8"/>
            </w:tcBorders>
          </w:tcPr>
          <w:p>
            <w:pPr>
              <w:spacing w:after="0"/>
              <w:rPr>
                <w:sz w:val="2"/>
                <w:szCs w:val="2"/>
                <w:color w:val="auto"/>
              </w:rPr>
            </w:pPr>
          </w:p>
        </w:tc>
        <w:tc>
          <w:tcPr>
            <w:tcW w:w="1240" w:type="dxa"/>
            <w:vAlign w:val="bottom"/>
            <w:tcBorders>
              <w:bottom w:val="single" w:sz="8" w:color="E6E7E8"/>
            </w:tcBorders>
          </w:tcPr>
          <w:p>
            <w:pPr>
              <w:spacing w:after="0"/>
              <w:rPr>
                <w:sz w:val="2"/>
                <w:szCs w:val="2"/>
                <w:color w:val="auto"/>
              </w:rPr>
            </w:pPr>
          </w:p>
        </w:tc>
        <w:tc>
          <w:tcPr>
            <w:tcW w:w="1120" w:type="dxa"/>
            <w:vAlign w:val="bottom"/>
            <w:tcBorders>
              <w:bottom w:val="single" w:sz="8" w:color="E6E7E8"/>
            </w:tcBorders>
          </w:tcPr>
          <w:p>
            <w:pPr>
              <w:spacing w:after="0"/>
              <w:rPr>
                <w:sz w:val="2"/>
                <w:szCs w:val="2"/>
                <w:color w:val="auto"/>
              </w:rPr>
            </w:pPr>
          </w:p>
        </w:tc>
        <w:tc>
          <w:tcPr>
            <w:tcW w:w="720" w:type="dxa"/>
            <w:vAlign w:val="bottom"/>
            <w:tcBorders>
              <w:bottom w:val="single" w:sz="8" w:color="E6E7E8"/>
            </w:tcBorders>
          </w:tcPr>
          <w:p>
            <w:pPr>
              <w:spacing w:after="0"/>
              <w:rPr>
                <w:sz w:val="2"/>
                <w:szCs w:val="2"/>
                <w:color w:val="auto"/>
              </w:rPr>
            </w:pPr>
          </w:p>
        </w:tc>
      </w:tr>
      <w:tr>
        <w:trPr>
          <w:trHeight w:val="208"/>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Scott A. Crum</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1,001</w:t>
            </w:r>
          </w:p>
        </w:tc>
        <w:tc>
          <w:tcPr>
            <w:tcW w:w="1240" w:type="dxa"/>
            <w:vAlign w:val="bottom"/>
          </w:tcPr>
          <w:p>
            <w:pPr>
              <w:jc w:val="right"/>
              <w:ind w:right="231"/>
              <w:spacing w:after="0"/>
              <w:rPr>
                <w:sz w:val="20"/>
                <w:szCs w:val="20"/>
                <w:color w:val="auto"/>
              </w:rPr>
            </w:pPr>
            <w:r>
              <w:rPr>
                <w:rFonts w:ascii="Arial" w:cs="Arial" w:eastAsia="Arial" w:hAnsi="Arial"/>
                <w:sz w:val="14"/>
                <w:szCs w:val="14"/>
                <w:color w:val="auto"/>
              </w:rPr>
              <w:t>1,003</w:t>
            </w:r>
          </w:p>
        </w:tc>
        <w:tc>
          <w:tcPr>
            <w:tcW w:w="1120" w:type="dxa"/>
            <w:vAlign w:val="bottom"/>
          </w:tcPr>
          <w:p>
            <w:pPr>
              <w:jc w:val="right"/>
              <w:ind w:right="310"/>
              <w:spacing w:after="0"/>
              <w:rPr>
                <w:sz w:val="20"/>
                <w:szCs w:val="20"/>
                <w:color w:val="auto"/>
              </w:rPr>
            </w:pPr>
            <w:r>
              <w:rPr>
                <w:rFonts w:ascii="Arial" w:cs="Arial" w:eastAsia="Arial" w:hAnsi="Arial"/>
                <w:sz w:val="14"/>
                <w:szCs w:val="14"/>
                <w:color w:val="auto"/>
              </w:rPr>
              <w:t>1,219</w:t>
            </w:r>
          </w:p>
        </w:tc>
        <w:tc>
          <w:tcPr>
            <w:tcW w:w="720" w:type="dxa"/>
            <w:vAlign w:val="bottom"/>
          </w:tcPr>
          <w:p>
            <w:pPr>
              <w:jc w:val="right"/>
              <w:spacing w:after="0"/>
              <w:rPr>
                <w:sz w:val="20"/>
                <w:szCs w:val="20"/>
                <w:color w:val="auto"/>
              </w:rPr>
            </w:pPr>
            <w:r>
              <w:rPr>
                <w:rFonts w:ascii="Arial" w:cs="Arial" w:eastAsia="Arial" w:hAnsi="Arial"/>
                <w:sz w:val="14"/>
                <w:szCs w:val="14"/>
                <w:color w:val="auto"/>
              </w:rPr>
              <w:t>3,223</w:t>
            </w:r>
          </w:p>
        </w:tc>
      </w:tr>
      <w:tr>
        <w:trPr>
          <w:trHeight w:val="29"/>
        </w:trPr>
        <w:tc>
          <w:tcPr>
            <w:tcW w:w="6620" w:type="dxa"/>
            <w:vAlign w:val="bottom"/>
            <w:tcBorders>
              <w:bottom w:val="single" w:sz="8" w:color="1A3FD6"/>
            </w:tcBorders>
          </w:tcPr>
          <w:p>
            <w:pPr>
              <w:spacing w:after="0"/>
              <w:rPr>
                <w:sz w:val="2"/>
                <w:szCs w:val="2"/>
                <w:color w:val="auto"/>
              </w:rPr>
            </w:pPr>
          </w:p>
        </w:tc>
        <w:tc>
          <w:tcPr>
            <w:tcW w:w="1060" w:type="dxa"/>
            <w:vAlign w:val="bottom"/>
            <w:tcBorders>
              <w:bottom w:val="single" w:sz="8" w:color="1A3FD6"/>
            </w:tcBorders>
          </w:tcPr>
          <w:p>
            <w:pPr>
              <w:spacing w:after="0"/>
              <w:rPr>
                <w:sz w:val="2"/>
                <w:szCs w:val="2"/>
                <w:color w:val="auto"/>
              </w:rPr>
            </w:pPr>
          </w:p>
        </w:tc>
        <w:tc>
          <w:tcPr>
            <w:tcW w:w="124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720" w:type="dxa"/>
            <w:vAlign w:val="bottom"/>
            <w:tcBorders>
              <w:bottom w:val="single" w:sz="8" w:color="1A3FD6"/>
            </w:tcBorders>
          </w:tcPr>
          <w:p>
            <w:pPr>
              <w:spacing w:after="0"/>
              <w:rPr>
                <w:sz w:val="2"/>
                <w:szCs w:val="2"/>
                <w:color w:val="auto"/>
              </w:rPr>
            </w:pPr>
          </w:p>
        </w:tc>
      </w:tr>
    </w:tbl>
    <w:p>
      <w:pPr>
        <w:spacing w:after="0" w:line="153" w:lineRule="exact"/>
        <w:rPr>
          <w:sz w:val="20"/>
          <w:szCs w:val="20"/>
          <w:color w:val="auto"/>
        </w:rPr>
      </w:pPr>
    </w:p>
    <w:p>
      <w:pPr>
        <w:ind w:left="260" w:right="60" w:hanging="252"/>
        <w:spacing w:after="0" w:line="239" w:lineRule="auto"/>
        <w:tabs>
          <w:tab w:leader="none" w:pos="250"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The market value of outstanding RSUs is based on a share price of $573.73, the closing share price of MSCI common stock on December 31, 2025, rounded to the nearest whole number.</w:t>
      </w:r>
    </w:p>
    <w:p>
      <w:pPr>
        <w:spacing w:after="0" w:line="67" w:lineRule="exact"/>
        <w:rPr>
          <w:rFonts w:ascii="Arial" w:cs="Arial" w:eastAsia="Arial" w:hAnsi="Arial"/>
          <w:sz w:val="19"/>
          <w:szCs w:val="19"/>
          <w:color w:val="auto"/>
          <w:vertAlign w:val="superscript"/>
        </w:rPr>
      </w:pPr>
    </w:p>
    <w:p>
      <w:pPr>
        <w:ind w:left="260" w:right="80" w:hanging="252"/>
        <w:spacing w:after="0" w:line="257" w:lineRule="auto"/>
        <w:tabs>
          <w:tab w:leader="none" w:pos="250"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Represents outstanding and unvested PSUs held on December 31, 2025 that remain subject to performance adjustment and forfeiture provisions, as shown in the following table on an award-by-award basis. These values represent the number of PSUs that each NEO would receive upon vesting, assuming attainment of the applicable performance goals. This column does not give effect to retirement provisions as detailed below under “—Potential Payments Upon Termination or Change in Control— Equity Acceleration.”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PSU Awards, Subject to Forfeiture and Cancellation Provisions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Award Year</w:t>
            </w:r>
          </w:p>
        </w:tc>
        <w:tc>
          <w:tcPr>
            <w:tcW w:w="2300" w:type="dxa"/>
            <w:vAlign w:val="bottom"/>
            <w:gridSpan w:val="2"/>
          </w:tcPr>
          <w:p>
            <w:pPr>
              <w:jc w:val="right"/>
              <w:ind w:right="507"/>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2024</w:t>
            </w:r>
          </w:p>
        </w:tc>
        <w:tc>
          <w:tcPr>
            <w:tcW w:w="2060" w:type="dxa"/>
            <w:vAlign w:val="bottom"/>
          </w:tcPr>
          <w:p>
            <w:pPr>
              <w:jc w:val="right"/>
              <w:ind w:right="544"/>
              <w:spacing w:after="0"/>
              <w:rPr>
                <w:sz w:val="20"/>
                <w:szCs w:val="20"/>
                <w:color w:val="auto"/>
              </w:rPr>
            </w:pPr>
            <w:r>
              <w:rPr>
                <w:rFonts w:ascii="Arial" w:cs="Arial" w:eastAsia="Arial" w:hAnsi="Arial"/>
                <w:sz w:val="14"/>
                <w:szCs w:val="14"/>
                <w:b w:val="1"/>
                <w:bCs w:val="1"/>
                <w:color w:val="auto"/>
              </w:rPr>
              <w:t>2024</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9"/>
        </w:trPr>
        <w:tc>
          <w:tcPr>
            <w:tcW w:w="2820" w:type="dxa"/>
            <w:vAlign w:val="bottom"/>
            <w:tcBorders>
              <w:bottom w:val="single" w:sz="8" w:color="1A3FD6"/>
            </w:tcBorders>
          </w:tcPr>
          <w:p>
            <w:pPr>
              <w:spacing w:after="0"/>
              <w:rPr>
                <w:sz w:val="2"/>
                <w:szCs w:val="2"/>
                <w:color w:val="auto"/>
              </w:rPr>
            </w:pPr>
          </w:p>
        </w:tc>
        <w:tc>
          <w:tcPr>
            <w:tcW w:w="2300" w:type="dxa"/>
            <w:vAlign w:val="bottom"/>
            <w:tcBorders>
              <w:bottom w:val="single" w:sz="8" w:color="1A3FD6"/>
            </w:tcBorders>
            <w:gridSpan w:val="2"/>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c>
          <w:tcPr>
            <w:tcW w:w="540" w:type="dxa"/>
            <w:vAlign w:val="bottom"/>
            <w:tcBorders>
              <w:bottom w:val="single" w:sz="8" w:color="1A3FD6"/>
            </w:tcBorders>
          </w:tcPr>
          <w:p>
            <w:pPr>
              <w:spacing w:after="0"/>
              <w:rPr>
                <w:sz w:val="2"/>
                <w:szCs w:val="2"/>
                <w:color w:val="auto"/>
              </w:rPr>
            </w:pPr>
          </w:p>
        </w:tc>
        <w:tc>
          <w:tcPr>
            <w:tcW w:w="1420" w:type="dxa"/>
            <w:vAlign w:val="bottom"/>
            <w:tcBorders>
              <w:bottom w:val="single" w:sz="8" w:color="1A3FD6"/>
            </w:tcBorders>
          </w:tcPr>
          <w:p>
            <w:pPr>
              <w:spacing w:after="0"/>
              <w:rPr>
                <w:sz w:val="2"/>
                <w:szCs w:val="2"/>
                <w:color w:val="auto"/>
              </w:rPr>
            </w:pPr>
          </w:p>
        </w:tc>
        <w:tc>
          <w:tcPr>
            <w:tcW w:w="2060" w:type="dxa"/>
            <w:vAlign w:val="bottom"/>
            <w:tcBorders>
              <w:bottom w:val="single" w:sz="8" w:color="1A3FD6"/>
            </w:tcBorders>
          </w:tcPr>
          <w:p>
            <w:pPr>
              <w:spacing w:after="0"/>
              <w:rPr>
                <w:sz w:val="2"/>
                <w:szCs w:val="2"/>
                <w:color w:val="auto"/>
              </w:rPr>
            </w:pPr>
          </w:p>
        </w:tc>
        <w:tc>
          <w:tcPr>
            <w:tcW w:w="102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Term</w:t>
            </w:r>
          </w:p>
        </w:tc>
        <w:tc>
          <w:tcPr>
            <w:tcW w:w="2300" w:type="dxa"/>
            <w:vAlign w:val="bottom"/>
            <w:gridSpan w:val="2"/>
          </w:tcPr>
          <w:p>
            <w:pPr>
              <w:jc w:val="right"/>
              <w:ind w:right="507"/>
              <w:spacing w:after="0"/>
              <w:rPr>
                <w:sz w:val="20"/>
                <w:szCs w:val="20"/>
                <w:color w:val="auto"/>
              </w:rPr>
            </w:pPr>
            <w:r>
              <w:rPr>
                <w:rFonts w:ascii="Arial" w:cs="Arial" w:eastAsia="Arial" w:hAnsi="Arial"/>
                <w:sz w:val="14"/>
                <w:szCs w:val="14"/>
                <w:b w:val="1"/>
                <w:bCs w:val="1"/>
                <w:color w:val="auto"/>
              </w:rPr>
              <w:t>5-year</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3-year</w:t>
            </w:r>
          </w:p>
        </w:tc>
        <w:tc>
          <w:tcPr>
            <w:tcW w:w="540" w:type="dxa"/>
            <w:vAlign w:val="bottom"/>
          </w:tcPr>
          <w:p>
            <w:pPr>
              <w:spacing w:after="0"/>
              <w:rPr>
                <w:sz w:val="18"/>
                <w:szCs w:val="18"/>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3-year</w:t>
            </w:r>
          </w:p>
        </w:tc>
        <w:tc>
          <w:tcPr>
            <w:tcW w:w="2060" w:type="dxa"/>
            <w:vAlign w:val="bottom"/>
          </w:tcPr>
          <w:p>
            <w:pPr>
              <w:jc w:val="right"/>
              <w:ind w:right="544"/>
              <w:spacing w:after="0"/>
              <w:rPr>
                <w:sz w:val="20"/>
                <w:szCs w:val="20"/>
                <w:color w:val="auto"/>
              </w:rPr>
            </w:pPr>
            <w:r>
              <w:rPr>
                <w:rFonts w:ascii="Arial" w:cs="Arial" w:eastAsia="Arial" w:hAnsi="Arial"/>
                <w:sz w:val="14"/>
                <w:szCs w:val="14"/>
                <w:b w:val="1"/>
                <w:bCs w:val="1"/>
                <w:color w:val="auto"/>
              </w:rPr>
              <w:t>3-year</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3-year</w:t>
            </w:r>
          </w:p>
        </w:tc>
        <w:tc>
          <w:tcPr>
            <w:tcW w:w="0" w:type="dxa"/>
            <w:vAlign w:val="bottom"/>
          </w:tcPr>
          <w:p>
            <w:pPr>
              <w:spacing w:after="0"/>
              <w:rPr>
                <w:sz w:val="1"/>
                <w:szCs w:val="1"/>
                <w:color w:val="auto"/>
              </w:rPr>
            </w:pPr>
          </w:p>
        </w:tc>
      </w:tr>
      <w:tr>
        <w:trPr>
          <w:trHeight w:val="29"/>
        </w:trPr>
        <w:tc>
          <w:tcPr>
            <w:tcW w:w="2820" w:type="dxa"/>
            <w:vAlign w:val="bottom"/>
            <w:tcBorders>
              <w:bottom w:val="single" w:sz="8" w:color="1A3FD6"/>
            </w:tcBorders>
          </w:tcPr>
          <w:p>
            <w:pPr>
              <w:spacing w:after="0"/>
              <w:rPr>
                <w:sz w:val="2"/>
                <w:szCs w:val="2"/>
                <w:color w:val="auto"/>
              </w:rPr>
            </w:pPr>
          </w:p>
        </w:tc>
        <w:tc>
          <w:tcPr>
            <w:tcW w:w="2300" w:type="dxa"/>
            <w:vAlign w:val="bottom"/>
            <w:tcBorders>
              <w:bottom w:val="single" w:sz="8" w:color="1A3FD6"/>
            </w:tcBorders>
            <w:gridSpan w:val="2"/>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c>
          <w:tcPr>
            <w:tcW w:w="540" w:type="dxa"/>
            <w:vAlign w:val="bottom"/>
            <w:tcBorders>
              <w:bottom w:val="single" w:sz="8" w:color="1A3FD6"/>
            </w:tcBorders>
          </w:tcPr>
          <w:p>
            <w:pPr>
              <w:spacing w:after="0"/>
              <w:rPr>
                <w:sz w:val="2"/>
                <w:szCs w:val="2"/>
                <w:color w:val="auto"/>
              </w:rPr>
            </w:pPr>
          </w:p>
        </w:tc>
        <w:tc>
          <w:tcPr>
            <w:tcW w:w="1420" w:type="dxa"/>
            <w:vAlign w:val="bottom"/>
            <w:tcBorders>
              <w:bottom w:val="single" w:sz="8" w:color="1A3FD6"/>
            </w:tcBorders>
          </w:tcPr>
          <w:p>
            <w:pPr>
              <w:spacing w:after="0"/>
              <w:rPr>
                <w:sz w:val="2"/>
                <w:szCs w:val="2"/>
                <w:color w:val="auto"/>
              </w:rPr>
            </w:pPr>
          </w:p>
        </w:tc>
        <w:tc>
          <w:tcPr>
            <w:tcW w:w="2060" w:type="dxa"/>
            <w:vAlign w:val="bottom"/>
            <w:tcBorders>
              <w:bottom w:val="single" w:sz="8" w:color="1A3FD6"/>
            </w:tcBorders>
          </w:tcPr>
          <w:p>
            <w:pPr>
              <w:spacing w:after="0"/>
              <w:rPr>
                <w:sz w:val="2"/>
                <w:szCs w:val="2"/>
                <w:color w:val="auto"/>
              </w:rPr>
            </w:pPr>
          </w:p>
        </w:tc>
        <w:tc>
          <w:tcPr>
            <w:tcW w:w="102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Payout Adjustment</w:t>
            </w:r>
          </w:p>
        </w:tc>
        <w:tc>
          <w:tcPr>
            <w:tcW w:w="2300" w:type="dxa"/>
            <w:vAlign w:val="bottom"/>
            <w:gridSpan w:val="2"/>
          </w:tcPr>
          <w:p>
            <w:pPr>
              <w:jc w:val="right"/>
              <w:ind w:right="507"/>
              <w:spacing w:after="0"/>
              <w:rPr>
                <w:sz w:val="20"/>
                <w:szCs w:val="20"/>
                <w:color w:val="auto"/>
              </w:rPr>
            </w:pPr>
            <w:r>
              <w:rPr>
                <w:rFonts w:ascii="Arial" w:cs="Arial" w:eastAsia="Arial" w:hAnsi="Arial"/>
                <w:sz w:val="14"/>
                <w:szCs w:val="14"/>
                <w:b w:val="1"/>
                <w:bCs w:val="1"/>
                <w:color w:val="auto"/>
              </w:rPr>
              <w:t>Threshold</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540" w:type="dxa"/>
            <w:vAlign w:val="bottom"/>
          </w:tcPr>
          <w:p>
            <w:pPr>
              <w:spacing w:after="0"/>
              <w:rPr>
                <w:sz w:val="18"/>
                <w:szCs w:val="18"/>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Threshold</w:t>
            </w:r>
          </w:p>
        </w:tc>
        <w:tc>
          <w:tcPr>
            <w:tcW w:w="2060" w:type="dxa"/>
            <w:vAlign w:val="bottom"/>
          </w:tcPr>
          <w:p>
            <w:pPr>
              <w:jc w:val="right"/>
              <w:ind w:right="544"/>
              <w:spacing w:after="0"/>
              <w:rPr>
                <w:sz w:val="20"/>
                <w:szCs w:val="20"/>
                <w:color w:val="auto"/>
              </w:rPr>
            </w:pPr>
            <w:r>
              <w:rPr>
                <w:rFonts w:ascii="Arial" w:cs="Arial" w:eastAsia="Arial" w:hAnsi="Arial"/>
                <w:sz w:val="14"/>
                <w:szCs w:val="14"/>
                <w:b w:val="1"/>
                <w:bCs w:val="1"/>
                <w:color w:val="auto"/>
              </w:rPr>
              <w:t>Threshold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9"/>
        </w:trPr>
        <w:tc>
          <w:tcPr>
            <w:tcW w:w="2820" w:type="dxa"/>
            <w:vAlign w:val="bottom"/>
            <w:tcBorders>
              <w:bottom w:val="single" w:sz="8" w:color="1A3FD6"/>
            </w:tcBorders>
          </w:tcPr>
          <w:p>
            <w:pPr>
              <w:spacing w:after="0"/>
              <w:rPr>
                <w:sz w:val="2"/>
                <w:szCs w:val="2"/>
                <w:color w:val="auto"/>
              </w:rPr>
            </w:pPr>
          </w:p>
        </w:tc>
        <w:tc>
          <w:tcPr>
            <w:tcW w:w="2300" w:type="dxa"/>
            <w:vAlign w:val="bottom"/>
            <w:tcBorders>
              <w:bottom w:val="single" w:sz="8" w:color="1A3FD6"/>
            </w:tcBorders>
            <w:gridSpan w:val="2"/>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c>
          <w:tcPr>
            <w:tcW w:w="540" w:type="dxa"/>
            <w:vAlign w:val="bottom"/>
            <w:tcBorders>
              <w:bottom w:val="single" w:sz="8" w:color="1A3FD6"/>
            </w:tcBorders>
          </w:tcPr>
          <w:p>
            <w:pPr>
              <w:spacing w:after="0"/>
              <w:rPr>
                <w:sz w:val="2"/>
                <w:szCs w:val="2"/>
                <w:color w:val="auto"/>
              </w:rPr>
            </w:pPr>
          </w:p>
        </w:tc>
        <w:tc>
          <w:tcPr>
            <w:tcW w:w="1420" w:type="dxa"/>
            <w:vAlign w:val="bottom"/>
            <w:tcBorders>
              <w:bottom w:val="single" w:sz="8" w:color="1A3FD6"/>
            </w:tcBorders>
          </w:tcPr>
          <w:p>
            <w:pPr>
              <w:spacing w:after="0"/>
              <w:rPr>
                <w:sz w:val="2"/>
                <w:szCs w:val="2"/>
                <w:color w:val="auto"/>
              </w:rPr>
            </w:pPr>
          </w:p>
        </w:tc>
        <w:tc>
          <w:tcPr>
            <w:tcW w:w="2060" w:type="dxa"/>
            <w:vAlign w:val="bottom"/>
            <w:tcBorders>
              <w:bottom w:val="single" w:sz="8" w:color="1A3FD6"/>
            </w:tcBorders>
          </w:tcPr>
          <w:p>
            <w:pPr>
              <w:spacing w:after="0"/>
              <w:rPr>
                <w:sz w:val="2"/>
                <w:szCs w:val="2"/>
                <w:color w:val="auto"/>
              </w:rPr>
            </w:pPr>
          </w:p>
        </w:tc>
        <w:tc>
          <w:tcPr>
            <w:tcW w:w="102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rPr>
                <w:sz w:val="17"/>
                <w:szCs w:val="17"/>
                <w:color w:val="auto"/>
              </w:rPr>
            </w:pPr>
          </w:p>
        </w:tc>
        <w:tc>
          <w:tcPr>
            <w:tcW w:w="2300" w:type="dxa"/>
            <w:vAlign w:val="bottom"/>
            <w:gridSpan w:val="2"/>
          </w:tcPr>
          <w:p>
            <w:pPr>
              <w:jc w:val="right"/>
              <w:ind w:right="507"/>
              <w:spacing w:after="0"/>
              <w:rPr>
                <w:sz w:val="20"/>
                <w:szCs w:val="20"/>
                <w:color w:val="auto"/>
              </w:rPr>
            </w:pPr>
            <w:r>
              <w:rPr>
                <w:rFonts w:ascii="Arial" w:cs="Arial" w:eastAsia="Arial" w:hAnsi="Arial"/>
                <w:sz w:val="14"/>
                <w:szCs w:val="14"/>
                <w:b w:val="1"/>
                <w:bCs w:val="1"/>
                <w:color w:val="auto"/>
              </w:rPr>
              <w:t>PSUs at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PSUs at</w:t>
            </w:r>
          </w:p>
        </w:tc>
        <w:tc>
          <w:tcPr>
            <w:tcW w:w="540" w:type="dxa"/>
            <w:vAlign w:val="bottom"/>
          </w:tcPr>
          <w:p>
            <w:pPr>
              <w:spacing w:after="0"/>
              <w:rPr>
                <w:sz w:val="17"/>
                <w:szCs w:val="17"/>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PSUs at</w:t>
            </w:r>
          </w:p>
        </w:tc>
        <w:tc>
          <w:tcPr>
            <w:tcW w:w="2060" w:type="dxa"/>
            <w:vAlign w:val="bottom"/>
          </w:tcPr>
          <w:p>
            <w:pPr>
              <w:jc w:val="right"/>
              <w:ind w:right="544"/>
              <w:spacing w:after="0"/>
              <w:rPr>
                <w:sz w:val="20"/>
                <w:szCs w:val="20"/>
                <w:color w:val="auto"/>
              </w:rPr>
            </w:pPr>
            <w:r>
              <w:rPr>
                <w:rFonts w:ascii="Arial" w:cs="Arial" w:eastAsia="Arial" w:hAnsi="Arial"/>
                <w:sz w:val="14"/>
                <w:szCs w:val="14"/>
                <w:b w:val="1"/>
                <w:bCs w:val="1"/>
                <w:color w:val="auto"/>
              </w:rPr>
              <w:t>Special PSUs at</w:t>
            </w:r>
          </w:p>
        </w:tc>
        <w:tc>
          <w:tcPr>
            <w:tcW w:w="1020" w:type="dxa"/>
            <w:vAlign w:val="bottom"/>
          </w:tcPr>
          <w:p>
            <w:pPr>
              <w:jc w:val="center"/>
              <w:ind w:left="364"/>
              <w:spacing w:after="0"/>
              <w:rPr>
                <w:sz w:val="20"/>
                <w:szCs w:val="20"/>
                <w:color w:val="auto"/>
              </w:rPr>
            </w:pPr>
            <w:r>
              <w:rPr>
                <w:rFonts w:ascii="Arial" w:cs="Arial" w:eastAsia="Arial" w:hAnsi="Arial"/>
                <w:sz w:val="14"/>
                <w:szCs w:val="14"/>
                <w:b w:val="1"/>
                <w:bCs w:val="1"/>
                <w:color w:val="auto"/>
              </w:rPr>
              <w:t>PSUs at</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2300" w:type="dxa"/>
            <w:vAlign w:val="bottom"/>
            <w:gridSpan w:val="2"/>
          </w:tcPr>
          <w:p>
            <w:pPr>
              <w:jc w:val="right"/>
              <w:ind w:right="507"/>
              <w:spacing w:after="0"/>
              <w:rPr>
                <w:sz w:val="20"/>
                <w:szCs w:val="20"/>
                <w:color w:val="auto"/>
              </w:rPr>
            </w:pPr>
            <w:r>
              <w:rPr>
                <w:rFonts w:ascii="Arial" w:cs="Arial" w:eastAsia="Arial" w:hAnsi="Arial"/>
                <w:sz w:val="14"/>
                <w:szCs w:val="14"/>
                <w:b w:val="1"/>
                <w:bCs w:val="1"/>
                <w:color w:val="auto"/>
              </w:rPr>
              <w:t>Threshold</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540" w:type="dxa"/>
            <w:vAlign w:val="bottom"/>
          </w:tcPr>
          <w:p>
            <w:pPr>
              <w:spacing w:after="0"/>
              <w:rPr>
                <w:sz w:val="16"/>
                <w:szCs w:val="16"/>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Threshold</w:t>
            </w:r>
          </w:p>
        </w:tc>
        <w:tc>
          <w:tcPr>
            <w:tcW w:w="2060" w:type="dxa"/>
            <w:vAlign w:val="bottom"/>
          </w:tcPr>
          <w:p>
            <w:pPr>
              <w:jc w:val="right"/>
              <w:ind w:right="544"/>
              <w:spacing w:after="0"/>
              <w:rPr>
                <w:sz w:val="20"/>
                <w:szCs w:val="20"/>
                <w:color w:val="auto"/>
              </w:rPr>
            </w:pPr>
            <w:r>
              <w:rPr>
                <w:rFonts w:ascii="Arial" w:cs="Arial" w:eastAsia="Arial" w:hAnsi="Arial"/>
                <w:sz w:val="14"/>
                <w:szCs w:val="14"/>
                <w:b w:val="1"/>
                <w:bCs w:val="1"/>
                <w:color w:val="auto"/>
              </w:rPr>
              <w:t>Threshold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9"/>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300" w:type="dxa"/>
            <w:vAlign w:val="bottom"/>
            <w:gridSpan w:val="2"/>
          </w:tcPr>
          <w:p>
            <w:pPr>
              <w:jc w:val="right"/>
              <w:ind w:right="507"/>
              <w:spacing w:after="0"/>
              <w:rPr>
                <w:sz w:val="20"/>
                <w:szCs w:val="20"/>
                <w:color w:val="auto"/>
              </w:rPr>
            </w:pPr>
            <w:r>
              <w:rPr>
                <w:rFonts w:ascii="Arial" w:cs="Arial" w:eastAsia="Arial" w:hAnsi="Arial"/>
                <w:sz w:val="14"/>
                <w:szCs w:val="14"/>
                <w:b w:val="1"/>
                <w:bCs w:val="1"/>
                <w:color w:val="auto"/>
              </w:rPr>
              <w:t>Vesting</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Vesting</w:t>
            </w:r>
          </w:p>
        </w:tc>
        <w:tc>
          <w:tcPr>
            <w:tcW w:w="540" w:type="dxa"/>
            <w:vAlign w:val="bottom"/>
          </w:tcPr>
          <w:p>
            <w:pPr>
              <w:spacing w:after="0"/>
              <w:rPr>
                <w:sz w:val="16"/>
                <w:szCs w:val="16"/>
                <w:color w:val="auto"/>
              </w:rPr>
            </w:pPr>
          </w:p>
        </w:tc>
        <w:tc>
          <w:tcPr>
            <w:tcW w:w="1420" w:type="dxa"/>
            <w:vAlign w:val="bottom"/>
          </w:tcPr>
          <w:p>
            <w:pPr>
              <w:jc w:val="right"/>
              <w:ind w:right="284"/>
              <w:spacing w:after="0"/>
              <w:rPr>
                <w:sz w:val="20"/>
                <w:szCs w:val="20"/>
                <w:color w:val="auto"/>
              </w:rPr>
            </w:pPr>
            <w:r>
              <w:rPr>
                <w:rFonts w:ascii="Arial" w:cs="Arial" w:eastAsia="Arial" w:hAnsi="Arial"/>
                <w:sz w:val="14"/>
                <w:szCs w:val="14"/>
                <w:b w:val="1"/>
                <w:bCs w:val="1"/>
                <w:color w:val="auto"/>
              </w:rPr>
              <w:t>Vesting</w:t>
            </w:r>
          </w:p>
        </w:tc>
        <w:tc>
          <w:tcPr>
            <w:tcW w:w="2060" w:type="dxa"/>
            <w:vAlign w:val="bottom"/>
          </w:tcPr>
          <w:p>
            <w:pPr>
              <w:jc w:val="right"/>
              <w:ind w:right="544"/>
              <w:spacing w:after="0"/>
              <w:rPr>
                <w:sz w:val="20"/>
                <w:szCs w:val="20"/>
                <w:color w:val="auto"/>
              </w:rPr>
            </w:pPr>
            <w:r>
              <w:rPr>
                <w:rFonts w:ascii="Arial" w:cs="Arial" w:eastAsia="Arial" w:hAnsi="Arial"/>
                <w:sz w:val="14"/>
                <w:szCs w:val="14"/>
                <w:b w:val="1"/>
                <w:bCs w:val="1"/>
                <w:color w:val="auto"/>
              </w:rPr>
              <w:t>Vesting</w:t>
            </w:r>
          </w:p>
        </w:tc>
        <w:tc>
          <w:tcPr>
            <w:tcW w:w="1020" w:type="dxa"/>
            <w:vAlign w:val="bottom"/>
          </w:tcPr>
          <w:p>
            <w:pPr>
              <w:jc w:val="center"/>
              <w:ind w:left="404"/>
              <w:spacing w:after="0"/>
              <w:rPr>
                <w:sz w:val="20"/>
                <w:szCs w:val="20"/>
                <w:color w:val="auto"/>
              </w:rPr>
            </w:pPr>
            <w:r>
              <w:rPr>
                <w:rFonts w:ascii="Arial" w:cs="Arial" w:eastAsia="Arial" w:hAnsi="Arial"/>
                <w:sz w:val="14"/>
                <w:szCs w:val="14"/>
                <w:b w:val="1"/>
                <w:bCs w:val="1"/>
                <w:color w:val="auto"/>
                <w:w w:val="98"/>
              </w:rPr>
              <w:t>Vesting</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1A3FD6"/>
            </w:tcBorders>
            <w:vMerge w:val="continue"/>
          </w:tcPr>
          <w:p>
            <w:pPr>
              <w:spacing w:after="0"/>
              <w:rPr>
                <w:sz w:val="17"/>
                <w:szCs w:val="17"/>
                <w:color w:val="auto"/>
              </w:rPr>
            </w:pPr>
          </w:p>
        </w:tc>
        <w:tc>
          <w:tcPr>
            <w:tcW w:w="2300" w:type="dxa"/>
            <w:vAlign w:val="bottom"/>
            <w:tcBorders>
              <w:bottom w:val="single" w:sz="8" w:color="1A3FD6"/>
            </w:tcBorders>
            <w:gridSpan w:val="2"/>
          </w:tcPr>
          <w:p>
            <w:pPr>
              <w:jc w:val="right"/>
              <w:ind w:right="507"/>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1A3FD6"/>
            </w:tcBorders>
          </w:tcPr>
          <w:p>
            <w:pPr>
              <w:spacing w:after="0"/>
              <w:rPr>
                <w:sz w:val="17"/>
                <w:szCs w:val="17"/>
                <w:color w:val="auto"/>
              </w:rPr>
            </w:pPr>
          </w:p>
        </w:tc>
        <w:tc>
          <w:tcPr>
            <w:tcW w:w="1420" w:type="dxa"/>
            <w:vAlign w:val="bottom"/>
            <w:tcBorders>
              <w:bottom w:val="single" w:sz="8" w:color="1A3FD6"/>
            </w:tcBorders>
          </w:tcPr>
          <w:p>
            <w:pPr>
              <w:jc w:val="right"/>
              <w:ind w:right="284"/>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1A3FD6"/>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5"/>
        </w:trPr>
        <w:tc>
          <w:tcPr>
            <w:tcW w:w="282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740" w:type="dxa"/>
            <w:vAlign w:val="bottom"/>
          </w:tcPr>
          <w:p>
            <w:pPr>
              <w:jc w:val="right"/>
              <w:spacing w:after="0"/>
              <w:rPr>
                <w:sz w:val="20"/>
                <w:szCs w:val="20"/>
                <w:color w:val="auto"/>
              </w:rPr>
            </w:pPr>
            <w:r>
              <w:rPr>
                <w:rFonts w:ascii="Arial" w:cs="Arial" w:eastAsia="Arial" w:hAnsi="Arial"/>
                <w:sz w:val="16"/>
                <w:szCs w:val="16"/>
                <w:color w:val="auto"/>
              </w:rPr>
              <w:t>8,710</w:t>
            </w:r>
          </w:p>
        </w:tc>
        <w:tc>
          <w:tcPr>
            <w:tcW w:w="560" w:type="dxa"/>
            <w:vAlign w:val="bottom"/>
          </w:tcPr>
          <w:p>
            <w:pPr>
              <w:jc w:val="right"/>
              <w:ind w:right="327"/>
              <w:spacing w:after="0"/>
              <w:rPr>
                <w:sz w:val="20"/>
                <w:szCs w:val="20"/>
                <w:color w:val="auto"/>
              </w:rPr>
            </w:pPr>
            <w:r>
              <w:rPr>
                <w:rFonts w:ascii="Arial" w:cs="Arial" w:eastAsia="Arial" w:hAnsi="Arial"/>
                <w:sz w:val="11"/>
                <w:szCs w:val="11"/>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2,000</w:t>
            </w:r>
          </w:p>
        </w:tc>
        <w:tc>
          <w:tcPr>
            <w:tcW w:w="540" w:type="dxa"/>
            <w:vAlign w:val="bottom"/>
          </w:tcPr>
          <w:p>
            <w:pPr>
              <w:jc w:val="right"/>
              <w:ind w:right="327"/>
              <w:spacing w:after="0"/>
              <w:rPr>
                <w:sz w:val="20"/>
                <w:szCs w:val="20"/>
                <w:color w:val="auto"/>
              </w:rPr>
            </w:pPr>
            <w:r>
              <w:rPr>
                <w:rFonts w:ascii="Arial" w:cs="Arial" w:eastAsia="Arial" w:hAnsi="Arial"/>
                <w:sz w:val="11"/>
                <w:szCs w:val="11"/>
                <w:color w:val="auto"/>
              </w:rPr>
              <w:t>(2)</w:t>
            </w:r>
          </w:p>
        </w:tc>
        <w:tc>
          <w:tcPr>
            <w:tcW w:w="1420" w:type="dxa"/>
            <w:vAlign w:val="bottom"/>
          </w:tcPr>
          <w:p>
            <w:pPr>
              <w:jc w:val="right"/>
              <w:ind w:right="324"/>
              <w:spacing w:after="0"/>
              <w:rPr>
                <w:sz w:val="20"/>
                <w:szCs w:val="20"/>
                <w:color w:val="auto"/>
              </w:rPr>
            </w:pPr>
            <w:r>
              <w:rPr>
                <w:rFonts w:ascii="Arial" w:cs="Arial" w:eastAsia="Arial" w:hAnsi="Arial"/>
                <w:sz w:val="16"/>
                <w:szCs w:val="16"/>
                <w:color w:val="auto"/>
              </w:rPr>
              <w:t>1,731</w:t>
            </w:r>
          </w:p>
        </w:tc>
        <w:tc>
          <w:tcPr>
            <w:tcW w:w="206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384"/>
              <w:spacing w:after="0"/>
              <w:rPr>
                <w:sz w:val="20"/>
                <w:szCs w:val="20"/>
                <w:color w:val="auto"/>
              </w:rPr>
            </w:pPr>
            <w:r>
              <w:rPr>
                <w:rFonts w:ascii="Arial" w:cs="Arial" w:eastAsia="Arial" w:hAnsi="Arial"/>
                <w:sz w:val="16"/>
                <w:szCs w:val="16"/>
                <w:color w:val="auto"/>
                <w:w w:val="99"/>
              </w:rPr>
              <w:t>8,086</w:t>
            </w:r>
          </w:p>
        </w:tc>
        <w:tc>
          <w:tcPr>
            <w:tcW w:w="0" w:type="dxa"/>
            <w:vAlign w:val="bottom"/>
          </w:tcPr>
          <w:p>
            <w:pPr>
              <w:spacing w:after="0"/>
              <w:rPr>
                <w:sz w:val="1"/>
                <w:szCs w:val="1"/>
                <w:color w:val="auto"/>
              </w:rPr>
            </w:pPr>
          </w:p>
        </w:tc>
      </w:tr>
      <w:tr>
        <w:trPr>
          <w:trHeight w:val="35"/>
        </w:trPr>
        <w:tc>
          <w:tcPr>
            <w:tcW w:w="282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56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c>
          <w:tcPr>
            <w:tcW w:w="5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206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740" w:type="dxa"/>
            <w:vAlign w:val="bottom"/>
          </w:tcPr>
          <w:p>
            <w:pPr>
              <w:jc w:val="right"/>
              <w:spacing w:after="0"/>
              <w:rPr>
                <w:sz w:val="20"/>
                <w:szCs w:val="20"/>
                <w:color w:val="auto"/>
              </w:rPr>
            </w:pPr>
            <w:r>
              <w:rPr>
                <w:rFonts w:ascii="Arial" w:cs="Arial" w:eastAsia="Arial" w:hAnsi="Arial"/>
                <w:sz w:val="16"/>
                <w:szCs w:val="16"/>
                <w:color w:val="auto"/>
              </w:rPr>
              <w:t>609</w:t>
            </w:r>
          </w:p>
        </w:tc>
        <w:tc>
          <w:tcPr>
            <w:tcW w:w="560" w:type="dxa"/>
            <w:vAlign w:val="bottom"/>
          </w:tcPr>
          <w:p>
            <w:pPr>
              <w:jc w:val="right"/>
              <w:ind w:right="327"/>
              <w:spacing w:after="0"/>
              <w:rPr>
                <w:sz w:val="20"/>
                <w:szCs w:val="20"/>
                <w:color w:val="auto"/>
              </w:rPr>
            </w:pPr>
            <w:r>
              <w:rPr>
                <w:rFonts w:ascii="Arial" w:cs="Arial" w:eastAsia="Arial" w:hAnsi="Arial"/>
                <w:sz w:val="11"/>
                <w:szCs w:val="11"/>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540" w:type="dxa"/>
            <w:vAlign w:val="bottom"/>
          </w:tcPr>
          <w:p>
            <w:pPr>
              <w:jc w:val="right"/>
              <w:ind w:right="327"/>
              <w:spacing w:after="0"/>
              <w:rPr>
                <w:sz w:val="20"/>
                <w:szCs w:val="20"/>
                <w:color w:val="auto"/>
              </w:rPr>
            </w:pPr>
            <w:r>
              <w:rPr>
                <w:rFonts w:ascii="Arial" w:cs="Arial" w:eastAsia="Arial" w:hAnsi="Arial"/>
                <w:sz w:val="11"/>
                <w:szCs w:val="11"/>
                <w:color w:val="auto"/>
              </w:rPr>
              <w:t>(2)</w:t>
            </w:r>
          </w:p>
        </w:tc>
        <w:tc>
          <w:tcPr>
            <w:tcW w:w="1420" w:type="dxa"/>
            <w:vAlign w:val="bottom"/>
          </w:tcPr>
          <w:p>
            <w:pPr>
              <w:jc w:val="right"/>
              <w:ind w:right="324"/>
              <w:spacing w:after="0"/>
              <w:rPr>
                <w:sz w:val="20"/>
                <w:szCs w:val="20"/>
                <w:color w:val="auto"/>
              </w:rPr>
            </w:pPr>
            <w:r>
              <w:rPr>
                <w:rFonts w:ascii="Arial" w:cs="Arial" w:eastAsia="Arial" w:hAnsi="Arial"/>
                <w:sz w:val="16"/>
                <w:szCs w:val="16"/>
                <w:color w:val="auto"/>
              </w:rPr>
              <w:t>395</w:t>
            </w:r>
          </w:p>
        </w:tc>
        <w:tc>
          <w:tcPr>
            <w:tcW w:w="206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384"/>
              <w:spacing w:after="0"/>
              <w:rPr>
                <w:sz w:val="20"/>
                <w:szCs w:val="20"/>
                <w:color w:val="auto"/>
              </w:rPr>
            </w:pPr>
            <w:r>
              <w:rPr>
                <w:rFonts w:ascii="Arial" w:cs="Arial" w:eastAsia="Arial" w:hAnsi="Arial"/>
                <w:sz w:val="16"/>
                <w:szCs w:val="16"/>
                <w:color w:val="auto"/>
                <w:w w:val="99"/>
              </w:rPr>
              <w:t>1,662</w:t>
            </w:r>
          </w:p>
        </w:tc>
        <w:tc>
          <w:tcPr>
            <w:tcW w:w="0" w:type="dxa"/>
            <w:vAlign w:val="bottom"/>
          </w:tcPr>
          <w:p>
            <w:pPr>
              <w:spacing w:after="0"/>
              <w:rPr>
                <w:sz w:val="1"/>
                <w:szCs w:val="1"/>
                <w:color w:val="auto"/>
              </w:rPr>
            </w:pPr>
          </w:p>
        </w:tc>
      </w:tr>
      <w:tr>
        <w:trPr>
          <w:trHeight w:val="34"/>
        </w:trPr>
        <w:tc>
          <w:tcPr>
            <w:tcW w:w="282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56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c>
          <w:tcPr>
            <w:tcW w:w="5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206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1740" w:type="dxa"/>
            <w:vAlign w:val="bottom"/>
          </w:tcPr>
          <w:p>
            <w:pPr>
              <w:jc w:val="right"/>
              <w:spacing w:after="0"/>
              <w:rPr>
                <w:sz w:val="20"/>
                <w:szCs w:val="20"/>
                <w:color w:val="auto"/>
              </w:rPr>
            </w:pPr>
            <w:r>
              <w:rPr>
                <w:rFonts w:ascii="Arial" w:cs="Arial" w:eastAsia="Arial" w:hAnsi="Arial"/>
                <w:sz w:val="16"/>
                <w:szCs w:val="16"/>
                <w:color w:val="auto"/>
              </w:rPr>
              <w:t>4,645</w:t>
            </w:r>
          </w:p>
        </w:tc>
        <w:tc>
          <w:tcPr>
            <w:tcW w:w="560" w:type="dxa"/>
            <w:vAlign w:val="bottom"/>
          </w:tcPr>
          <w:p>
            <w:pPr>
              <w:jc w:val="right"/>
              <w:ind w:right="327"/>
              <w:spacing w:after="0"/>
              <w:rPr>
                <w:sz w:val="20"/>
                <w:szCs w:val="20"/>
                <w:color w:val="auto"/>
              </w:rPr>
            </w:pPr>
            <w:r>
              <w:rPr>
                <w:rFonts w:ascii="Arial" w:cs="Arial" w:eastAsia="Arial" w:hAnsi="Arial"/>
                <w:sz w:val="11"/>
                <w:szCs w:val="11"/>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1,127</w:t>
            </w:r>
          </w:p>
        </w:tc>
        <w:tc>
          <w:tcPr>
            <w:tcW w:w="540" w:type="dxa"/>
            <w:vAlign w:val="bottom"/>
          </w:tcPr>
          <w:p>
            <w:pPr>
              <w:jc w:val="right"/>
              <w:ind w:right="327"/>
              <w:spacing w:after="0"/>
              <w:rPr>
                <w:sz w:val="20"/>
                <w:szCs w:val="20"/>
                <w:color w:val="auto"/>
              </w:rPr>
            </w:pPr>
            <w:r>
              <w:rPr>
                <w:rFonts w:ascii="Arial" w:cs="Arial" w:eastAsia="Arial" w:hAnsi="Arial"/>
                <w:sz w:val="11"/>
                <w:szCs w:val="11"/>
                <w:color w:val="auto"/>
              </w:rPr>
              <w:t>(2)</w:t>
            </w:r>
          </w:p>
        </w:tc>
        <w:tc>
          <w:tcPr>
            <w:tcW w:w="1420" w:type="dxa"/>
            <w:vAlign w:val="bottom"/>
          </w:tcPr>
          <w:p>
            <w:pPr>
              <w:jc w:val="right"/>
              <w:ind w:right="324"/>
              <w:spacing w:after="0"/>
              <w:rPr>
                <w:sz w:val="20"/>
                <w:szCs w:val="20"/>
                <w:color w:val="auto"/>
              </w:rPr>
            </w:pPr>
            <w:r>
              <w:rPr>
                <w:rFonts w:ascii="Arial" w:cs="Arial" w:eastAsia="Arial" w:hAnsi="Arial"/>
                <w:sz w:val="16"/>
                <w:szCs w:val="16"/>
                <w:color w:val="auto"/>
              </w:rPr>
              <w:t>970</w:t>
            </w:r>
          </w:p>
        </w:tc>
        <w:tc>
          <w:tcPr>
            <w:tcW w:w="206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384"/>
              <w:spacing w:after="0"/>
              <w:rPr>
                <w:sz w:val="20"/>
                <w:szCs w:val="20"/>
                <w:color w:val="auto"/>
              </w:rPr>
            </w:pPr>
            <w:r>
              <w:rPr>
                <w:rFonts w:ascii="Arial" w:cs="Arial" w:eastAsia="Arial" w:hAnsi="Arial"/>
                <w:sz w:val="16"/>
                <w:szCs w:val="16"/>
                <w:color w:val="auto"/>
                <w:w w:val="99"/>
              </w:rPr>
              <w:t>3,988</w:t>
            </w:r>
          </w:p>
        </w:tc>
        <w:tc>
          <w:tcPr>
            <w:tcW w:w="0" w:type="dxa"/>
            <w:vAlign w:val="bottom"/>
          </w:tcPr>
          <w:p>
            <w:pPr>
              <w:spacing w:after="0"/>
              <w:rPr>
                <w:sz w:val="1"/>
                <w:szCs w:val="1"/>
                <w:color w:val="auto"/>
              </w:rPr>
            </w:pPr>
          </w:p>
        </w:tc>
      </w:tr>
      <w:tr>
        <w:trPr>
          <w:trHeight w:val="35"/>
        </w:trPr>
        <w:tc>
          <w:tcPr>
            <w:tcW w:w="282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56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c>
          <w:tcPr>
            <w:tcW w:w="5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206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Alvise J. Munari</w:t>
            </w:r>
          </w:p>
        </w:tc>
        <w:tc>
          <w:tcPr>
            <w:tcW w:w="174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1,083</w:t>
            </w:r>
          </w:p>
        </w:tc>
        <w:tc>
          <w:tcPr>
            <w:tcW w:w="560" w:type="dxa"/>
            <w:vAlign w:val="bottom"/>
            <w:tcBorders>
              <w:bottom w:val="single" w:sz="8" w:color="E6E7E8"/>
            </w:tcBorders>
          </w:tcPr>
          <w:p>
            <w:pPr>
              <w:jc w:val="right"/>
              <w:ind w:right="327"/>
              <w:spacing w:after="0"/>
              <w:rPr>
                <w:sz w:val="20"/>
                <w:szCs w:val="20"/>
                <w:color w:val="auto"/>
              </w:rPr>
            </w:pPr>
            <w:r>
              <w:rPr>
                <w:rFonts w:ascii="Arial" w:cs="Arial" w:eastAsia="Arial" w:hAnsi="Arial"/>
                <w:sz w:val="11"/>
                <w:szCs w:val="11"/>
                <w:color w:val="auto"/>
              </w:rPr>
              <w:t>(1)</w:t>
            </w:r>
          </w:p>
        </w:tc>
        <w:tc>
          <w:tcPr>
            <w:tcW w:w="108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286</w:t>
            </w:r>
          </w:p>
        </w:tc>
        <w:tc>
          <w:tcPr>
            <w:tcW w:w="540" w:type="dxa"/>
            <w:vAlign w:val="bottom"/>
            <w:tcBorders>
              <w:bottom w:val="single" w:sz="8" w:color="E6E7E8"/>
            </w:tcBorders>
          </w:tcPr>
          <w:p>
            <w:pPr>
              <w:jc w:val="right"/>
              <w:ind w:right="327"/>
              <w:spacing w:after="0"/>
              <w:rPr>
                <w:sz w:val="20"/>
                <w:szCs w:val="20"/>
                <w:color w:val="auto"/>
              </w:rPr>
            </w:pPr>
            <w:r>
              <w:rPr>
                <w:rFonts w:ascii="Arial" w:cs="Arial" w:eastAsia="Arial" w:hAnsi="Arial"/>
                <w:sz w:val="11"/>
                <w:szCs w:val="11"/>
                <w:color w:val="auto"/>
              </w:rPr>
              <w:t>(2)</w:t>
            </w:r>
          </w:p>
        </w:tc>
        <w:tc>
          <w:tcPr>
            <w:tcW w:w="1420" w:type="dxa"/>
            <w:vAlign w:val="bottom"/>
            <w:tcBorders>
              <w:bottom w:val="single" w:sz="8" w:color="E6E7E8"/>
            </w:tcBorders>
          </w:tcPr>
          <w:p>
            <w:pPr>
              <w:jc w:val="right"/>
              <w:ind w:right="324"/>
              <w:spacing w:after="0"/>
              <w:rPr>
                <w:sz w:val="20"/>
                <w:szCs w:val="20"/>
                <w:color w:val="auto"/>
              </w:rPr>
            </w:pPr>
            <w:r>
              <w:rPr>
                <w:rFonts w:ascii="Arial" w:cs="Arial" w:eastAsia="Arial" w:hAnsi="Arial"/>
                <w:sz w:val="16"/>
                <w:szCs w:val="16"/>
                <w:color w:val="auto"/>
              </w:rPr>
              <w:t>365</w:t>
            </w:r>
          </w:p>
        </w:tc>
        <w:tc>
          <w:tcPr>
            <w:tcW w:w="2060" w:type="dxa"/>
            <w:vAlign w:val="bottom"/>
            <w:tcBorders>
              <w:bottom w:val="single" w:sz="8" w:color="E6E7E8"/>
            </w:tcBorders>
          </w:tcPr>
          <w:p>
            <w:pPr>
              <w:jc w:val="right"/>
              <w:ind w:right="384"/>
              <w:spacing w:after="0"/>
              <w:rPr>
                <w:sz w:val="20"/>
                <w:szCs w:val="20"/>
                <w:color w:val="auto"/>
              </w:rPr>
            </w:pPr>
            <w:r>
              <w:rPr>
                <w:rFonts w:ascii="Arial" w:cs="Arial" w:eastAsia="Arial" w:hAnsi="Arial"/>
                <w:sz w:val="16"/>
                <w:szCs w:val="16"/>
                <w:color w:val="auto"/>
              </w:rPr>
              <w:t xml:space="preserve">1,095 </w:t>
            </w:r>
            <w:r>
              <w:rPr>
                <w:rFonts w:ascii="Arial" w:cs="Arial" w:eastAsia="Arial" w:hAnsi="Arial"/>
                <w:sz w:val="21"/>
                <w:szCs w:val="21"/>
                <w:color w:val="auto"/>
                <w:vertAlign w:val="superscript"/>
              </w:rPr>
              <w:t>(3)</w:t>
            </w:r>
          </w:p>
        </w:tc>
        <w:tc>
          <w:tcPr>
            <w:tcW w:w="1020" w:type="dxa"/>
            <w:vAlign w:val="bottom"/>
            <w:tcBorders>
              <w:bottom w:val="single" w:sz="8" w:color="E6E7E8"/>
            </w:tcBorders>
          </w:tcPr>
          <w:p>
            <w:pPr>
              <w:jc w:val="center"/>
              <w:ind w:left="384"/>
              <w:spacing w:after="0"/>
              <w:rPr>
                <w:sz w:val="20"/>
                <w:szCs w:val="20"/>
                <w:color w:val="auto"/>
              </w:rPr>
            </w:pPr>
            <w:r>
              <w:rPr>
                <w:rFonts w:ascii="Arial" w:cs="Arial" w:eastAsia="Arial" w:hAnsi="Arial"/>
                <w:sz w:val="16"/>
                <w:szCs w:val="16"/>
                <w:color w:val="auto"/>
                <w:w w:val="99"/>
              </w:rPr>
              <w:t>1,662</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1740" w:type="dxa"/>
            <w:vAlign w:val="bottom"/>
          </w:tcPr>
          <w:p>
            <w:pPr>
              <w:jc w:val="right"/>
              <w:spacing w:after="0"/>
              <w:rPr>
                <w:sz w:val="20"/>
                <w:szCs w:val="20"/>
                <w:color w:val="auto"/>
              </w:rPr>
            </w:pPr>
            <w:r>
              <w:rPr>
                <w:rFonts w:ascii="Arial" w:cs="Arial" w:eastAsia="Arial" w:hAnsi="Arial"/>
                <w:sz w:val="16"/>
                <w:szCs w:val="16"/>
                <w:color w:val="auto"/>
              </w:rPr>
              <w:t>812</w:t>
            </w:r>
          </w:p>
        </w:tc>
        <w:tc>
          <w:tcPr>
            <w:tcW w:w="560" w:type="dxa"/>
            <w:vAlign w:val="bottom"/>
          </w:tcPr>
          <w:p>
            <w:pPr>
              <w:jc w:val="right"/>
              <w:ind w:right="327"/>
              <w:spacing w:after="0"/>
              <w:rPr>
                <w:sz w:val="20"/>
                <w:szCs w:val="20"/>
                <w:color w:val="auto"/>
              </w:rPr>
            </w:pPr>
            <w:r>
              <w:rPr>
                <w:rFonts w:ascii="Arial" w:cs="Arial" w:eastAsia="Arial" w:hAnsi="Arial"/>
                <w:sz w:val="11"/>
                <w:szCs w:val="11"/>
                <w:color w:val="auto"/>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235</w:t>
            </w:r>
          </w:p>
        </w:tc>
        <w:tc>
          <w:tcPr>
            <w:tcW w:w="540" w:type="dxa"/>
            <w:vAlign w:val="bottom"/>
          </w:tcPr>
          <w:p>
            <w:pPr>
              <w:jc w:val="right"/>
              <w:ind w:right="327"/>
              <w:spacing w:after="0"/>
              <w:rPr>
                <w:sz w:val="20"/>
                <w:szCs w:val="20"/>
                <w:color w:val="auto"/>
              </w:rPr>
            </w:pPr>
            <w:r>
              <w:rPr>
                <w:rFonts w:ascii="Arial" w:cs="Arial" w:eastAsia="Arial" w:hAnsi="Arial"/>
                <w:sz w:val="11"/>
                <w:szCs w:val="11"/>
                <w:color w:val="auto"/>
              </w:rPr>
              <w:t>(2)</w:t>
            </w:r>
          </w:p>
        </w:tc>
        <w:tc>
          <w:tcPr>
            <w:tcW w:w="1420" w:type="dxa"/>
            <w:vAlign w:val="bottom"/>
          </w:tcPr>
          <w:p>
            <w:pPr>
              <w:jc w:val="right"/>
              <w:ind w:right="324"/>
              <w:spacing w:after="0"/>
              <w:rPr>
                <w:sz w:val="20"/>
                <w:szCs w:val="20"/>
                <w:color w:val="auto"/>
              </w:rPr>
            </w:pPr>
            <w:r>
              <w:rPr>
                <w:rFonts w:ascii="Arial" w:cs="Arial" w:eastAsia="Arial" w:hAnsi="Arial"/>
                <w:sz w:val="16"/>
                <w:szCs w:val="16"/>
                <w:color w:val="auto"/>
              </w:rPr>
              <w:t>298</w:t>
            </w:r>
          </w:p>
        </w:tc>
        <w:tc>
          <w:tcPr>
            <w:tcW w:w="206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384"/>
              <w:spacing w:after="0"/>
              <w:rPr>
                <w:sz w:val="20"/>
                <w:szCs w:val="20"/>
                <w:color w:val="auto"/>
              </w:rPr>
            </w:pPr>
            <w:r>
              <w:rPr>
                <w:rFonts w:ascii="Arial" w:cs="Arial" w:eastAsia="Arial" w:hAnsi="Arial"/>
                <w:sz w:val="16"/>
                <w:szCs w:val="16"/>
                <w:color w:val="auto"/>
                <w:w w:val="99"/>
              </w:rPr>
              <w:t>1,330</w:t>
            </w:r>
          </w:p>
        </w:tc>
        <w:tc>
          <w:tcPr>
            <w:tcW w:w="0" w:type="dxa"/>
            <w:vAlign w:val="bottom"/>
          </w:tcPr>
          <w:p>
            <w:pPr>
              <w:spacing w:after="0"/>
              <w:rPr>
                <w:sz w:val="1"/>
                <w:szCs w:val="1"/>
                <w:color w:val="auto"/>
              </w:rPr>
            </w:pPr>
          </w:p>
        </w:tc>
      </w:tr>
      <w:tr>
        <w:trPr>
          <w:trHeight w:val="35"/>
        </w:trPr>
        <w:tc>
          <w:tcPr>
            <w:tcW w:w="2820" w:type="dxa"/>
            <w:vAlign w:val="bottom"/>
            <w:tcBorders>
              <w:bottom w:val="single" w:sz="8" w:color="1A3FD6"/>
            </w:tcBorders>
          </w:tcPr>
          <w:p>
            <w:pPr>
              <w:spacing w:after="0"/>
              <w:rPr>
                <w:sz w:val="3"/>
                <w:szCs w:val="3"/>
                <w:color w:val="auto"/>
              </w:rPr>
            </w:pPr>
          </w:p>
        </w:tc>
        <w:tc>
          <w:tcPr>
            <w:tcW w:w="1740" w:type="dxa"/>
            <w:vAlign w:val="bottom"/>
            <w:tcBorders>
              <w:bottom w:val="single" w:sz="8" w:color="1A3FD6"/>
            </w:tcBorders>
          </w:tcPr>
          <w:p>
            <w:pPr>
              <w:spacing w:after="0"/>
              <w:rPr>
                <w:sz w:val="3"/>
                <w:szCs w:val="3"/>
                <w:color w:val="auto"/>
              </w:rPr>
            </w:pPr>
          </w:p>
        </w:tc>
        <w:tc>
          <w:tcPr>
            <w:tcW w:w="56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c>
          <w:tcPr>
            <w:tcW w:w="540" w:type="dxa"/>
            <w:vAlign w:val="bottom"/>
            <w:tcBorders>
              <w:bottom w:val="single" w:sz="8" w:color="1A3FD6"/>
            </w:tcBorders>
          </w:tcPr>
          <w:p>
            <w:pPr>
              <w:spacing w:after="0"/>
              <w:rPr>
                <w:sz w:val="3"/>
                <w:szCs w:val="3"/>
                <w:color w:val="auto"/>
              </w:rPr>
            </w:pPr>
          </w:p>
        </w:tc>
        <w:tc>
          <w:tcPr>
            <w:tcW w:w="1420" w:type="dxa"/>
            <w:vAlign w:val="bottom"/>
            <w:tcBorders>
              <w:bottom w:val="single" w:sz="8" w:color="1A3FD6"/>
            </w:tcBorders>
          </w:tcPr>
          <w:p>
            <w:pPr>
              <w:spacing w:after="0"/>
              <w:rPr>
                <w:sz w:val="3"/>
                <w:szCs w:val="3"/>
                <w:color w:val="auto"/>
              </w:rPr>
            </w:pPr>
          </w:p>
        </w:tc>
        <w:tc>
          <w:tcPr>
            <w:tcW w:w="2060" w:type="dxa"/>
            <w:vAlign w:val="bottom"/>
            <w:tcBorders>
              <w:bottom w:val="single" w:sz="8" w:color="1A3FD6"/>
            </w:tcBorders>
          </w:tcPr>
          <w:p>
            <w:pPr>
              <w:spacing w:after="0"/>
              <w:rPr>
                <w:sz w:val="3"/>
                <w:szCs w:val="3"/>
                <w:color w:val="auto"/>
              </w:rPr>
            </w:pPr>
          </w:p>
        </w:tc>
        <w:tc>
          <w:tcPr>
            <w:tcW w:w="1020" w:type="dxa"/>
            <w:vAlign w:val="bottom"/>
            <w:tcBorders>
              <w:bottom w:val="single" w:sz="8" w:color="1A3FD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80" w:hanging="272"/>
        <w:spacing w:after="0"/>
        <w:tabs>
          <w:tab w:leader="none" w:pos="28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Following the performance adjustment, no payout was made on the 2021 5-year PSUs.</w:t>
      </w:r>
    </w:p>
    <w:p>
      <w:pPr>
        <w:spacing w:after="0" w:line="66"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6"/>
        </w:numPr>
        <w:rPr>
          <w:rFonts w:ascii="Arial" w:cs="Arial" w:eastAsia="Arial" w:hAnsi="Arial"/>
          <w:sz w:val="9"/>
          <w:szCs w:val="9"/>
          <w:color w:val="auto"/>
        </w:rPr>
      </w:pPr>
      <w:r>
        <w:rPr>
          <w:rFonts w:ascii="Arial" w:cs="Arial" w:eastAsia="Arial" w:hAnsi="Arial"/>
          <w:sz w:val="14"/>
          <w:szCs w:val="14"/>
          <w:color w:val="auto"/>
        </w:rPr>
        <w:t>Following the performance adjustment, no payout was made on the 2023 3-year PSUs.</w:t>
      </w:r>
    </w:p>
    <w:p>
      <w:pPr>
        <w:spacing w:after="0" w:line="95" w:lineRule="exact"/>
        <w:rPr>
          <w:rFonts w:ascii="Arial" w:cs="Arial" w:eastAsia="Arial" w:hAnsi="Arial"/>
          <w:sz w:val="9"/>
          <w:szCs w:val="9"/>
          <w:color w:val="auto"/>
        </w:rPr>
      </w:pPr>
    </w:p>
    <w:p>
      <w:pPr>
        <w:ind w:left="260" w:hanging="252"/>
        <w:spacing w:after="0"/>
        <w:tabs>
          <w:tab w:leader="none" w:pos="260" w:val="left"/>
        </w:tabs>
        <w:numPr>
          <w:ilvl w:val="0"/>
          <w:numId w:val="106"/>
        </w:numPr>
        <w:rPr>
          <w:rFonts w:ascii="Arial" w:cs="Arial" w:eastAsia="Arial" w:hAnsi="Arial"/>
          <w:sz w:val="9"/>
          <w:szCs w:val="9"/>
          <w:color w:val="auto"/>
        </w:rPr>
      </w:pPr>
      <w:r>
        <w:rPr>
          <w:rFonts w:ascii="Arial" w:cs="Arial" w:eastAsia="Arial" w:hAnsi="Arial"/>
          <w:sz w:val="14"/>
          <w:szCs w:val="14"/>
          <w:color w:val="auto"/>
        </w:rPr>
        <w:t>Represents special PSUs granted to Mr. Munari in 2024 in connection with his appointment to Chief Product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314960</wp:posOffset>
            </wp:positionV>
            <wp:extent cx="556895" cy="1454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Option Exercises and Stock Vested</w:t>
      </w:r>
    </w:p>
    <w:p>
      <w:pPr>
        <w:spacing w:after="0" w:line="11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following table contains information with regard to stock options exercised by our NEOs and vesting and conversion of stock awards held by the NEOs during fiscal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3240" w:type="dxa"/>
            <w:vAlign w:val="bottom"/>
            <w:gridSpan w:val="3"/>
          </w:tcPr>
          <w:p>
            <w:pPr>
              <w:ind w:left="1000"/>
              <w:spacing w:after="0"/>
              <w:rPr>
                <w:sz w:val="20"/>
                <w:szCs w:val="20"/>
                <w:color w:val="auto"/>
              </w:rPr>
            </w:pPr>
            <w:r>
              <w:rPr>
                <w:rFonts w:ascii="Arial" w:cs="Arial" w:eastAsia="Arial" w:hAnsi="Arial"/>
                <w:sz w:val="14"/>
                <w:szCs w:val="14"/>
                <w:b w:val="1"/>
                <w:bCs w:val="1"/>
                <w:color w:val="auto"/>
              </w:rPr>
              <w:t>Option Awards</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4980" w:type="dxa"/>
            <w:vAlign w:val="bottom"/>
          </w:tcPr>
          <w:p>
            <w:pPr>
              <w:spacing w:after="0"/>
              <w:rPr>
                <w:sz w:val="2"/>
                <w:szCs w:val="2"/>
                <w:color w:val="auto"/>
              </w:rPr>
            </w:pPr>
          </w:p>
        </w:tc>
        <w:tc>
          <w:tcPr>
            <w:tcW w:w="1740" w:type="dxa"/>
            <w:vAlign w:val="bottom"/>
            <w:tcBorders>
              <w:bottom w:val="single" w:sz="8" w:color="1A3FD6"/>
            </w:tcBorders>
          </w:tcPr>
          <w:p>
            <w:pPr>
              <w:spacing w:after="0"/>
              <w:rPr>
                <w:sz w:val="2"/>
                <w:szCs w:val="2"/>
                <w:color w:val="auto"/>
              </w:rPr>
            </w:pPr>
          </w:p>
        </w:tc>
        <w:tc>
          <w:tcPr>
            <w:tcW w:w="1280" w:type="dxa"/>
            <w:vAlign w:val="bottom"/>
            <w:tcBorders>
              <w:bottom w:val="single" w:sz="8" w:color="1A3FD6"/>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1A3FD6"/>
            </w:tcBorders>
          </w:tcPr>
          <w:p>
            <w:pPr>
              <w:spacing w:after="0"/>
              <w:rPr>
                <w:sz w:val="2"/>
                <w:szCs w:val="2"/>
                <w:color w:val="auto"/>
              </w:rPr>
            </w:pPr>
          </w:p>
        </w:tc>
        <w:tc>
          <w:tcPr>
            <w:tcW w:w="102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80" w:type="dxa"/>
            <w:vAlign w:val="bottom"/>
          </w:tcPr>
          <w:p>
            <w:pPr>
              <w:spacing w:after="0"/>
              <w:rPr>
                <w:sz w:val="17"/>
                <w:szCs w:val="17"/>
                <w:color w:val="auto"/>
              </w:rPr>
            </w:pPr>
          </w:p>
        </w:tc>
        <w:tc>
          <w:tcPr>
            <w:tcW w:w="1740" w:type="dxa"/>
            <w:vAlign w:val="bottom"/>
          </w:tcPr>
          <w:p>
            <w:pPr>
              <w:jc w:val="right"/>
              <w:ind w:right="164"/>
              <w:spacing w:after="0"/>
              <w:rPr>
                <w:sz w:val="20"/>
                <w:szCs w:val="20"/>
                <w:color w:val="auto"/>
              </w:rPr>
            </w:pPr>
            <w:r>
              <w:rPr>
                <w:rFonts w:ascii="Arial" w:cs="Arial" w:eastAsia="Arial" w:hAnsi="Arial"/>
                <w:sz w:val="14"/>
                <w:szCs w:val="14"/>
                <w:b w:val="1"/>
                <w:bCs w:val="1"/>
                <w:color w:val="auto"/>
              </w:rPr>
              <w:t>Number of</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Pr>
          <w:p>
            <w:pPr>
              <w:jc w:val="right"/>
              <w:ind w:right="424"/>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740" w:type="dxa"/>
            <w:vAlign w:val="bottom"/>
          </w:tcPr>
          <w:p>
            <w:pPr>
              <w:jc w:val="right"/>
              <w:ind w:right="164"/>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Value Realized</w:t>
            </w:r>
          </w:p>
        </w:tc>
        <w:tc>
          <w:tcPr>
            <w:tcW w:w="2000" w:type="dxa"/>
            <w:vAlign w:val="bottom"/>
          </w:tcPr>
          <w:p>
            <w:pPr>
              <w:jc w:val="right"/>
              <w:ind w:right="424"/>
              <w:spacing w:after="0"/>
              <w:rPr>
                <w:sz w:val="20"/>
                <w:szCs w:val="20"/>
                <w:color w:val="auto"/>
              </w:rPr>
            </w:pPr>
            <w:r>
              <w:rPr>
                <w:rFonts w:ascii="Arial" w:cs="Arial" w:eastAsia="Arial" w:hAnsi="Arial"/>
                <w:sz w:val="14"/>
                <w:szCs w:val="14"/>
                <w:b w:val="1"/>
                <w:bCs w:val="1"/>
                <w:color w:val="auto"/>
              </w:rPr>
              <w:t>Shares</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Value Realized</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740" w:type="dxa"/>
            <w:vAlign w:val="bottom"/>
          </w:tcPr>
          <w:p>
            <w:pPr>
              <w:jc w:val="right"/>
              <w:ind w:right="164"/>
              <w:spacing w:after="0"/>
              <w:rPr>
                <w:sz w:val="20"/>
                <w:szCs w:val="20"/>
                <w:color w:val="auto"/>
              </w:rPr>
            </w:pPr>
            <w:r>
              <w:rPr>
                <w:rFonts w:ascii="Arial" w:cs="Arial" w:eastAsia="Arial" w:hAnsi="Arial"/>
                <w:sz w:val="14"/>
                <w:szCs w:val="14"/>
                <w:b w:val="1"/>
                <w:bCs w:val="1"/>
                <w:color w:val="auto"/>
              </w:rPr>
              <w:t>Acquired</w:t>
            </w:r>
          </w:p>
        </w:tc>
        <w:tc>
          <w:tcPr>
            <w:tcW w:w="1500" w:type="dxa"/>
            <w:vAlign w:val="bottom"/>
            <w:gridSpan w:val="2"/>
            <w:vMerge w:val="continue"/>
          </w:tcPr>
          <w:p>
            <w:pPr>
              <w:spacing w:after="0"/>
              <w:rPr>
                <w:sz w:val="15"/>
                <w:szCs w:val="15"/>
                <w:color w:val="auto"/>
              </w:rPr>
            </w:pPr>
          </w:p>
        </w:tc>
        <w:tc>
          <w:tcPr>
            <w:tcW w:w="2000" w:type="dxa"/>
            <w:vAlign w:val="bottom"/>
          </w:tcPr>
          <w:p>
            <w:pPr>
              <w:jc w:val="right"/>
              <w:ind w:right="424"/>
              <w:spacing w:after="0"/>
              <w:rPr>
                <w:sz w:val="20"/>
                <w:szCs w:val="20"/>
                <w:color w:val="auto"/>
              </w:rPr>
            </w:pPr>
            <w:r>
              <w:rPr>
                <w:rFonts w:ascii="Arial" w:cs="Arial" w:eastAsia="Arial" w:hAnsi="Arial"/>
                <w:sz w:val="14"/>
                <w:szCs w:val="14"/>
                <w:b w:val="1"/>
                <w:bCs w:val="1"/>
                <w:color w:val="auto"/>
              </w:rPr>
              <w:t>Acquired</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740" w:type="dxa"/>
            <w:vAlign w:val="bottom"/>
          </w:tcPr>
          <w:p>
            <w:pPr>
              <w:jc w:val="right"/>
              <w:ind w:right="164"/>
              <w:spacing w:after="0"/>
              <w:rPr>
                <w:sz w:val="20"/>
                <w:szCs w:val="20"/>
                <w:color w:val="auto"/>
              </w:rPr>
            </w:pPr>
            <w:r>
              <w:rPr>
                <w:rFonts w:ascii="Arial" w:cs="Arial" w:eastAsia="Arial" w:hAnsi="Arial"/>
                <w:sz w:val="14"/>
                <w:szCs w:val="14"/>
                <w:b w:val="1"/>
                <w:bCs w:val="1"/>
                <w:color w:val="auto"/>
              </w:rPr>
              <w:t>on Exercise</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on Exercise</w:t>
            </w:r>
          </w:p>
        </w:tc>
        <w:tc>
          <w:tcPr>
            <w:tcW w:w="2000" w:type="dxa"/>
            <w:vAlign w:val="bottom"/>
          </w:tcPr>
          <w:p>
            <w:pPr>
              <w:jc w:val="right"/>
              <w:ind w:right="424"/>
              <w:spacing w:after="0"/>
              <w:rPr>
                <w:sz w:val="20"/>
                <w:szCs w:val="20"/>
                <w:color w:val="auto"/>
              </w:rPr>
            </w:pPr>
            <w:r>
              <w:rPr>
                <w:rFonts w:ascii="Arial" w:cs="Arial" w:eastAsia="Arial" w:hAnsi="Arial"/>
                <w:sz w:val="14"/>
                <w:szCs w:val="14"/>
                <w:b w:val="1"/>
                <w:bCs w:val="1"/>
                <w:color w:val="auto"/>
              </w:rPr>
              <w:t>on Vesting</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28"/>
        </w:trPr>
        <w:tc>
          <w:tcPr>
            <w:tcW w:w="498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1740" w:type="dxa"/>
            <w:vAlign w:val="bottom"/>
            <w:tcBorders>
              <w:bottom w:val="single" w:sz="8" w:color="1A3FD6"/>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1A3FD6"/>
            </w:tcBorders>
          </w:tcPr>
          <w:p>
            <w:pPr>
              <w:jc w:val="center"/>
              <w:ind w:left="882"/>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220" w:type="dxa"/>
            <w:vAlign w:val="bottom"/>
            <w:tcBorders>
              <w:bottom w:val="single" w:sz="8" w:color="1A3FD6"/>
            </w:tcBorders>
          </w:tcPr>
          <w:p>
            <w:pPr>
              <w:spacing w:after="0"/>
              <w:rPr>
                <w:sz w:val="19"/>
                <w:szCs w:val="19"/>
                <w:color w:val="auto"/>
              </w:rPr>
            </w:pPr>
          </w:p>
        </w:tc>
        <w:tc>
          <w:tcPr>
            <w:tcW w:w="2000" w:type="dxa"/>
            <w:vAlign w:val="bottom"/>
            <w:tcBorders>
              <w:bottom w:val="single" w:sz="8" w:color="1A3FD6"/>
            </w:tcBorders>
          </w:tcPr>
          <w:p>
            <w:pPr>
              <w:jc w:val="right"/>
              <w:ind w:right="424"/>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74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484"/>
              <w:spacing w:after="0"/>
              <w:rPr>
                <w:sz w:val="20"/>
                <w:szCs w:val="20"/>
                <w:color w:val="auto"/>
              </w:rPr>
            </w:pPr>
            <w:r>
              <w:rPr>
                <w:rFonts w:ascii="Arial" w:cs="Arial" w:eastAsia="Arial" w:hAnsi="Arial"/>
                <w:sz w:val="16"/>
                <w:szCs w:val="16"/>
                <w:color w:val="auto"/>
              </w:rPr>
              <w:t>58,370</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34,291,208</w:t>
            </w:r>
          </w:p>
        </w:tc>
        <w:tc>
          <w:tcPr>
            <w:tcW w:w="0" w:type="dxa"/>
            <w:vAlign w:val="bottom"/>
          </w:tcPr>
          <w:p>
            <w:pPr>
              <w:spacing w:after="0"/>
              <w:rPr>
                <w:sz w:val="1"/>
                <w:szCs w:val="1"/>
                <w:color w:val="auto"/>
              </w:rPr>
            </w:pPr>
          </w:p>
        </w:tc>
      </w:tr>
      <w:tr>
        <w:trPr>
          <w:trHeight w:val="35"/>
        </w:trPr>
        <w:tc>
          <w:tcPr>
            <w:tcW w:w="498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200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74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484"/>
              <w:spacing w:after="0"/>
              <w:rPr>
                <w:sz w:val="20"/>
                <w:szCs w:val="20"/>
                <w:color w:val="auto"/>
              </w:rPr>
            </w:pPr>
            <w:r>
              <w:rPr>
                <w:rFonts w:ascii="Arial" w:cs="Arial" w:eastAsia="Arial" w:hAnsi="Arial"/>
                <w:sz w:val="16"/>
                <w:szCs w:val="16"/>
                <w:color w:val="auto"/>
              </w:rPr>
              <w:t>2,979</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1,746,517</w:t>
            </w:r>
          </w:p>
        </w:tc>
        <w:tc>
          <w:tcPr>
            <w:tcW w:w="0" w:type="dxa"/>
            <w:vAlign w:val="bottom"/>
          </w:tcPr>
          <w:p>
            <w:pPr>
              <w:spacing w:after="0"/>
              <w:rPr>
                <w:sz w:val="1"/>
                <w:szCs w:val="1"/>
                <w:color w:val="auto"/>
              </w:rPr>
            </w:pPr>
          </w:p>
        </w:tc>
      </w:tr>
      <w:tr>
        <w:trPr>
          <w:trHeight w:val="34"/>
        </w:trPr>
        <w:tc>
          <w:tcPr>
            <w:tcW w:w="498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200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174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484"/>
              <w:spacing w:after="0"/>
              <w:rPr>
                <w:sz w:val="20"/>
                <w:szCs w:val="20"/>
                <w:color w:val="auto"/>
              </w:rPr>
            </w:pPr>
            <w:r>
              <w:rPr>
                <w:rFonts w:ascii="Arial" w:cs="Arial" w:eastAsia="Arial" w:hAnsi="Arial"/>
                <w:sz w:val="16"/>
                <w:szCs w:val="16"/>
                <w:color w:val="auto"/>
              </w:rPr>
              <w:t>25,943</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15,240,994</w:t>
            </w:r>
          </w:p>
        </w:tc>
        <w:tc>
          <w:tcPr>
            <w:tcW w:w="0" w:type="dxa"/>
            <w:vAlign w:val="bottom"/>
          </w:tcPr>
          <w:p>
            <w:pPr>
              <w:spacing w:after="0"/>
              <w:rPr>
                <w:sz w:val="1"/>
                <w:szCs w:val="1"/>
                <w:color w:val="auto"/>
              </w:rPr>
            </w:pPr>
          </w:p>
        </w:tc>
      </w:tr>
      <w:tr>
        <w:trPr>
          <w:trHeight w:val="34"/>
        </w:trPr>
        <w:tc>
          <w:tcPr>
            <w:tcW w:w="498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200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1A3FD6"/>
              </w:rPr>
              <w:t>Alvise J. Munari</w:t>
            </w:r>
          </w:p>
        </w:tc>
        <w:tc>
          <w:tcPr>
            <w:tcW w:w="174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484"/>
              <w:spacing w:after="0"/>
              <w:rPr>
                <w:sz w:val="20"/>
                <w:szCs w:val="20"/>
                <w:color w:val="auto"/>
              </w:rPr>
            </w:pPr>
            <w:r>
              <w:rPr>
                <w:rFonts w:ascii="Arial" w:cs="Arial" w:eastAsia="Arial" w:hAnsi="Arial"/>
                <w:sz w:val="16"/>
                <w:szCs w:val="16"/>
                <w:color w:val="auto"/>
              </w:rPr>
              <w:t>7,447</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4,369,449</w:t>
            </w:r>
          </w:p>
        </w:tc>
        <w:tc>
          <w:tcPr>
            <w:tcW w:w="0" w:type="dxa"/>
            <w:vAlign w:val="bottom"/>
          </w:tcPr>
          <w:p>
            <w:pPr>
              <w:spacing w:after="0"/>
              <w:rPr>
                <w:sz w:val="1"/>
                <w:szCs w:val="1"/>
                <w:color w:val="auto"/>
              </w:rPr>
            </w:pPr>
          </w:p>
        </w:tc>
      </w:tr>
      <w:tr>
        <w:trPr>
          <w:trHeight w:val="34"/>
        </w:trPr>
        <w:tc>
          <w:tcPr>
            <w:tcW w:w="498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28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2000" w:type="dxa"/>
            <w:vAlign w:val="bottom"/>
            <w:tcBorders>
              <w:bottom w:val="single" w:sz="8" w:color="E6E7E8"/>
            </w:tcBorders>
          </w:tcPr>
          <w:p>
            <w:pPr>
              <w:spacing w:after="0"/>
              <w:rPr>
                <w:sz w:val="3"/>
                <w:szCs w:val="3"/>
                <w:color w:val="auto"/>
              </w:rPr>
            </w:pPr>
          </w:p>
        </w:tc>
        <w:tc>
          <w:tcPr>
            <w:tcW w:w="102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1740" w:type="dxa"/>
            <w:vAlign w:val="bottom"/>
          </w:tcPr>
          <w:p>
            <w:pPr>
              <w:jc w:val="right"/>
              <w:ind w:right="224"/>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2000" w:type="dxa"/>
            <w:vAlign w:val="bottom"/>
          </w:tcPr>
          <w:p>
            <w:pPr>
              <w:jc w:val="right"/>
              <w:ind w:right="484"/>
              <w:spacing w:after="0"/>
              <w:rPr>
                <w:sz w:val="20"/>
                <w:szCs w:val="20"/>
                <w:color w:val="auto"/>
              </w:rPr>
            </w:pPr>
            <w:r>
              <w:rPr>
                <w:rFonts w:ascii="Arial" w:cs="Arial" w:eastAsia="Arial" w:hAnsi="Arial"/>
                <w:sz w:val="16"/>
                <w:szCs w:val="16"/>
                <w:color w:val="auto"/>
              </w:rPr>
              <w:t>6,347</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3,724,186</w:t>
            </w:r>
          </w:p>
        </w:tc>
        <w:tc>
          <w:tcPr>
            <w:tcW w:w="0" w:type="dxa"/>
            <w:vAlign w:val="bottom"/>
          </w:tcPr>
          <w:p>
            <w:pPr>
              <w:spacing w:after="0"/>
              <w:rPr>
                <w:sz w:val="1"/>
                <w:szCs w:val="1"/>
                <w:color w:val="auto"/>
              </w:rPr>
            </w:pPr>
          </w:p>
        </w:tc>
      </w:tr>
      <w:tr>
        <w:trPr>
          <w:trHeight w:val="34"/>
        </w:trPr>
        <w:tc>
          <w:tcPr>
            <w:tcW w:w="4980" w:type="dxa"/>
            <w:vAlign w:val="bottom"/>
            <w:tcBorders>
              <w:bottom w:val="single" w:sz="8" w:color="1A3FD6"/>
            </w:tcBorders>
          </w:tcPr>
          <w:p>
            <w:pPr>
              <w:spacing w:after="0"/>
              <w:rPr>
                <w:sz w:val="3"/>
                <w:szCs w:val="3"/>
                <w:color w:val="auto"/>
              </w:rPr>
            </w:pPr>
          </w:p>
        </w:tc>
        <w:tc>
          <w:tcPr>
            <w:tcW w:w="1740" w:type="dxa"/>
            <w:vAlign w:val="bottom"/>
            <w:tcBorders>
              <w:bottom w:val="single" w:sz="8" w:color="1A3FD6"/>
            </w:tcBorders>
          </w:tcPr>
          <w:p>
            <w:pPr>
              <w:spacing w:after="0"/>
              <w:rPr>
                <w:sz w:val="3"/>
                <w:szCs w:val="3"/>
                <w:color w:val="auto"/>
              </w:rPr>
            </w:pPr>
          </w:p>
        </w:tc>
        <w:tc>
          <w:tcPr>
            <w:tcW w:w="128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2000" w:type="dxa"/>
            <w:vAlign w:val="bottom"/>
            <w:tcBorders>
              <w:bottom w:val="single" w:sz="8" w:color="1A3FD6"/>
            </w:tcBorders>
          </w:tcPr>
          <w:p>
            <w:pPr>
              <w:spacing w:after="0"/>
              <w:rPr>
                <w:sz w:val="3"/>
                <w:szCs w:val="3"/>
                <w:color w:val="auto"/>
              </w:rPr>
            </w:pPr>
          </w:p>
        </w:tc>
        <w:tc>
          <w:tcPr>
            <w:tcW w:w="1020" w:type="dxa"/>
            <w:vAlign w:val="bottom"/>
            <w:tcBorders>
              <w:bottom w:val="single" w:sz="8" w:color="1A3FD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9"/>
          <w:szCs w:val="9"/>
          <w:color w:val="auto"/>
        </w:rPr>
      </w:pPr>
      <w:r>
        <w:rPr>
          <w:rFonts w:ascii="Arial" w:cs="Arial" w:eastAsia="Arial" w:hAnsi="Arial"/>
          <w:sz w:val="14"/>
          <w:szCs w:val="14"/>
          <w:color w:val="auto"/>
        </w:rPr>
        <w:t>The value realized for option awards and stock awards is based on the closing share price of MSCI common stock on the applicable stock vesting date.</w:t>
      </w: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Potential Payments upon Termination or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Change in Control Severance Plan</w:t>
      </w:r>
    </w:p>
    <w:p>
      <w:pPr>
        <w:spacing w:after="0" w:line="11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the event of a change in control of the Company, Management Committee members, including all of our NEOs, would be entitled to benefits under the MSCI Inc. Change in Control Severance Plan (the “CIC Plan”), which was adopted by the Board of Directors in May 2015 and amended in February 2026. The CIC Plan covers participants identified on a schedule attached to the CIC Plan (subject to any additions to or removals from the participant list by the Compensation Committee), including the Company’s CEO, CFO and the Company’s other NEOs. In the event of a “Qualifying Termination” (for certain terminations related to changes in control, as defined in the CIC Plan), participants will receive the severance payments and benefits specified in the CIC Plan. Severance payments and benefits under the CIC Plan are subject to a “double-trigger” as both a change in control and a termination of the participant’s employment by the Company without “cause” or by the participant for “good reason” (as such terms are defined in the CIC Plan) are required in order for the participant to qualify for payments and benefits. The CIC Plan does not include any golden parachute excise tax gross-up provisions. Any severance payments and benefits under the CIC Plan are subject to execution of an agreement by the CIC Plan participant releasing claims against the Company. Participants are also obligated to comply with confidentiality, non-solicitation and non-disparagement covenants under their release agreement.</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Annual Incentive Plan</w:t>
      </w:r>
    </w:p>
    <w:p>
      <w:pPr>
        <w:spacing w:after="0" w:line="11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the event of a change in control (as defined in the AIP), unless otherwise determined by the Compensation Committee, the performance period applicable to any outstanding AIP cash bonus award will cease as of the date immediately prior to the change in control. The portion of any such award based on performance metrics (other than individual goals and metrics) will be payable based on the higher of (i) the Company’s actual achievement of the performance metrics (other than individual goals and metrics) for the prorated period ending immediately prior to the change in control and (ii) 100%. The portion of any such award based on individual goals and metrics will be payable at 100% of the target. All awards will be payable by the Company (or the successor or survivor entity) within 60 days of the date of the change in control, prorated for the portion of the applicable performance period that elapsed prior to the change in control.</w:t>
      </w:r>
    </w:p>
    <w:p>
      <w:pPr>
        <w:spacing w:after="0" w:line="11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If the Company’s successor will not be implementing a comparable annual incentive plan for the remaining portion of the year in which the change in control occurs, the Compensation Committee may, in its discretion, elect not to prorate the awards. If any AIP participant is eligible to receive a prorated annual bonus for the year in which the change in control occurs pursuant to any other change in control severance plan, including the CIC Plan, the individual’s prorated annual bonus payable under such other plan will be reduced by the amount of the bonus paid under the AIP.</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95</w:t>
            </w:r>
          </w:p>
        </w:tc>
      </w:tr>
      <w:tr>
        <w:trPr>
          <w:trHeight w:val="387"/>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Offer Letters</w:t>
      </w:r>
    </w:p>
    <w:p>
      <w:pPr>
        <w:spacing w:after="0" w:line="114"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For information regarding certain amounts payable to Mr. Wiechmann in connection with an involuntary termination of employment other than for cause pursuant to the terms of his offer letter, please see “Employment Agreements” on page 85 of this Proxy Statement. For information regarding the amounts payable to Mr. Pettit under his Advisory Agreement and Settlement Agreement entered into with the Company in connection with his planned retirement, please see “Employment Agreements” on page 85 of this Proxy Statement.</w:t>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Equity Acceleration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descriptions of equity acceleration provisions below apply to the applicable outstanding equity awards as of December 31, 2025.</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Terminations Other Than Due to Death, Disability, Involuntary Termination Without Cause or Retirement</w:t>
      </w:r>
    </w:p>
    <w:p>
      <w:pPr>
        <w:spacing w:after="0" w:line="99"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Upon termination of an NEO’s employment for any reason other than due to death, disability, involuntary termination without cause or retirement (as such terms are defined in the applicable award agreement), his or her unvested PSUs, PSOs, RSUs and PPOs will generally be cancelled immediately. Equity awards granted to NEOs who are eligible for retirement treatment are cancelled following a termination for cause.</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Death or Disability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Upon termination of an NEO’s employment due to death or “disability” (as defined in the applicable award agreement):</w:t>
      </w:r>
    </w:p>
    <w:p>
      <w:pPr>
        <w:spacing w:after="0" w:line="154" w:lineRule="exact"/>
        <w:rPr>
          <w:sz w:val="20"/>
          <w:szCs w:val="20"/>
          <w:color w:val="auto"/>
        </w:rPr>
      </w:pPr>
    </w:p>
    <w:p>
      <w:pPr>
        <w:ind w:left="200" w:right="740" w:hanging="192"/>
        <w:spacing w:after="0" w:line="286" w:lineRule="auto"/>
        <w:tabs>
          <w:tab w:leader="none" w:pos="157" w:val="left"/>
        </w:tabs>
        <w:numPr>
          <w:ilvl w:val="0"/>
          <w:numId w:val="108"/>
        </w:numPr>
        <w:rPr>
          <w:rFonts w:ascii="Arial" w:cs="Arial" w:eastAsia="Arial" w:hAnsi="Arial"/>
          <w:sz w:val="16"/>
          <w:szCs w:val="16"/>
          <w:color w:val="00A798"/>
        </w:rPr>
      </w:pPr>
      <w:r>
        <w:rPr>
          <w:rFonts w:ascii="Arial" w:cs="Arial" w:eastAsia="Arial" w:hAnsi="Arial"/>
          <w:sz w:val="16"/>
          <w:szCs w:val="16"/>
          <w:i w:val="1"/>
          <w:iCs w:val="1"/>
          <w:color w:val="auto"/>
        </w:rPr>
        <w:t xml:space="preserve">PSUs. </w:t>
      </w:r>
      <w:r>
        <w:rPr>
          <w:rFonts w:ascii="Arial" w:cs="Arial" w:eastAsia="Arial" w:hAnsi="Arial"/>
          <w:sz w:val="16"/>
          <w:szCs w:val="16"/>
          <w:color w:val="auto"/>
        </w:rPr>
        <w:t>PSUs will vest and convert into shares on the adjustment date, subject to adjustment based on actual performance through the end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w:t>
      </w:r>
    </w:p>
    <w:p>
      <w:pPr>
        <w:spacing w:after="0" w:line="20" w:lineRule="exact"/>
        <w:rPr>
          <w:rFonts w:ascii="Arial" w:cs="Arial" w:eastAsia="Arial" w:hAnsi="Arial"/>
          <w:sz w:val="16"/>
          <w:szCs w:val="16"/>
          <w:color w:val="00A798"/>
        </w:rPr>
      </w:pPr>
    </w:p>
    <w:p>
      <w:pPr>
        <w:ind w:left="200" w:right="580" w:hanging="192"/>
        <w:spacing w:after="0" w:line="286" w:lineRule="auto"/>
        <w:tabs>
          <w:tab w:leader="none" w:pos="157" w:val="left"/>
        </w:tabs>
        <w:numPr>
          <w:ilvl w:val="0"/>
          <w:numId w:val="108"/>
        </w:numPr>
        <w:rPr>
          <w:rFonts w:ascii="Arial" w:cs="Arial" w:eastAsia="Arial" w:hAnsi="Arial"/>
          <w:sz w:val="16"/>
          <w:szCs w:val="16"/>
          <w:color w:val="00A798"/>
        </w:rPr>
      </w:pPr>
      <w:r>
        <w:rPr>
          <w:rFonts w:ascii="Arial" w:cs="Arial" w:eastAsia="Arial" w:hAnsi="Arial"/>
          <w:sz w:val="16"/>
          <w:szCs w:val="16"/>
          <w:i w:val="1"/>
          <w:iCs w:val="1"/>
          <w:color w:val="auto"/>
        </w:rPr>
        <w:t xml:space="preserve">PSOs. </w:t>
      </w:r>
      <w:r>
        <w:rPr>
          <w:rFonts w:ascii="Arial" w:cs="Arial" w:eastAsia="Arial" w:hAnsi="Arial"/>
          <w:sz w:val="16"/>
          <w:szCs w:val="16"/>
          <w:color w:val="auto"/>
        </w:rPr>
        <w:t>The service condition will be deemed fully satisfied on the termination date, and the number of PSOs that will become vested options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based on actual performance through the end of the performance period</w:t>
      </w:r>
    </w:p>
    <w:p>
      <w:pPr>
        <w:spacing w:after="0" w:line="20" w:lineRule="exact"/>
        <w:rPr>
          <w:rFonts w:ascii="Arial" w:cs="Arial" w:eastAsia="Arial" w:hAnsi="Arial"/>
          <w:sz w:val="16"/>
          <w:szCs w:val="16"/>
          <w:color w:val="00A798"/>
        </w:rPr>
      </w:pPr>
    </w:p>
    <w:p>
      <w:pPr>
        <w:ind w:left="160" w:hanging="152"/>
        <w:spacing w:after="0"/>
        <w:tabs>
          <w:tab w:leader="none" w:pos="160" w:val="left"/>
        </w:tabs>
        <w:numPr>
          <w:ilvl w:val="0"/>
          <w:numId w:val="108"/>
        </w:numPr>
        <w:rPr>
          <w:rFonts w:ascii="Arial" w:cs="Arial" w:eastAsia="Arial" w:hAnsi="Arial"/>
          <w:sz w:val="16"/>
          <w:szCs w:val="16"/>
          <w:color w:val="00A798"/>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RSUs will vest and convert into shares within 30 days of the termination date.</w:t>
      </w:r>
    </w:p>
    <w:p>
      <w:pPr>
        <w:spacing w:after="0" w:line="86" w:lineRule="exact"/>
        <w:rPr>
          <w:rFonts w:ascii="Arial" w:cs="Arial" w:eastAsia="Arial" w:hAnsi="Arial"/>
          <w:sz w:val="16"/>
          <w:szCs w:val="16"/>
          <w:color w:val="00A798"/>
        </w:rPr>
      </w:pPr>
    </w:p>
    <w:p>
      <w:pPr>
        <w:ind w:left="160" w:hanging="152"/>
        <w:spacing w:after="0"/>
        <w:tabs>
          <w:tab w:leader="none" w:pos="160" w:val="left"/>
        </w:tabs>
        <w:numPr>
          <w:ilvl w:val="0"/>
          <w:numId w:val="108"/>
        </w:numPr>
        <w:rPr>
          <w:rFonts w:ascii="Arial" w:cs="Arial" w:eastAsia="Arial" w:hAnsi="Arial"/>
          <w:sz w:val="16"/>
          <w:szCs w:val="16"/>
          <w:color w:val="00A798"/>
        </w:rPr>
      </w:pPr>
      <w:r>
        <w:rPr>
          <w:rFonts w:ascii="Arial" w:cs="Arial" w:eastAsia="Arial" w:hAnsi="Arial"/>
          <w:sz w:val="16"/>
          <w:szCs w:val="16"/>
          <w:i w:val="1"/>
          <w:iCs w:val="1"/>
          <w:color w:val="auto"/>
        </w:rPr>
        <w:t>PPOs</w:t>
      </w:r>
      <w:r>
        <w:rPr>
          <w:rFonts w:ascii="Arial" w:cs="Arial" w:eastAsia="Arial" w:hAnsi="Arial"/>
          <w:sz w:val="16"/>
          <w:szCs w:val="16"/>
          <w:color w:val="auto"/>
        </w:rPr>
        <w:t>. PPOs vest and become fully exercisable on the termination date.</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Involuntary Termination</w:t>
      </w:r>
    </w:p>
    <w:p>
      <w:pPr>
        <w:spacing w:after="0" w:line="85"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If the Company terminates an NEO’s employment without “cause” (as defined in the applicable award agreement) and he or she signs and does not revoke an agreement and release of claims satisfactory to the Company within 60 days of the termination date:</w:t>
      </w:r>
    </w:p>
    <w:p>
      <w:pPr>
        <w:spacing w:after="0" w:line="74" w:lineRule="exact"/>
        <w:rPr>
          <w:sz w:val="20"/>
          <w:szCs w:val="20"/>
          <w:color w:val="auto"/>
        </w:rPr>
      </w:pPr>
    </w:p>
    <w:p>
      <w:pPr>
        <w:ind w:left="200" w:hanging="192"/>
        <w:spacing w:after="0" w:line="261" w:lineRule="auto"/>
        <w:tabs>
          <w:tab w:leader="none" w:pos="157" w:val="left"/>
        </w:tabs>
        <w:numPr>
          <w:ilvl w:val="0"/>
          <w:numId w:val="109"/>
        </w:numPr>
        <w:rPr>
          <w:rFonts w:ascii="Arial" w:cs="Arial" w:eastAsia="Arial" w:hAnsi="Arial"/>
          <w:sz w:val="16"/>
          <w:szCs w:val="16"/>
          <w:color w:val="00A798"/>
        </w:rPr>
      </w:pPr>
      <w:r>
        <w:rPr>
          <w:rFonts w:ascii="Arial" w:cs="Arial" w:eastAsia="Arial" w:hAnsi="Arial"/>
          <w:sz w:val="16"/>
          <w:szCs w:val="16"/>
          <w:i w:val="1"/>
          <w:iCs w:val="1"/>
          <w:color w:val="auto"/>
        </w:rPr>
        <w:t xml:space="preserve">2023, 2024 and 2025 3-Year PSUs. </w:t>
      </w:r>
      <w:r>
        <w:rPr>
          <w:rFonts w:ascii="Arial" w:cs="Arial" w:eastAsia="Arial" w:hAnsi="Arial"/>
          <w:sz w:val="16"/>
          <w:szCs w:val="16"/>
          <w:color w:val="auto"/>
        </w:rPr>
        <w:t>A prorated portion of the target number of PSUs will vest and convert into shares on the adjustment date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of (i) the target number of PSUs multiplied by (ii) a fraction, (A) the numerator of which is the total number of months the NEO was employed by the Company during the 3-year performance period (rounded up to the next whole month), and (B) the denominator of which is 36 months,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41" w:lineRule="exact"/>
        <w:rPr>
          <w:rFonts w:ascii="Arial" w:cs="Arial" w:eastAsia="Arial" w:hAnsi="Arial"/>
          <w:sz w:val="16"/>
          <w:szCs w:val="16"/>
          <w:color w:val="00A798"/>
        </w:rPr>
      </w:pPr>
    </w:p>
    <w:p>
      <w:pPr>
        <w:ind w:left="200" w:right="200" w:hanging="192"/>
        <w:spacing w:after="0" w:line="259" w:lineRule="auto"/>
        <w:tabs>
          <w:tab w:leader="none" w:pos="157" w:val="left"/>
        </w:tabs>
        <w:numPr>
          <w:ilvl w:val="0"/>
          <w:numId w:val="109"/>
        </w:numPr>
        <w:rPr>
          <w:rFonts w:ascii="Arial" w:cs="Arial" w:eastAsia="Arial" w:hAnsi="Arial"/>
          <w:sz w:val="16"/>
          <w:szCs w:val="16"/>
          <w:color w:val="00A798"/>
        </w:rPr>
      </w:pPr>
      <w:r>
        <w:rPr>
          <w:rFonts w:ascii="Arial" w:cs="Arial" w:eastAsia="Arial" w:hAnsi="Arial"/>
          <w:sz w:val="16"/>
          <w:szCs w:val="16"/>
          <w:i w:val="1"/>
          <w:iCs w:val="1"/>
          <w:color w:val="auto"/>
        </w:rPr>
        <w:t xml:space="preserve">2021 5-Year PSUs. </w:t>
      </w:r>
      <w:r>
        <w:rPr>
          <w:rFonts w:ascii="Arial" w:cs="Arial" w:eastAsia="Arial" w:hAnsi="Arial"/>
          <w:sz w:val="16"/>
          <w:szCs w:val="16"/>
          <w:color w:val="auto"/>
        </w:rPr>
        <w:t>If the termination of employment occurs prior to the second anniversary of the grant date, the PSUs will be forfeited in their entirety.</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 second anniversary of the grant date, a prorated portion of the target number of PSUs will vest and convert into shares on the adjustment date equal to the product of (i) the target number of PSUs multiplied by (ii) a fraction, (A) the numerator of which is the total number of months the NEO was employed by the Company during the 5-year performance period (rounded up to the next whole month), and (B) the denominator of which is 60 months,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274955</wp:posOffset>
            </wp:positionV>
            <wp:extent cx="556895" cy="146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right="20" w:hanging="192"/>
        <w:spacing w:after="0" w:line="282" w:lineRule="auto"/>
        <w:tabs>
          <w:tab w:leader="none" w:pos="157" w:val="left"/>
        </w:tabs>
        <w:numPr>
          <w:ilvl w:val="0"/>
          <w:numId w:val="110"/>
        </w:numPr>
        <w:rPr>
          <w:rFonts w:ascii="Arial" w:cs="Arial" w:eastAsia="Arial" w:hAnsi="Arial"/>
          <w:sz w:val="16"/>
          <w:szCs w:val="16"/>
          <w:color w:val="00A798"/>
        </w:rPr>
      </w:pPr>
      <w:r>
        <w:rPr>
          <w:rFonts w:ascii="Arial" w:cs="Arial" w:eastAsia="Arial" w:hAnsi="Arial"/>
          <w:sz w:val="16"/>
          <w:szCs w:val="16"/>
          <w:i w:val="1"/>
          <w:iCs w:val="1"/>
          <w:color w:val="auto"/>
        </w:rPr>
        <w:t xml:space="preserve">PSOs. </w:t>
      </w:r>
      <w:r>
        <w:rPr>
          <w:rFonts w:ascii="Arial" w:cs="Arial" w:eastAsia="Arial" w:hAnsi="Arial"/>
          <w:sz w:val="16"/>
          <w:szCs w:val="16"/>
          <w:color w:val="auto"/>
        </w:rPr>
        <w:t>A prorated portion of the service condition will be deemed satisfied determined by dividing (i) the total number of months the NEO was employed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during the vesting period (rounded up for partial months) by (ii) 36 months. The number of prorated PSOs that become vested options (if any) will be determined based on actual performance through the end of the performance period. However, for NEOs who have achieved “62/10 Retirement Eligibility,” (i) the service condition will be deemed fully satisfied on the termination date and (ii) the number of PSOs that become vested options (if any) will be determined based on actual performance through the end of the performance period.</w:t>
      </w:r>
    </w:p>
    <w:p>
      <w:pPr>
        <w:spacing w:after="0" w:line="39" w:lineRule="exact"/>
        <w:rPr>
          <w:rFonts w:ascii="Arial" w:cs="Arial" w:eastAsia="Arial" w:hAnsi="Arial"/>
          <w:sz w:val="16"/>
          <w:szCs w:val="16"/>
          <w:color w:val="00A798"/>
        </w:rPr>
      </w:pPr>
    </w:p>
    <w:p>
      <w:pPr>
        <w:ind w:left="200" w:right="100" w:hanging="192"/>
        <w:spacing w:after="0" w:line="287" w:lineRule="auto"/>
        <w:tabs>
          <w:tab w:leader="none" w:pos="157" w:val="left"/>
        </w:tabs>
        <w:numPr>
          <w:ilvl w:val="0"/>
          <w:numId w:val="110"/>
        </w:numPr>
        <w:rPr>
          <w:rFonts w:ascii="Arial" w:cs="Arial" w:eastAsia="Arial" w:hAnsi="Arial"/>
          <w:sz w:val="16"/>
          <w:szCs w:val="16"/>
          <w:color w:val="00A798"/>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A prorated portion of the RSUs will vest and convert to shares on the vesting date equal to the product of (i) the total number of RSUs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award multiplied by (ii) a fraction, (A) the numerator of which is the total number of months the NEO was employed by the Company during the vesting period (rounded up to the next whole month) and (B) the denominator of which is 36 months. However, for NEOs who have achieved “62/10 Retirement Eligibility” (as defined in the applicable award agreement), the RSUs will fully vest on the date of termination and will convert to shares on the original payment schedule.</w:t>
      </w:r>
    </w:p>
    <w:p>
      <w:pPr>
        <w:spacing w:after="0" w:line="33" w:lineRule="exact"/>
        <w:rPr>
          <w:rFonts w:ascii="Arial" w:cs="Arial" w:eastAsia="Arial" w:hAnsi="Arial"/>
          <w:sz w:val="16"/>
          <w:szCs w:val="16"/>
          <w:color w:val="00A798"/>
        </w:rPr>
      </w:pPr>
    </w:p>
    <w:p>
      <w:pPr>
        <w:ind w:left="200" w:right="180" w:hanging="192"/>
        <w:spacing w:after="0" w:line="292" w:lineRule="auto"/>
        <w:tabs>
          <w:tab w:leader="none" w:pos="157" w:val="left"/>
        </w:tabs>
        <w:numPr>
          <w:ilvl w:val="0"/>
          <w:numId w:val="110"/>
        </w:numPr>
        <w:rPr>
          <w:rFonts w:ascii="Arial" w:cs="Arial" w:eastAsia="Arial" w:hAnsi="Arial"/>
          <w:sz w:val="16"/>
          <w:szCs w:val="16"/>
          <w:color w:val="00A798"/>
        </w:rPr>
      </w:pPr>
      <w:r>
        <w:rPr>
          <w:rFonts w:ascii="Arial" w:cs="Arial" w:eastAsia="Arial" w:hAnsi="Arial"/>
          <w:sz w:val="16"/>
          <w:szCs w:val="16"/>
          <w:i w:val="1"/>
          <w:iCs w:val="1"/>
          <w:color w:val="auto"/>
        </w:rPr>
        <w:t>PPOs</w:t>
      </w:r>
      <w:r>
        <w:rPr>
          <w:rFonts w:ascii="Arial" w:cs="Arial" w:eastAsia="Arial" w:hAnsi="Arial"/>
          <w:sz w:val="16"/>
          <w:szCs w:val="16"/>
          <w:color w:val="auto"/>
        </w:rPr>
        <w:t>. If the termination of employment occurs prior to the third anniversary of the grant date, a prorated portion of the PPOs will vest,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(i) the total number of months Mr. Fernandez was providing services to the Company between the grant date and the termination date (rounded up for partial months) by (ii) 36 months. Following the third anniversary of the grant date, the PPOs will be fully vested on the termination date.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Retirement</w:t>
      </w:r>
    </w:p>
    <w:p>
      <w:pPr>
        <w:spacing w:after="0" w:line="99"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Upon termination of an NEO’s employment in circumstances that makes him or her eligible for retirement treatment (based on the applicable award agreement):</w:t>
      </w:r>
    </w:p>
    <w:p>
      <w:pPr>
        <w:spacing w:after="0" w:line="88" w:lineRule="exact"/>
        <w:rPr>
          <w:sz w:val="20"/>
          <w:szCs w:val="20"/>
          <w:color w:val="auto"/>
        </w:rPr>
      </w:pPr>
    </w:p>
    <w:p>
      <w:pPr>
        <w:ind w:left="200" w:right="40" w:hanging="192"/>
        <w:spacing w:after="0" w:line="282" w:lineRule="auto"/>
        <w:tabs>
          <w:tab w:leader="none" w:pos="157" w:val="left"/>
        </w:tabs>
        <w:numPr>
          <w:ilvl w:val="0"/>
          <w:numId w:val="111"/>
        </w:numPr>
        <w:rPr>
          <w:rFonts w:ascii="Arial" w:cs="Arial" w:eastAsia="Arial" w:hAnsi="Arial"/>
          <w:sz w:val="16"/>
          <w:szCs w:val="16"/>
          <w:color w:val="00A798"/>
        </w:rPr>
      </w:pPr>
      <w:r>
        <w:rPr>
          <w:rFonts w:ascii="Arial" w:cs="Arial" w:eastAsia="Arial" w:hAnsi="Arial"/>
          <w:sz w:val="16"/>
          <w:szCs w:val="16"/>
          <w:i w:val="1"/>
          <w:iCs w:val="1"/>
          <w:color w:val="auto"/>
        </w:rPr>
        <w:t xml:space="preserve">PSUs. </w:t>
      </w:r>
      <w:r>
        <w:rPr>
          <w:rFonts w:ascii="Arial" w:cs="Arial" w:eastAsia="Arial" w:hAnsi="Arial"/>
          <w:sz w:val="16"/>
          <w:szCs w:val="16"/>
          <w:color w:val="auto"/>
        </w:rPr>
        <w:t>For NEOs who have achieved “Legacy Retirement Eligibility” or “55/10 Retirement Eligibility” but who have not achieved “62/10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a prorated portion of the target number of PSUs will vest and convert to shares on the adjustment date equal to the product of (i) the target number of PSUs multiplied by (ii) a fraction, (A) the numerator of which is the total number of months the NEO was employed by the Company during the 3- or 5-year performance period, as applicable (rounded up to the next whole month), and (B) the denominator of which is 36 or 60 months, as applicable,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25" w:lineRule="exact"/>
        <w:rPr>
          <w:rFonts w:ascii="Arial" w:cs="Arial" w:eastAsia="Arial" w:hAnsi="Arial"/>
          <w:sz w:val="16"/>
          <w:szCs w:val="16"/>
          <w:color w:val="00A798"/>
        </w:rPr>
      </w:pPr>
    </w:p>
    <w:p>
      <w:pPr>
        <w:ind w:left="200" w:right="60" w:hanging="192"/>
        <w:spacing w:after="0" w:line="282" w:lineRule="auto"/>
        <w:tabs>
          <w:tab w:leader="none" w:pos="157" w:val="left"/>
        </w:tabs>
        <w:numPr>
          <w:ilvl w:val="0"/>
          <w:numId w:val="111"/>
        </w:numPr>
        <w:rPr>
          <w:rFonts w:ascii="Arial" w:cs="Arial" w:eastAsia="Arial" w:hAnsi="Arial"/>
          <w:sz w:val="16"/>
          <w:szCs w:val="16"/>
          <w:color w:val="00A798"/>
        </w:rPr>
      </w:pPr>
      <w:r>
        <w:rPr>
          <w:rFonts w:ascii="Arial" w:cs="Arial" w:eastAsia="Arial" w:hAnsi="Arial"/>
          <w:sz w:val="16"/>
          <w:szCs w:val="16"/>
          <w:i w:val="1"/>
          <w:iCs w:val="1"/>
          <w:color w:val="auto"/>
        </w:rPr>
        <w:t xml:space="preserve">PSOs. </w:t>
      </w:r>
      <w:r>
        <w:rPr>
          <w:rFonts w:ascii="Arial" w:cs="Arial" w:eastAsia="Arial" w:hAnsi="Arial"/>
          <w:sz w:val="16"/>
          <w:szCs w:val="16"/>
          <w:color w:val="auto"/>
        </w:rPr>
        <w:t>For NEOs who have achieved “Legacy Retirement Eligibility” or “55/10 Retirement Eligibility” but who have not achieved “62/10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a prorated portion of the service condition will be deemed satisfied determined by dividing (i) the total number of months the NEO was employed by the Company during the 3-year performance vesting period (rounded up for partial months) by (ii) 36 months. The number of prorated PSOs that become vested options (if any) will be determined based on actual performance through the end of the performance period. For NEOs who have achieved “62/10 Retirement Termination” (as such term is defined in the applicable award agreement), the service condition will be deemed fully satisfied and the number of PSOs that become vested options (if any) will be determined by actual performance through the end of the performance period.</w:t>
      </w:r>
    </w:p>
    <w:p>
      <w:pPr>
        <w:spacing w:after="0" w:line="39" w:lineRule="exact"/>
        <w:rPr>
          <w:rFonts w:ascii="Arial" w:cs="Arial" w:eastAsia="Arial" w:hAnsi="Arial"/>
          <w:sz w:val="16"/>
          <w:szCs w:val="16"/>
          <w:color w:val="00A798"/>
        </w:rPr>
      </w:pPr>
    </w:p>
    <w:p>
      <w:pPr>
        <w:ind w:left="200" w:right="40" w:hanging="192"/>
        <w:spacing w:after="0" w:line="282" w:lineRule="auto"/>
        <w:tabs>
          <w:tab w:leader="none" w:pos="157" w:val="left"/>
        </w:tabs>
        <w:numPr>
          <w:ilvl w:val="0"/>
          <w:numId w:val="111"/>
        </w:numPr>
        <w:rPr>
          <w:rFonts w:ascii="Arial" w:cs="Arial" w:eastAsia="Arial" w:hAnsi="Arial"/>
          <w:sz w:val="16"/>
          <w:szCs w:val="16"/>
          <w:color w:val="00A798"/>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For NEOs who have achieved “Legacy Retirement Eligibility” or “55/10 Retirement Eligibility” (as such terms are defined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but who have not achieved “62/10 Retirement Eligibility,” a prorated portion of the RSUs will vest and convert to shares on the next regularly scheduled vesting date equal to the product of (i) the total number of RSUs granted pursuant to the award multiplied by (ii) a fraction, (A) the numerator of which is the total number of months the NEO was employed by the Company during the vesting period (rounded up to the next whole month) and (B) the denominator of which is 36 months. For NEOs who have achieved “62/10 Retirement Eligibility,” the RSUs will fully vest on the date of termination and will convert to shares on the original payment schedule.</w:t>
      </w:r>
    </w:p>
    <w:p>
      <w:pPr>
        <w:spacing w:after="0" w:line="39" w:lineRule="exact"/>
        <w:rPr>
          <w:rFonts w:ascii="Arial" w:cs="Arial" w:eastAsia="Arial" w:hAnsi="Arial"/>
          <w:sz w:val="16"/>
          <w:szCs w:val="16"/>
          <w:color w:val="00A798"/>
        </w:rPr>
      </w:pPr>
    </w:p>
    <w:p>
      <w:pPr>
        <w:ind w:left="160" w:hanging="152"/>
        <w:spacing w:after="0"/>
        <w:tabs>
          <w:tab w:leader="none" w:pos="160" w:val="left"/>
        </w:tabs>
        <w:numPr>
          <w:ilvl w:val="0"/>
          <w:numId w:val="111"/>
        </w:numPr>
        <w:rPr>
          <w:rFonts w:ascii="Arial" w:cs="Arial" w:eastAsia="Arial" w:hAnsi="Arial"/>
          <w:sz w:val="16"/>
          <w:szCs w:val="16"/>
          <w:color w:val="00A798"/>
        </w:rPr>
      </w:pPr>
      <w:r>
        <w:rPr>
          <w:rFonts w:ascii="Arial" w:cs="Arial" w:eastAsia="Arial" w:hAnsi="Arial"/>
          <w:sz w:val="16"/>
          <w:szCs w:val="16"/>
          <w:i w:val="1"/>
          <w:iCs w:val="1"/>
          <w:color w:val="auto"/>
        </w:rPr>
        <w:t>PPOs</w:t>
      </w:r>
      <w:r>
        <w:rPr>
          <w:rFonts w:ascii="Arial" w:cs="Arial" w:eastAsia="Arial" w:hAnsi="Arial"/>
          <w:sz w:val="16"/>
          <w:szCs w:val="16"/>
          <w:color w:val="auto"/>
        </w:rPr>
        <w:t>. There is no retirement treatment. The PPOs will be forfeited in their entirety upon any retirement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97</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Control</w:t>
      </w:r>
    </w:p>
    <w:p>
      <w:pPr>
        <w:spacing w:after="0" w:line="99"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In the event an NEO’s employment is terminated by MSCI without “cause” or by him or her for “good reason,” in each case, within 24 months following a “change in control” (as such terms are defined in the applicable award agreement):</w:t>
      </w:r>
    </w:p>
    <w:p>
      <w:pPr>
        <w:spacing w:after="0" w:line="101" w:lineRule="exact"/>
        <w:rPr>
          <w:sz w:val="20"/>
          <w:szCs w:val="20"/>
          <w:color w:val="auto"/>
        </w:rPr>
      </w:pPr>
    </w:p>
    <w:p>
      <w:pPr>
        <w:ind w:left="200" w:right="80" w:hanging="192"/>
        <w:spacing w:after="0" w:line="292" w:lineRule="auto"/>
        <w:tabs>
          <w:tab w:leader="none" w:pos="157" w:val="left"/>
        </w:tabs>
        <w:numPr>
          <w:ilvl w:val="0"/>
          <w:numId w:val="112"/>
        </w:numPr>
        <w:rPr>
          <w:rFonts w:ascii="Arial" w:cs="Arial" w:eastAsia="Arial" w:hAnsi="Arial"/>
          <w:sz w:val="16"/>
          <w:szCs w:val="16"/>
          <w:color w:val="00A798"/>
        </w:rPr>
      </w:pPr>
      <w:r>
        <w:rPr>
          <w:rFonts w:ascii="Arial" w:cs="Arial" w:eastAsia="Arial" w:hAnsi="Arial"/>
          <w:sz w:val="16"/>
          <w:szCs w:val="16"/>
          <w:i w:val="1"/>
          <w:iCs w:val="1"/>
          <w:color w:val="auto"/>
        </w:rPr>
        <w:t xml:space="preserve">PSUs. </w:t>
      </w:r>
      <w:r>
        <w:rPr>
          <w:rFonts w:ascii="Arial" w:cs="Arial" w:eastAsia="Arial" w:hAnsi="Arial"/>
          <w:sz w:val="16"/>
          <w:szCs w:val="16"/>
          <w:color w:val="auto"/>
        </w:rPr>
        <w:t>PSUs will vest and convert to shares within 60 days of the date of termination of employment, and the performance metrics will be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achieved at the greater of (i) the actual achievement of the performance metrics for the period commencing on the first day of the performance period and ending on the date immediately prior to the change in control and (ii) 100%.</w:t>
      </w:r>
    </w:p>
    <w:p>
      <w:pPr>
        <w:spacing w:after="0" w:line="30" w:lineRule="exact"/>
        <w:rPr>
          <w:rFonts w:ascii="Arial" w:cs="Arial" w:eastAsia="Arial" w:hAnsi="Arial"/>
          <w:sz w:val="16"/>
          <w:szCs w:val="16"/>
          <w:color w:val="00A798"/>
        </w:rPr>
      </w:pPr>
    </w:p>
    <w:p>
      <w:pPr>
        <w:ind w:left="200" w:right="80" w:hanging="192"/>
        <w:spacing w:after="0" w:line="292" w:lineRule="auto"/>
        <w:tabs>
          <w:tab w:leader="none" w:pos="157" w:val="left"/>
        </w:tabs>
        <w:numPr>
          <w:ilvl w:val="0"/>
          <w:numId w:val="112"/>
        </w:numPr>
        <w:rPr>
          <w:rFonts w:ascii="Arial" w:cs="Arial" w:eastAsia="Arial" w:hAnsi="Arial"/>
          <w:sz w:val="16"/>
          <w:szCs w:val="16"/>
          <w:color w:val="00A798"/>
        </w:rPr>
      </w:pPr>
      <w:r>
        <w:rPr>
          <w:rFonts w:ascii="Arial" w:cs="Arial" w:eastAsia="Arial" w:hAnsi="Arial"/>
          <w:sz w:val="16"/>
          <w:szCs w:val="16"/>
          <w:i w:val="1"/>
          <w:iCs w:val="1"/>
          <w:color w:val="auto"/>
        </w:rPr>
        <w:t xml:space="preserve">PSOs. </w:t>
      </w:r>
      <w:r>
        <w:rPr>
          <w:rFonts w:ascii="Arial" w:cs="Arial" w:eastAsia="Arial" w:hAnsi="Arial"/>
          <w:sz w:val="16"/>
          <w:szCs w:val="16"/>
          <w:color w:val="auto"/>
        </w:rPr>
        <w:t>PSOs will vest and become exercisable and the performance condition will be deemed to have been achieved at the greater of (i)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the performance condition for the period commencing on the first day of the performance period and ending on the date immediately prior to the change in control and (ii) 100%.</w:t>
      </w:r>
    </w:p>
    <w:p>
      <w:pPr>
        <w:spacing w:after="0" w:line="30" w:lineRule="exact"/>
        <w:rPr>
          <w:rFonts w:ascii="Arial" w:cs="Arial" w:eastAsia="Arial" w:hAnsi="Arial"/>
          <w:sz w:val="16"/>
          <w:szCs w:val="16"/>
          <w:color w:val="00A798"/>
        </w:rPr>
      </w:pPr>
    </w:p>
    <w:p>
      <w:pPr>
        <w:ind w:left="160" w:hanging="152"/>
        <w:spacing w:after="0"/>
        <w:tabs>
          <w:tab w:leader="none" w:pos="160" w:val="left"/>
        </w:tabs>
        <w:numPr>
          <w:ilvl w:val="0"/>
          <w:numId w:val="112"/>
        </w:numPr>
        <w:rPr>
          <w:rFonts w:ascii="Arial" w:cs="Arial" w:eastAsia="Arial" w:hAnsi="Arial"/>
          <w:sz w:val="16"/>
          <w:szCs w:val="16"/>
          <w:color w:val="00A798"/>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RSUs will vest and convert into shares within 60 days of the date of termination of employment.</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112"/>
        </w:numPr>
        <w:rPr>
          <w:rFonts w:ascii="Arial" w:cs="Arial" w:eastAsia="Arial" w:hAnsi="Arial"/>
          <w:sz w:val="16"/>
          <w:szCs w:val="16"/>
          <w:color w:val="00A798"/>
        </w:rPr>
      </w:pPr>
      <w:r>
        <w:rPr>
          <w:rFonts w:ascii="Arial" w:cs="Arial" w:eastAsia="Arial" w:hAnsi="Arial"/>
          <w:sz w:val="16"/>
          <w:szCs w:val="16"/>
          <w:i w:val="1"/>
          <w:iCs w:val="1"/>
          <w:color w:val="auto"/>
        </w:rPr>
        <w:t>PPOs</w:t>
      </w:r>
      <w:r>
        <w:rPr>
          <w:rFonts w:ascii="Arial" w:cs="Arial" w:eastAsia="Arial" w:hAnsi="Arial"/>
          <w:sz w:val="16"/>
          <w:szCs w:val="16"/>
          <w:color w:val="auto"/>
        </w:rPr>
        <w:t>. PPOs will vest and become exercisable within 60 days of the date of termination of employment.</w:t>
      </w:r>
    </w:p>
    <w:p>
      <w:pPr>
        <w:spacing w:after="0" w:line="16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Upon a “change in control,” if the applicable awards are not assumed or continued by the acquiror, the awards will vest in full (with applicable performance conditions deemed achieved at the greater of target and actual performance), regardless of whether the NEO experiences a qualifying termination of employment as described above.</w:t>
      </w:r>
    </w:p>
    <w:p>
      <w:pPr>
        <w:spacing w:after="0" w:line="97"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The following table represents the amounts to which our NEOs or their estates or representatives, as applicable, would have been entitled to receive had their employment been terminated on December 31, 2025 or had a change in control occurred on December 31, 2025.</w:t>
      </w:r>
    </w:p>
    <w:p>
      <w:pPr>
        <w:spacing w:after="0" w:line="19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Estimated Potential Payments upon Termination or Change in Control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jc w:val="right"/>
              <w:ind w:right="67"/>
              <w:spacing w:after="0"/>
              <w:rPr>
                <w:sz w:val="20"/>
                <w:szCs w:val="20"/>
                <w:color w:val="auto"/>
              </w:rPr>
            </w:pPr>
            <w:r>
              <w:rPr>
                <w:rFonts w:ascii="Arial" w:cs="Arial" w:eastAsia="Arial" w:hAnsi="Arial"/>
                <w:sz w:val="14"/>
                <w:szCs w:val="14"/>
                <w:b w:val="1"/>
                <w:bCs w:val="1"/>
                <w:color w:val="auto"/>
              </w:rPr>
              <w:t>Change in Control</w:t>
            </w:r>
          </w:p>
        </w:tc>
        <w:tc>
          <w:tcPr>
            <w:tcW w:w="1440" w:type="dxa"/>
            <w:vAlign w:val="bottom"/>
          </w:tcPr>
          <w:p>
            <w:pPr>
              <w:spacing w:after="0"/>
              <w:rPr>
                <w:sz w:val="17"/>
                <w:szCs w:val="17"/>
                <w:color w:val="auto"/>
              </w:rPr>
            </w:pPr>
          </w:p>
        </w:tc>
      </w:tr>
      <w:tr>
        <w:trPr>
          <w:trHeight w:val="29"/>
        </w:trPr>
        <w:tc>
          <w:tcPr>
            <w:tcW w:w="2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Borders>
              <w:bottom w:val="single" w:sz="8" w:color="1A3FD6"/>
            </w:tcBorders>
          </w:tcPr>
          <w:p>
            <w:pPr>
              <w:spacing w:after="0"/>
              <w:rPr>
                <w:sz w:val="2"/>
                <w:szCs w:val="2"/>
                <w:color w:val="auto"/>
              </w:rPr>
            </w:pPr>
          </w:p>
        </w:tc>
        <w:tc>
          <w:tcPr>
            <w:tcW w:w="1540" w:type="dxa"/>
            <w:vAlign w:val="bottom"/>
            <w:tcBorders>
              <w:bottom w:val="single" w:sz="8" w:color="1A3FD6"/>
            </w:tcBorders>
          </w:tcPr>
          <w:p>
            <w:pPr>
              <w:spacing w:after="0"/>
              <w:rPr>
                <w:sz w:val="2"/>
                <w:szCs w:val="2"/>
                <w:color w:val="auto"/>
              </w:rPr>
            </w:pPr>
          </w:p>
        </w:tc>
        <w:tc>
          <w:tcPr>
            <w:tcW w:w="1440" w:type="dxa"/>
            <w:vAlign w:val="bottom"/>
            <w:tcBorders>
              <w:bottom w:val="single" w:sz="8" w:color="1A3FD6"/>
            </w:tcBorders>
          </w:tcPr>
          <w:p>
            <w:pPr>
              <w:spacing w:after="0"/>
              <w:rPr>
                <w:sz w:val="2"/>
                <w:szCs w:val="2"/>
                <w:color w:val="auto"/>
              </w:rPr>
            </w:pPr>
          </w:p>
        </w:tc>
      </w:tr>
      <w:tr>
        <w:trPr>
          <w:trHeight w:val="200"/>
        </w:trPr>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Termination</w:t>
            </w:r>
          </w:p>
        </w:tc>
      </w:tr>
      <w:tr>
        <w:trPr>
          <w:trHeight w:val="175"/>
        </w:trPr>
        <w:tc>
          <w:tcPr>
            <w:tcW w:w="2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Without Cause</w:t>
            </w:r>
          </w:p>
        </w:tc>
      </w:tr>
      <w:tr>
        <w:trPr>
          <w:trHeight w:val="189"/>
        </w:trPr>
        <w:tc>
          <w:tcPr>
            <w:tcW w:w="2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jc w:val="right"/>
              <w:ind w:right="307"/>
              <w:spacing w:after="0"/>
              <w:rPr>
                <w:sz w:val="20"/>
                <w:szCs w:val="20"/>
                <w:color w:val="auto"/>
              </w:rPr>
            </w:pPr>
            <w:r>
              <w:rPr>
                <w:rFonts w:ascii="Arial" w:cs="Arial" w:eastAsia="Arial" w:hAnsi="Arial"/>
                <w:sz w:val="14"/>
                <w:szCs w:val="14"/>
                <w:b w:val="1"/>
                <w:bCs w:val="1"/>
                <w:color w:val="auto"/>
              </w:rPr>
              <w:t>Benefits and</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or for Good</w:t>
            </w:r>
          </w:p>
        </w:tc>
      </w:tr>
      <w:tr>
        <w:trPr>
          <w:trHeight w:val="189"/>
        </w:trPr>
        <w:tc>
          <w:tcPr>
            <w:tcW w:w="2160" w:type="dxa"/>
            <w:vAlign w:val="bottom"/>
          </w:tcPr>
          <w:p>
            <w:pPr>
              <w:spacing w:after="0"/>
              <w:rPr>
                <w:sz w:val="16"/>
                <w:szCs w:val="16"/>
                <w:color w:val="auto"/>
              </w:rPr>
            </w:pPr>
          </w:p>
        </w:tc>
        <w:tc>
          <w:tcPr>
            <w:tcW w:w="1740" w:type="dxa"/>
            <w:vAlign w:val="bottom"/>
          </w:tcPr>
          <w:p>
            <w:pPr>
              <w:jc w:val="right"/>
              <w:ind w:right="186"/>
              <w:spacing w:after="0"/>
              <w:rPr>
                <w:sz w:val="20"/>
                <w:szCs w:val="20"/>
                <w:color w:val="auto"/>
              </w:rPr>
            </w:pPr>
            <w:r>
              <w:rPr>
                <w:rFonts w:ascii="Arial" w:cs="Arial" w:eastAsia="Arial" w:hAnsi="Arial"/>
                <w:sz w:val="14"/>
                <w:szCs w:val="14"/>
                <w:b w:val="1"/>
                <w:bCs w:val="1"/>
                <w:color w:val="auto"/>
              </w:rPr>
              <w:t>Involuntary</w:t>
            </w:r>
          </w:p>
        </w:tc>
        <w:tc>
          <w:tcPr>
            <w:tcW w:w="1600" w:type="dxa"/>
            <w:vAlign w:val="bottom"/>
          </w:tcPr>
          <w:p>
            <w:pPr>
              <w:jc w:val="right"/>
              <w:ind w:right="186"/>
              <w:spacing w:after="0"/>
              <w:rPr>
                <w:sz w:val="20"/>
                <w:szCs w:val="20"/>
                <w:color w:val="auto"/>
              </w:rPr>
            </w:pPr>
            <w:r>
              <w:rPr>
                <w:rFonts w:ascii="Arial" w:cs="Arial" w:eastAsia="Arial" w:hAnsi="Arial"/>
                <w:sz w:val="14"/>
                <w:szCs w:val="14"/>
                <w:b w:val="1"/>
                <w:bCs w:val="1"/>
                <w:color w:val="auto"/>
              </w:rPr>
              <w:t>Termination</w:t>
            </w: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tcPr>
          <w:p>
            <w:pPr>
              <w:jc w:val="right"/>
              <w:ind w:right="307"/>
              <w:spacing w:after="0"/>
              <w:rPr>
                <w:sz w:val="20"/>
                <w:szCs w:val="20"/>
                <w:color w:val="auto"/>
              </w:rPr>
            </w:pPr>
            <w:r>
              <w:rPr>
                <w:rFonts w:ascii="Arial" w:cs="Arial" w:eastAsia="Arial" w:hAnsi="Arial"/>
                <w:sz w:val="14"/>
                <w:szCs w:val="14"/>
                <w:b w:val="1"/>
                <w:bCs w:val="1"/>
                <w:color w:val="auto"/>
              </w:rPr>
              <w:t>Perquisites -</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Reason (Following</w:t>
            </w:r>
          </w:p>
        </w:tc>
      </w:tr>
      <w:tr>
        <w:trPr>
          <w:trHeight w:val="189"/>
        </w:trPr>
        <w:tc>
          <w:tcPr>
            <w:tcW w:w="2160" w:type="dxa"/>
            <w:vAlign w:val="bottom"/>
          </w:tcPr>
          <w:p>
            <w:pPr>
              <w:spacing w:after="0"/>
              <w:rPr>
                <w:sz w:val="16"/>
                <w:szCs w:val="16"/>
                <w:color w:val="auto"/>
              </w:rPr>
            </w:pPr>
          </w:p>
        </w:tc>
        <w:tc>
          <w:tcPr>
            <w:tcW w:w="1740" w:type="dxa"/>
            <w:vAlign w:val="bottom"/>
          </w:tcPr>
          <w:p>
            <w:pPr>
              <w:jc w:val="right"/>
              <w:ind w:right="186"/>
              <w:spacing w:after="0"/>
              <w:rPr>
                <w:sz w:val="20"/>
                <w:szCs w:val="20"/>
                <w:color w:val="auto"/>
              </w:rPr>
            </w:pPr>
            <w:r>
              <w:rPr>
                <w:rFonts w:ascii="Arial" w:cs="Arial" w:eastAsia="Arial" w:hAnsi="Arial"/>
                <w:sz w:val="14"/>
                <w:szCs w:val="14"/>
                <w:b w:val="1"/>
                <w:bCs w:val="1"/>
                <w:color w:val="auto"/>
              </w:rPr>
              <w:t>Termination</w:t>
            </w:r>
          </w:p>
        </w:tc>
        <w:tc>
          <w:tcPr>
            <w:tcW w:w="1600" w:type="dxa"/>
            <w:vAlign w:val="bottom"/>
          </w:tcPr>
          <w:p>
            <w:pPr>
              <w:jc w:val="right"/>
              <w:ind w:right="186"/>
              <w:spacing w:after="0"/>
              <w:rPr>
                <w:sz w:val="20"/>
                <w:szCs w:val="20"/>
                <w:color w:val="auto"/>
              </w:rPr>
            </w:pPr>
            <w:r>
              <w:rPr>
                <w:rFonts w:ascii="Arial" w:cs="Arial" w:eastAsia="Arial" w:hAnsi="Arial"/>
                <w:sz w:val="14"/>
                <w:szCs w:val="14"/>
                <w:b w:val="1"/>
                <w:bCs w:val="1"/>
                <w:color w:val="auto"/>
              </w:rPr>
              <w:t>Due to Death,</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Qualified</w:t>
            </w:r>
          </w:p>
        </w:tc>
        <w:tc>
          <w:tcPr>
            <w:tcW w:w="1420" w:type="dxa"/>
            <w:vAlign w:val="bottom"/>
          </w:tcPr>
          <w:p>
            <w:pPr>
              <w:spacing w:after="0"/>
              <w:rPr>
                <w:sz w:val="16"/>
                <w:szCs w:val="16"/>
                <w:color w:val="auto"/>
              </w:rPr>
            </w:pPr>
          </w:p>
        </w:tc>
        <w:tc>
          <w:tcPr>
            <w:tcW w:w="1540" w:type="dxa"/>
            <w:vAlign w:val="bottom"/>
          </w:tcPr>
          <w:p>
            <w:pPr>
              <w:jc w:val="right"/>
              <w:ind w:right="307"/>
              <w:spacing w:after="0"/>
              <w:rPr>
                <w:sz w:val="20"/>
                <w:szCs w:val="20"/>
                <w:color w:val="auto"/>
              </w:rPr>
            </w:pPr>
            <w:r>
              <w:rPr>
                <w:rFonts w:ascii="Arial" w:cs="Arial" w:eastAsia="Arial" w:hAnsi="Arial"/>
                <w:sz w:val="14"/>
                <w:szCs w:val="14"/>
                <w:b w:val="1"/>
                <w:bCs w:val="1"/>
                <w:color w:val="auto"/>
              </w:rPr>
              <w:t>Cobra / UK</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a Change</w:t>
            </w:r>
          </w:p>
        </w:tc>
      </w:tr>
      <w:tr>
        <w:trPr>
          <w:trHeight w:val="189"/>
        </w:trPr>
        <w:tc>
          <w:tcPr>
            <w:tcW w:w="2160" w:type="dxa"/>
            <w:vAlign w:val="bottom"/>
          </w:tcPr>
          <w:p>
            <w:pPr>
              <w:spacing w:after="0"/>
              <w:rPr>
                <w:sz w:val="16"/>
                <w:szCs w:val="16"/>
                <w:color w:val="auto"/>
              </w:rPr>
            </w:pPr>
          </w:p>
        </w:tc>
        <w:tc>
          <w:tcPr>
            <w:tcW w:w="1740" w:type="dxa"/>
            <w:vAlign w:val="bottom"/>
          </w:tcPr>
          <w:p>
            <w:pPr>
              <w:jc w:val="right"/>
              <w:ind w:right="186"/>
              <w:spacing w:after="0"/>
              <w:rPr>
                <w:sz w:val="20"/>
                <w:szCs w:val="20"/>
                <w:color w:val="auto"/>
              </w:rPr>
            </w:pPr>
            <w:r>
              <w:rPr>
                <w:rFonts w:ascii="Arial" w:cs="Arial" w:eastAsia="Arial" w:hAnsi="Arial"/>
                <w:sz w:val="14"/>
                <w:szCs w:val="14"/>
                <w:b w:val="1"/>
                <w:bCs w:val="1"/>
                <w:color w:val="auto"/>
              </w:rPr>
              <w:t>Without Cause-</w:t>
            </w:r>
          </w:p>
        </w:tc>
        <w:tc>
          <w:tcPr>
            <w:tcW w:w="1600" w:type="dxa"/>
            <w:vAlign w:val="bottom"/>
          </w:tcPr>
          <w:p>
            <w:pPr>
              <w:jc w:val="right"/>
              <w:ind w:right="186"/>
              <w:spacing w:after="0"/>
              <w:rPr>
                <w:sz w:val="20"/>
                <w:szCs w:val="20"/>
                <w:color w:val="auto"/>
              </w:rPr>
            </w:pPr>
            <w:r>
              <w:rPr>
                <w:rFonts w:ascii="Arial" w:cs="Arial" w:eastAsia="Arial" w:hAnsi="Arial"/>
                <w:sz w:val="14"/>
                <w:szCs w:val="14"/>
                <w:b w:val="1"/>
                <w:bCs w:val="1"/>
                <w:color w:val="auto"/>
              </w:rPr>
              <w:t>Disability-</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Retirement-</w:t>
            </w:r>
          </w:p>
        </w:tc>
        <w:tc>
          <w:tcPr>
            <w:tcW w:w="1420" w:type="dxa"/>
            <w:vAlign w:val="bottom"/>
          </w:tcPr>
          <w:p>
            <w:pPr>
              <w:spacing w:after="0"/>
              <w:rPr>
                <w:sz w:val="16"/>
                <w:szCs w:val="16"/>
                <w:color w:val="auto"/>
              </w:rPr>
            </w:pPr>
          </w:p>
        </w:tc>
        <w:tc>
          <w:tcPr>
            <w:tcW w:w="1540" w:type="dxa"/>
            <w:vAlign w:val="bottom"/>
          </w:tcPr>
          <w:p>
            <w:pPr>
              <w:jc w:val="right"/>
              <w:ind w:right="307"/>
              <w:spacing w:after="0"/>
              <w:rPr>
                <w:sz w:val="20"/>
                <w:szCs w:val="20"/>
                <w:color w:val="auto"/>
              </w:rPr>
            </w:pPr>
            <w:r>
              <w:rPr>
                <w:rFonts w:ascii="Arial" w:cs="Arial" w:eastAsia="Arial" w:hAnsi="Arial"/>
                <w:sz w:val="14"/>
                <w:szCs w:val="14"/>
                <w:b w:val="1"/>
                <w:bCs w:val="1"/>
                <w:color w:val="auto"/>
              </w:rPr>
              <w:t>Medical</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in Control)-Equity</w:t>
            </w:r>
          </w:p>
        </w:tc>
      </w:tr>
      <w:tr>
        <w:trPr>
          <w:trHeight w:val="189"/>
        </w:trPr>
        <w:tc>
          <w:tcPr>
            <w:tcW w:w="2160" w:type="dxa"/>
            <w:vAlign w:val="bottom"/>
          </w:tcPr>
          <w:p>
            <w:pPr>
              <w:spacing w:after="0"/>
              <w:rPr>
                <w:sz w:val="16"/>
                <w:szCs w:val="16"/>
                <w:color w:val="auto"/>
              </w:rPr>
            </w:pPr>
          </w:p>
        </w:tc>
        <w:tc>
          <w:tcPr>
            <w:tcW w:w="1740" w:type="dxa"/>
            <w:vAlign w:val="bottom"/>
          </w:tcPr>
          <w:p>
            <w:pPr>
              <w:jc w:val="right"/>
              <w:ind w:right="186"/>
              <w:spacing w:after="0"/>
              <w:rPr>
                <w:sz w:val="20"/>
                <w:szCs w:val="20"/>
                <w:color w:val="auto"/>
              </w:rPr>
            </w:pPr>
            <w:r>
              <w:rPr>
                <w:rFonts w:ascii="Arial" w:cs="Arial" w:eastAsia="Arial" w:hAnsi="Arial"/>
                <w:sz w:val="14"/>
                <w:szCs w:val="14"/>
                <w:b w:val="1"/>
                <w:bCs w:val="1"/>
                <w:color w:val="auto"/>
              </w:rPr>
              <w:t>Equity at Target</w:t>
            </w:r>
          </w:p>
        </w:tc>
        <w:tc>
          <w:tcPr>
            <w:tcW w:w="1600" w:type="dxa"/>
            <w:vAlign w:val="bottom"/>
          </w:tcPr>
          <w:p>
            <w:pPr>
              <w:jc w:val="right"/>
              <w:ind w:right="186"/>
              <w:spacing w:after="0"/>
              <w:rPr>
                <w:sz w:val="20"/>
                <w:szCs w:val="20"/>
                <w:color w:val="auto"/>
              </w:rPr>
            </w:pPr>
            <w:r>
              <w:rPr>
                <w:rFonts w:ascii="Arial" w:cs="Arial" w:eastAsia="Arial" w:hAnsi="Arial"/>
                <w:sz w:val="14"/>
                <w:szCs w:val="14"/>
                <w:b w:val="1"/>
                <w:bCs w:val="1"/>
                <w:color w:val="auto"/>
              </w:rPr>
              <w:t>Equity at Target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Equity at Target</w:t>
            </w:r>
          </w:p>
        </w:tc>
        <w:tc>
          <w:tcPr>
            <w:tcW w:w="1420" w:type="dxa"/>
            <w:vAlign w:val="bottom"/>
          </w:tcPr>
          <w:p>
            <w:pPr>
              <w:jc w:val="right"/>
              <w:ind w:right="86"/>
              <w:spacing w:after="0"/>
              <w:rPr>
                <w:sz w:val="20"/>
                <w:szCs w:val="20"/>
                <w:color w:val="auto"/>
              </w:rPr>
            </w:pPr>
            <w:r>
              <w:rPr>
                <w:rFonts w:ascii="Arial" w:cs="Arial" w:eastAsia="Arial" w:hAnsi="Arial"/>
                <w:sz w:val="14"/>
                <w:szCs w:val="14"/>
                <w:b w:val="1"/>
                <w:bCs w:val="1"/>
                <w:color w:val="auto"/>
              </w:rPr>
              <w:t>Cash</w:t>
            </w:r>
          </w:p>
        </w:tc>
        <w:tc>
          <w:tcPr>
            <w:tcW w:w="1540" w:type="dxa"/>
            <w:vAlign w:val="bottom"/>
          </w:tcPr>
          <w:p>
            <w:pPr>
              <w:jc w:val="right"/>
              <w:ind w:right="307"/>
              <w:spacing w:after="0"/>
              <w:rPr>
                <w:sz w:val="20"/>
                <w:szCs w:val="20"/>
                <w:color w:val="auto"/>
              </w:rPr>
            </w:pPr>
            <w:r>
              <w:rPr>
                <w:rFonts w:ascii="Arial" w:cs="Arial" w:eastAsia="Arial" w:hAnsi="Arial"/>
                <w:sz w:val="14"/>
                <w:szCs w:val="14"/>
                <w:b w:val="1"/>
                <w:bCs w:val="1"/>
                <w:color w:val="auto"/>
              </w:rPr>
              <w:t>Continuation</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at Target</w:t>
            </w:r>
          </w:p>
        </w:tc>
      </w:tr>
      <w:tr>
        <w:trPr>
          <w:trHeight w:val="175"/>
        </w:trPr>
        <w:tc>
          <w:tcPr>
            <w:tcW w:w="2160" w:type="dxa"/>
            <w:vAlign w:val="bottom"/>
          </w:tcPr>
          <w:p>
            <w:pPr>
              <w:spacing w:after="0"/>
              <w:rPr>
                <w:sz w:val="15"/>
                <w:szCs w:val="15"/>
                <w:color w:val="auto"/>
              </w:rPr>
            </w:pPr>
          </w:p>
        </w:tc>
        <w:tc>
          <w:tcPr>
            <w:tcW w:w="1740" w:type="dxa"/>
            <w:vAlign w:val="bottom"/>
          </w:tcPr>
          <w:p>
            <w:pPr>
              <w:jc w:val="right"/>
              <w:ind w:right="186"/>
              <w:spacing w:after="0"/>
              <w:rPr>
                <w:sz w:val="20"/>
                <w:szCs w:val="20"/>
                <w:color w:val="auto"/>
              </w:rPr>
            </w:pPr>
            <w:r>
              <w:rPr>
                <w:rFonts w:ascii="Arial" w:cs="Arial" w:eastAsia="Arial" w:hAnsi="Arial"/>
                <w:sz w:val="14"/>
                <w:szCs w:val="14"/>
                <w:b w:val="1"/>
                <w:bCs w:val="1"/>
                <w:color w:val="auto"/>
              </w:rPr>
              <w:t>Performance</w:t>
            </w:r>
          </w:p>
        </w:tc>
        <w:tc>
          <w:tcPr>
            <w:tcW w:w="1600" w:type="dxa"/>
            <w:vAlign w:val="bottom"/>
          </w:tcPr>
          <w:p>
            <w:pPr>
              <w:jc w:val="right"/>
              <w:ind w:right="186"/>
              <w:spacing w:after="0"/>
              <w:rPr>
                <w:sz w:val="20"/>
                <w:szCs w:val="20"/>
                <w:color w:val="auto"/>
              </w:rPr>
            </w:pPr>
            <w:r>
              <w:rPr>
                <w:rFonts w:ascii="Arial" w:cs="Arial" w:eastAsia="Arial" w:hAnsi="Arial"/>
                <w:sz w:val="14"/>
                <w:szCs w:val="14"/>
                <w:b w:val="1"/>
                <w:bCs w:val="1"/>
                <w:color w:val="auto"/>
              </w:rPr>
              <w:t>Performance</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1420" w:type="dxa"/>
            <w:vAlign w:val="bottom"/>
          </w:tcPr>
          <w:p>
            <w:pPr>
              <w:jc w:val="right"/>
              <w:ind w:right="86"/>
              <w:spacing w:after="0"/>
              <w:rPr>
                <w:sz w:val="20"/>
                <w:szCs w:val="20"/>
                <w:color w:val="auto"/>
              </w:rPr>
            </w:pPr>
            <w:r>
              <w:rPr>
                <w:rFonts w:ascii="Arial" w:cs="Arial" w:eastAsia="Arial" w:hAnsi="Arial"/>
                <w:sz w:val="14"/>
                <w:szCs w:val="14"/>
                <w:b w:val="1"/>
                <w:bCs w:val="1"/>
                <w:color w:val="auto"/>
              </w:rPr>
              <w:t>Severance</w:t>
            </w:r>
          </w:p>
        </w:tc>
        <w:tc>
          <w:tcPr>
            <w:tcW w:w="1540" w:type="dxa"/>
            <w:vAlign w:val="bottom"/>
          </w:tcPr>
          <w:p>
            <w:pPr>
              <w:jc w:val="right"/>
              <w:ind w:right="307"/>
              <w:spacing w:after="0"/>
              <w:rPr>
                <w:sz w:val="20"/>
                <w:szCs w:val="20"/>
                <w:color w:val="auto"/>
              </w:rPr>
            </w:pPr>
            <w:r>
              <w:rPr>
                <w:rFonts w:ascii="Arial" w:cs="Arial" w:eastAsia="Arial" w:hAnsi="Arial"/>
                <w:sz w:val="14"/>
                <w:szCs w:val="14"/>
                <w:b w:val="1"/>
                <w:bCs w:val="1"/>
                <w:color w:val="auto"/>
              </w:rPr>
              <w:t>Premiums</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r>
      <w:tr>
        <w:trPr>
          <w:trHeight w:val="239"/>
        </w:trPr>
        <w:tc>
          <w:tcPr>
            <w:tcW w:w="21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8"/>
                <w:szCs w:val="18"/>
                <w:b w:val="1"/>
                <w:bCs w:val="1"/>
                <w:color w:val="auto"/>
                <w:vertAlign w:val="superscript"/>
              </w:rPr>
              <w:t>(1)</w:t>
            </w:r>
          </w:p>
        </w:tc>
        <w:tc>
          <w:tcPr>
            <w:tcW w:w="1740" w:type="dxa"/>
            <w:vAlign w:val="bottom"/>
            <w:tcBorders>
              <w:bottom w:val="single" w:sz="8" w:color="1A3FD6"/>
            </w:tcBorders>
          </w:tcPr>
          <w:p>
            <w:pPr>
              <w:jc w:val="right"/>
              <w:ind w:right="186"/>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9"/>
                <w:szCs w:val="9"/>
                <w:b w:val="1"/>
                <w:bCs w:val="1"/>
                <w:color w:val="auto"/>
              </w:rPr>
              <w:t>(1)(2)</w:t>
            </w:r>
          </w:p>
        </w:tc>
        <w:tc>
          <w:tcPr>
            <w:tcW w:w="1600" w:type="dxa"/>
            <w:vAlign w:val="bottom"/>
            <w:tcBorders>
              <w:bottom w:val="single" w:sz="8" w:color="1A3FD6"/>
            </w:tcBorders>
          </w:tcPr>
          <w:p>
            <w:pPr>
              <w:jc w:val="right"/>
              <w:ind w:right="186"/>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9"/>
                <w:szCs w:val="9"/>
                <w:b w:val="1"/>
                <w:bCs w:val="1"/>
                <w:color w:val="auto"/>
              </w:rPr>
              <w:t>(1)(3)</w:t>
            </w:r>
          </w:p>
        </w:tc>
        <w:tc>
          <w:tcPr>
            <w:tcW w:w="1340" w:type="dxa"/>
            <w:vAlign w:val="bottom"/>
            <w:tcBorders>
              <w:bottom w:val="single" w:sz="8" w:color="1A3FD6"/>
            </w:tcBorders>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9"/>
                <w:szCs w:val="9"/>
                <w:b w:val="1"/>
                <w:bCs w:val="1"/>
                <w:color w:val="auto"/>
              </w:rPr>
              <w:t>(1)(4)</w:t>
            </w:r>
          </w:p>
        </w:tc>
        <w:tc>
          <w:tcPr>
            <w:tcW w:w="1420" w:type="dxa"/>
            <w:vAlign w:val="bottom"/>
            <w:tcBorders>
              <w:bottom w:val="single" w:sz="8" w:color="1A3FD6"/>
            </w:tcBorders>
          </w:tcPr>
          <w:p>
            <w:pPr>
              <w:jc w:val="right"/>
              <w:ind w:right="86"/>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9"/>
                <w:szCs w:val="9"/>
                <w:b w:val="1"/>
                <w:bCs w:val="1"/>
                <w:color w:val="auto"/>
              </w:rPr>
              <w:t>(5)</w:t>
            </w:r>
          </w:p>
        </w:tc>
        <w:tc>
          <w:tcPr>
            <w:tcW w:w="1540" w:type="dxa"/>
            <w:vAlign w:val="bottom"/>
            <w:tcBorders>
              <w:bottom w:val="single" w:sz="8" w:color="1A3FD6"/>
            </w:tcBorders>
          </w:tcPr>
          <w:p>
            <w:pPr>
              <w:jc w:val="right"/>
              <w:ind w:right="307"/>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9"/>
                <w:szCs w:val="9"/>
                <w:b w:val="1"/>
                <w:bCs w:val="1"/>
                <w:color w:val="auto"/>
              </w:rPr>
              <w:t>(6)</w:t>
            </w:r>
          </w:p>
        </w:tc>
        <w:tc>
          <w:tcPr>
            <w:tcW w:w="1440" w:type="dxa"/>
            <w:vAlign w:val="bottom"/>
            <w:tcBorders>
              <w:bottom w:val="single" w:sz="8" w:color="1A3FD6"/>
            </w:tcBorders>
          </w:tcPr>
          <w:p>
            <w:pPr>
              <w:jc w:val="right"/>
              <w:spacing w:after="0" w:line="239"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9"/>
                <w:szCs w:val="9"/>
                <w:b w:val="1"/>
                <w:bCs w:val="1"/>
                <w:color w:val="auto"/>
              </w:rPr>
              <w:t>(1)(7)</w:t>
            </w:r>
          </w:p>
        </w:tc>
      </w:tr>
      <w:tr>
        <w:trPr>
          <w:trHeight w:val="229"/>
        </w:trPr>
        <w:tc>
          <w:tcPr>
            <w:tcW w:w="216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740" w:type="dxa"/>
            <w:vAlign w:val="bottom"/>
          </w:tcPr>
          <w:p>
            <w:pPr>
              <w:jc w:val="right"/>
              <w:ind w:right="246"/>
              <w:spacing w:after="0"/>
              <w:rPr>
                <w:sz w:val="20"/>
                <w:szCs w:val="20"/>
                <w:color w:val="auto"/>
              </w:rPr>
            </w:pPr>
            <w:r>
              <w:rPr>
                <w:rFonts w:ascii="Arial" w:cs="Arial" w:eastAsia="Arial" w:hAnsi="Arial"/>
                <w:sz w:val="16"/>
                <w:szCs w:val="16"/>
                <w:color w:val="auto"/>
              </w:rPr>
              <w:t>23,732,897</w:t>
            </w:r>
          </w:p>
        </w:tc>
        <w:tc>
          <w:tcPr>
            <w:tcW w:w="1600" w:type="dxa"/>
            <w:vAlign w:val="bottom"/>
          </w:tcPr>
          <w:p>
            <w:pPr>
              <w:jc w:val="right"/>
              <w:ind w:right="246"/>
              <w:spacing w:after="0"/>
              <w:rPr>
                <w:sz w:val="20"/>
                <w:szCs w:val="20"/>
                <w:color w:val="auto"/>
              </w:rPr>
            </w:pPr>
            <w:r>
              <w:rPr>
                <w:rFonts w:ascii="Arial" w:cs="Arial" w:eastAsia="Arial" w:hAnsi="Arial"/>
                <w:sz w:val="16"/>
                <w:szCs w:val="16"/>
                <w:color w:val="auto"/>
              </w:rPr>
              <w:t>23,732,897</w:t>
            </w:r>
          </w:p>
        </w:tc>
        <w:tc>
          <w:tcPr>
            <w:tcW w:w="1340" w:type="dxa"/>
            <w:vAlign w:val="bottom"/>
          </w:tcPr>
          <w:p>
            <w:pPr>
              <w:jc w:val="right"/>
              <w:spacing w:after="0"/>
              <w:rPr>
                <w:sz w:val="20"/>
                <w:szCs w:val="20"/>
                <w:color w:val="auto"/>
              </w:rPr>
            </w:pPr>
            <w:r>
              <w:rPr>
                <w:rFonts w:ascii="Arial" w:cs="Arial" w:eastAsia="Arial" w:hAnsi="Arial"/>
                <w:sz w:val="16"/>
                <w:szCs w:val="16"/>
                <w:color w:val="auto"/>
              </w:rPr>
              <w:t>23,732,897</w:t>
            </w:r>
          </w:p>
        </w:tc>
        <w:tc>
          <w:tcPr>
            <w:tcW w:w="1420" w:type="dxa"/>
            <w:vAlign w:val="bottom"/>
          </w:tcPr>
          <w:p>
            <w:pPr>
              <w:jc w:val="right"/>
              <w:ind w:right="146"/>
              <w:spacing w:after="0"/>
              <w:rPr>
                <w:sz w:val="20"/>
                <w:szCs w:val="20"/>
                <w:color w:val="auto"/>
              </w:rPr>
            </w:pPr>
            <w:r>
              <w:rPr>
                <w:rFonts w:ascii="Arial" w:cs="Arial" w:eastAsia="Arial" w:hAnsi="Arial"/>
                <w:sz w:val="16"/>
                <w:szCs w:val="16"/>
                <w:color w:val="auto"/>
              </w:rPr>
              <w:t>4,769,666</w:t>
            </w:r>
          </w:p>
        </w:tc>
        <w:tc>
          <w:tcPr>
            <w:tcW w:w="1540" w:type="dxa"/>
            <w:vAlign w:val="bottom"/>
          </w:tcPr>
          <w:p>
            <w:pPr>
              <w:jc w:val="right"/>
              <w:ind w:right="367"/>
              <w:spacing w:after="0"/>
              <w:rPr>
                <w:sz w:val="20"/>
                <w:szCs w:val="20"/>
                <w:color w:val="auto"/>
              </w:rPr>
            </w:pPr>
            <w:r>
              <w:rPr>
                <w:rFonts w:ascii="Arial" w:cs="Arial" w:eastAsia="Arial" w:hAnsi="Arial"/>
                <w:sz w:val="16"/>
                <w:szCs w:val="16"/>
                <w:color w:val="auto"/>
              </w:rPr>
              <w:t>87,880</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23,732,897</w:t>
            </w:r>
          </w:p>
        </w:tc>
      </w:tr>
      <w:tr>
        <w:trPr>
          <w:trHeight w:val="35"/>
        </w:trPr>
        <w:tc>
          <w:tcPr>
            <w:tcW w:w="216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6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1540" w:type="dxa"/>
            <w:vAlign w:val="bottom"/>
            <w:tcBorders>
              <w:bottom w:val="single" w:sz="8" w:color="E6E7E8"/>
            </w:tcBorders>
          </w:tcPr>
          <w:p>
            <w:pPr>
              <w:spacing w:after="0"/>
              <w:rPr>
                <w:sz w:val="3"/>
                <w:szCs w:val="3"/>
                <w:color w:val="auto"/>
              </w:rPr>
            </w:pPr>
          </w:p>
        </w:tc>
        <w:tc>
          <w:tcPr>
            <w:tcW w:w="1440" w:type="dxa"/>
            <w:vAlign w:val="bottom"/>
            <w:tcBorders>
              <w:bottom w:val="single" w:sz="8" w:color="E6E7E8"/>
            </w:tcBorders>
          </w:tcPr>
          <w:p>
            <w:pPr>
              <w:spacing w:after="0"/>
              <w:rPr>
                <w:sz w:val="3"/>
                <w:szCs w:val="3"/>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740" w:type="dxa"/>
            <w:vAlign w:val="bottom"/>
          </w:tcPr>
          <w:p>
            <w:pPr>
              <w:jc w:val="right"/>
              <w:ind w:right="246"/>
              <w:spacing w:after="0"/>
              <w:rPr>
                <w:sz w:val="20"/>
                <w:szCs w:val="20"/>
                <w:color w:val="auto"/>
              </w:rPr>
            </w:pPr>
            <w:r>
              <w:rPr>
                <w:rFonts w:ascii="Arial" w:cs="Arial" w:eastAsia="Arial" w:hAnsi="Arial"/>
                <w:sz w:val="16"/>
                <w:szCs w:val="16"/>
                <w:color w:val="auto"/>
              </w:rPr>
              <w:t>3,663,538</w:t>
            </w:r>
          </w:p>
        </w:tc>
        <w:tc>
          <w:tcPr>
            <w:tcW w:w="1600" w:type="dxa"/>
            <w:vAlign w:val="bottom"/>
          </w:tcPr>
          <w:p>
            <w:pPr>
              <w:jc w:val="right"/>
              <w:ind w:right="246"/>
              <w:spacing w:after="0"/>
              <w:rPr>
                <w:sz w:val="20"/>
                <w:szCs w:val="20"/>
                <w:color w:val="auto"/>
              </w:rPr>
            </w:pPr>
            <w:r>
              <w:rPr>
                <w:rFonts w:ascii="Arial" w:cs="Arial" w:eastAsia="Arial" w:hAnsi="Arial"/>
                <w:sz w:val="16"/>
                <w:szCs w:val="16"/>
                <w:color w:val="auto"/>
              </w:rPr>
              <w:t>5,535,322</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6"/>
              <w:spacing w:after="0"/>
              <w:rPr>
                <w:sz w:val="20"/>
                <w:szCs w:val="20"/>
                <w:color w:val="auto"/>
              </w:rPr>
            </w:pPr>
            <w:r>
              <w:rPr>
                <w:rFonts w:ascii="Arial" w:cs="Arial" w:eastAsia="Arial" w:hAnsi="Arial"/>
                <w:sz w:val="16"/>
                <w:szCs w:val="16"/>
                <w:color w:val="auto"/>
              </w:rPr>
              <w:t>2,683,753</w:t>
            </w:r>
          </w:p>
        </w:tc>
        <w:tc>
          <w:tcPr>
            <w:tcW w:w="1540" w:type="dxa"/>
            <w:vAlign w:val="bottom"/>
          </w:tcPr>
          <w:p>
            <w:pPr>
              <w:jc w:val="right"/>
              <w:ind w:right="367"/>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5,535,322</w:t>
            </w:r>
          </w:p>
        </w:tc>
      </w:tr>
      <w:tr>
        <w:trPr>
          <w:trHeight w:val="35"/>
        </w:trPr>
        <w:tc>
          <w:tcPr>
            <w:tcW w:w="216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6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1540" w:type="dxa"/>
            <w:vAlign w:val="bottom"/>
            <w:tcBorders>
              <w:bottom w:val="single" w:sz="8" w:color="E6E7E8"/>
            </w:tcBorders>
          </w:tcPr>
          <w:p>
            <w:pPr>
              <w:spacing w:after="0"/>
              <w:rPr>
                <w:sz w:val="3"/>
                <w:szCs w:val="3"/>
                <w:color w:val="auto"/>
              </w:rPr>
            </w:pPr>
          </w:p>
        </w:tc>
        <w:tc>
          <w:tcPr>
            <w:tcW w:w="1440" w:type="dxa"/>
            <w:vAlign w:val="bottom"/>
            <w:tcBorders>
              <w:bottom w:val="single" w:sz="8" w:color="E6E7E8"/>
            </w:tcBorders>
          </w:tcPr>
          <w:p>
            <w:pPr>
              <w:spacing w:after="0"/>
              <w:rPr>
                <w:sz w:val="3"/>
                <w:szCs w:val="3"/>
                <w:color w:val="auto"/>
              </w:rPr>
            </w:pPr>
          </w:p>
        </w:tc>
      </w:tr>
      <w:tr>
        <w:trPr>
          <w:trHeight w:val="263"/>
        </w:trPr>
        <w:tc>
          <w:tcPr>
            <w:tcW w:w="216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C.D. Baer Pettit</w:t>
            </w:r>
            <w:r>
              <w:rPr>
                <w:rFonts w:ascii="Arial" w:cs="Arial" w:eastAsia="Arial" w:hAnsi="Arial"/>
                <w:sz w:val="21"/>
                <w:szCs w:val="21"/>
                <w:b w:val="1"/>
                <w:bCs w:val="1"/>
                <w:color w:val="1A3FD6"/>
                <w:vertAlign w:val="superscript"/>
              </w:rPr>
              <w:t>(8)</w:t>
            </w:r>
          </w:p>
        </w:tc>
        <w:tc>
          <w:tcPr>
            <w:tcW w:w="1740" w:type="dxa"/>
            <w:vAlign w:val="bottom"/>
            <w:tcBorders>
              <w:bottom w:val="single" w:sz="8" w:color="E6E7E8"/>
            </w:tcBorders>
          </w:tcPr>
          <w:p>
            <w:pPr>
              <w:jc w:val="right"/>
              <w:ind w:right="246"/>
              <w:spacing w:after="0"/>
              <w:rPr>
                <w:sz w:val="20"/>
                <w:szCs w:val="20"/>
                <w:color w:val="auto"/>
              </w:rPr>
            </w:pPr>
            <w:r>
              <w:rPr>
                <w:rFonts w:ascii="Arial" w:cs="Arial" w:eastAsia="Arial" w:hAnsi="Arial"/>
                <w:sz w:val="16"/>
                <w:szCs w:val="16"/>
                <w:color w:val="auto"/>
              </w:rPr>
              <w:t>10,234,378</w:t>
            </w:r>
          </w:p>
        </w:tc>
        <w:tc>
          <w:tcPr>
            <w:tcW w:w="1600" w:type="dxa"/>
            <w:vAlign w:val="bottom"/>
            <w:tcBorders>
              <w:bottom w:val="single" w:sz="8" w:color="E6E7E8"/>
            </w:tcBorders>
          </w:tcPr>
          <w:p>
            <w:pPr>
              <w:jc w:val="right"/>
              <w:ind w:right="246"/>
              <w:spacing w:after="0"/>
              <w:rPr>
                <w:sz w:val="20"/>
                <w:szCs w:val="20"/>
                <w:color w:val="auto"/>
              </w:rPr>
            </w:pPr>
            <w:r>
              <w:rPr>
                <w:rFonts w:ascii="Arial" w:cs="Arial" w:eastAsia="Arial" w:hAnsi="Arial"/>
                <w:sz w:val="16"/>
                <w:szCs w:val="16"/>
                <w:color w:val="auto"/>
              </w:rPr>
              <w:t>12,733,927</w:t>
            </w:r>
          </w:p>
        </w:tc>
        <w:tc>
          <w:tcPr>
            <w:tcW w:w="134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10,234,378</w:t>
            </w:r>
          </w:p>
        </w:tc>
        <w:tc>
          <w:tcPr>
            <w:tcW w:w="1420" w:type="dxa"/>
            <w:vAlign w:val="bottom"/>
            <w:tcBorders>
              <w:bottom w:val="single" w:sz="8" w:color="E6E7E8"/>
            </w:tcBorders>
          </w:tcPr>
          <w:p>
            <w:pPr>
              <w:jc w:val="right"/>
              <w:ind w:right="146"/>
              <w:spacing w:after="0"/>
              <w:rPr>
                <w:sz w:val="20"/>
                <w:szCs w:val="20"/>
                <w:color w:val="auto"/>
              </w:rPr>
            </w:pPr>
            <w:r>
              <w:rPr>
                <w:rFonts w:ascii="Arial" w:cs="Arial" w:eastAsia="Arial" w:hAnsi="Arial"/>
                <w:sz w:val="16"/>
                <w:szCs w:val="16"/>
                <w:color w:val="auto"/>
              </w:rPr>
              <w:t>3,991,449</w:t>
            </w:r>
          </w:p>
        </w:tc>
        <w:tc>
          <w:tcPr>
            <w:tcW w:w="1540" w:type="dxa"/>
            <w:vAlign w:val="bottom"/>
            <w:tcBorders>
              <w:bottom w:val="single" w:sz="8" w:color="E6E7E8"/>
            </w:tcBorders>
          </w:tcPr>
          <w:p>
            <w:pPr>
              <w:jc w:val="right"/>
              <w:ind w:right="367"/>
              <w:spacing w:after="0"/>
              <w:rPr>
                <w:sz w:val="20"/>
                <w:szCs w:val="20"/>
                <w:color w:val="auto"/>
              </w:rPr>
            </w:pPr>
            <w:r>
              <w:rPr>
                <w:rFonts w:ascii="Arial" w:cs="Arial" w:eastAsia="Arial" w:hAnsi="Arial"/>
                <w:sz w:val="16"/>
                <w:szCs w:val="16"/>
                <w:color w:val="auto"/>
              </w:rPr>
              <w:t>18,474</w:t>
            </w:r>
          </w:p>
        </w:tc>
        <w:tc>
          <w:tcPr>
            <w:tcW w:w="1440" w:type="dxa"/>
            <w:vAlign w:val="bottom"/>
            <w:tcBorders>
              <w:bottom w:val="single" w:sz="8" w:color="E6E7E8"/>
            </w:tcBorders>
          </w:tcPr>
          <w:p>
            <w:pPr>
              <w:jc w:val="right"/>
              <w:ind w:right="7"/>
              <w:spacing w:after="0"/>
              <w:rPr>
                <w:sz w:val="20"/>
                <w:szCs w:val="20"/>
                <w:color w:val="auto"/>
              </w:rPr>
            </w:pPr>
            <w:r>
              <w:rPr>
                <w:rFonts w:ascii="Arial" w:cs="Arial" w:eastAsia="Arial" w:hAnsi="Arial"/>
                <w:sz w:val="16"/>
                <w:szCs w:val="16"/>
                <w:color w:val="auto"/>
              </w:rPr>
              <w:t>12,733,927</w:t>
            </w:r>
          </w:p>
        </w:tc>
      </w:tr>
      <w:tr>
        <w:trPr>
          <w:trHeight w:val="229"/>
        </w:trPr>
        <w:tc>
          <w:tcPr>
            <w:tcW w:w="2160" w:type="dxa"/>
            <w:vAlign w:val="bottom"/>
          </w:tcPr>
          <w:p>
            <w:pPr>
              <w:ind w:left="20"/>
              <w:spacing w:after="0"/>
              <w:rPr>
                <w:sz w:val="20"/>
                <w:szCs w:val="20"/>
                <w:color w:val="auto"/>
              </w:rPr>
            </w:pPr>
            <w:r>
              <w:rPr>
                <w:rFonts w:ascii="Arial" w:cs="Arial" w:eastAsia="Arial" w:hAnsi="Arial"/>
                <w:sz w:val="16"/>
                <w:szCs w:val="16"/>
                <w:b w:val="1"/>
                <w:bCs w:val="1"/>
                <w:color w:val="1A3FD6"/>
              </w:rPr>
              <w:t>Alvise J. Munari</w:t>
            </w:r>
          </w:p>
        </w:tc>
        <w:tc>
          <w:tcPr>
            <w:tcW w:w="1740" w:type="dxa"/>
            <w:vAlign w:val="bottom"/>
          </w:tcPr>
          <w:p>
            <w:pPr>
              <w:jc w:val="right"/>
              <w:ind w:right="246"/>
              <w:spacing w:after="0"/>
              <w:rPr>
                <w:sz w:val="20"/>
                <w:szCs w:val="20"/>
                <w:color w:val="auto"/>
              </w:rPr>
            </w:pPr>
            <w:r>
              <w:rPr>
                <w:rFonts w:ascii="Arial" w:cs="Arial" w:eastAsia="Arial" w:hAnsi="Arial"/>
                <w:sz w:val="16"/>
                <w:szCs w:val="16"/>
                <w:color w:val="auto"/>
              </w:rPr>
              <w:t>5,467,157</w:t>
            </w:r>
          </w:p>
        </w:tc>
        <w:tc>
          <w:tcPr>
            <w:tcW w:w="1600" w:type="dxa"/>
            <w:vAlign w:val="bottom"/>
          </w:tcPr>
          <w:p>
            <w:pPr>
              <w:jc w:val="right"/>
              <w:ind w:right="246"/>
              <w:spacing w:after="0"/>
              <w:rPr>
                <w:sz w:val="20"/>
                <w:szCs w:val="20"/>
                <w:color w:val="auto"/>
              </w:rPr>
            </w:pPr>
            <w:r>
              <w:rPr>
                <w:rFonts w:ascii="Arial" w:cs="Arial" w:eastAsia="Arial" w:hAnsi="Arial"/>
                <w:sz w:val="16"/>
                <w:szCs w:val="16"/>
                <w:color w:val="auto"/>
              </w:rPr>
              <w:t>8,562,861</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46"/>
              <w:spacing w:after="0"/>
              <w:rPr>
                <w:sz w:val="20"/>
                <w:szCs w:val="20"/>
                <w:color w:val="auto"/>
              </w:rPr>
            </w:pPr>
            <w:r>
              <w:rPr>
                <w:rFonts w:ascii="Arial" w:cs="Arial" w:eastAsia="Arial" w:hAnsi="Arial"/>
                <w:sz w:val="16"/>
                <w:szCs w:val="16"/>
                <w:color w:val="auto"/>
              </w:rPr>
              <w:t>3,355,953</w:t>
            </w:r>
          </w:p>
        </w:tc>
        <w:tc>
          <w:tcPr>
            <w:tcW w:w="1540" w:type="dxa"/>
            <w:vAlign w:val="bottom"/>
          </w:tcPr>
          <w:p>
            <w:pPr>
              <w:jc w:val="right"/>
              <w:ind w:right="367"/>
              <w:spacing w:after="0"/>
              <w:rPr>
                <w:sz w:val="20"/>
                <w:szCs w:val="20"/>
                <w:color w:val="auto"/>
              </w:rPr>
            </w:pPr>
            <w:r>
              <w:rPr>
                <w:rFonts w:ascii="Arial" w:cs="Arial" w:eastAsia="Arial" w:hAnsi="Arial"/>
                <w:sz w:val="16"/>
                <w:szCs w:val="16"/>
                <w:color w:val="auto"/>
              </w:rPr>
              <w:t>29,816</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8,562,861</w:t>
            </w:r>
          </w:p>
        </w:tc>
      </w:tr>
      <w:tr>
        <w:trPr>
          <w:trHeight w:val="35"/>
        </w:trPr>
        <w:tc>
          <w:tcPr>
            <w:tcW w:w="2160" w:type="dxa"/>
            <w:vAlign w:val="bottom"/>
            <w:tcBorders>
              <w:bottom w:val="single" w:sz="8" w:color="E6E7E8"/>
            </w:tcBorders>
          </w:tcPr>
          <w:p>
            <w:pPr>
              <w:spacing w:after="0"/>
              <w:rPr>
                <w:sz w:val="3"/>
                <w:szCs w:val="3"/>
                <w:color w:val="auto"/>
              </w:rPr>
            </w:pPr>
          </w:p>
        </w:tc>
        <w:tc>
          <w:tcPr>
            <w:tcW w:w="1740" w:type="dxa"/>
            <w:vAlign w:val="bottom"/>
            <w:tcBorders>
              <w:bottom w:val="single" w:sz="8" w:color="E6E7E8"/>
            </w:tcBorders>
          </w:tcPr>
          <w:p>
            <w:pPr>
              <w:spacing w:after="0"/>
              <w:rPr>
                <w:sz w:val="3"/>
                <w:szCs w:val="3"/>
                <w:color w:val="auto"/>
              </w:rPr>
            </w:pPr>
          </w:p>
        </w:tc>
        <w:tc>
          <w:tcPr>
            <w:tcW w:w="16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420" w:type="dxa"/>
            <w:vAlign w:val="bottom"/>
            <w:tcBorders>
              <w:bottom w:val="single" w:sz="8" w:color="E6E7E8"/>
            </w:tcBorders>
          </w:tcPr>
          <w:p>
            <w:pPr>
              <w:spacing w:after="0"/>
              <w:rPr>
                <w:sz w:val="3"/>
                <w:szCs w:val="3"/>
                <w:color w:val="auto"/>
              </w:rPr>
            </w:pPr>
          </w:p>
        </w:tc>
        <w:tc>
          <w:tcPr>
            <w:tcW w:w="1540" w:type="dxa"/>
            <w:vAlign w:val="bottom"/>
            <w:tcBorders>
              <w:bottom w:val="single" w:sz="8" w:color="E6E7E8"/>
            </w:tcBorders>
          </w:tcPr>
          <w:p>
            <w:pPr>
              <w:spacing w:after="0"/>
              <w:rPr>
                <w:sz w:val="3"/>
                <w:szCs w:val="3"/>
                <w:color w:val="auto"/>
              </w:rPr>
            </w:pPr>
          </w:p>
        </w:tc>
        <w:tc>
          <w:tcPr>
            <w:tcW w:w="1440" w:type="dxa"/>
            <w:vAlign w:val="bottom"/>
            <w:tcBorders>
              <w:bottom w:val="single" w:sz="8" w:color="E6E7E8"/>
            </w:tcBorders>
          </w:tcPr>
          <w:p>
            <w:pPr>
              <w:spacing w:after="0"/>
              <w:rPr>
                <w:sz w:val="3"/>
                <w:szCs w:val="3"/>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1740" w:type="dxa"/>
            <w:vAlign w:val="bottom"/>
          </w:tcPr>
          <w:p>
            <w:pPr>
              <w:jc w:val="right"/>
              <w:ind w:right="246"/>
              <w:spacing w:after="0"/>
              <w:rPr>
                <w:sz w:val="20"/>
                <w:szCs w:val="20"/>
                <w:color w:val="auto"/>
              </w:rPr>
            </w:pPr>
            <w:r>
              <w:rPr>
                <w:rFonts w:ascii="Arial" w:cs="Arial" w:eastAsia="Arial" w:hAnsi="Arial"/>
                <w:sz w:val="16"/>
                <w:szCs w:val="16"/>
                <w:color w:val="auto"/>
              </w:rPr>
              <w:t>4,833,153</w:t>
            </w:r>
          </w:p>
        </w:tc>
        <w:tc>
          <w:tcPr>
            <w:tcW w:w="1600" w:type="dxa"/>
            <w:vAlign w:val="bottom"/>
          </w:tcPr>
          <w:p>
            <w:pPr>
              <w:jc w:val="right"/>
              <w:ind w:right="246"/>
              <w:spacing w:after="0"/>
              <w:rPr>
                <w:sz w:val="20"/>
                <w:szCs w:val="20"/>
                <w:color w:val="auto"/>
              </w:rPr>
            </w:pPr>
            <w:r>
              <w:rPr>
                <w:rFonts w:ascii="Arial" w:cs="Arial" w:eastAsia="Arial" w:hAnsi="Arial"/>
                <w:sz w:val="16"/>
                <w:szCs w:val="16"/>
                <w:color w:val="auto"/>
              </w:rPr>
              <w:t>4,833,153</w:t>
            </w:r>
          </w:p>
        </w:tc>
        <w:tc>
          <w:tcPr>
            <w:tcW w:w="1340" w:type="dxa"/>
            <w:vAlign w:val="bottom"/>
          </w:tcPr>
          <w:p>
            <w:pPr>
              <w:jc w:val="right"/>
              <w:spacing w:after="0"/>
              <w:rPr>
                <w:sz w:val="20"/>
                <w:szCs w:val="20"/>
                <w:color w:val="auto"/>
              </w:rPr>
            </w:pPr>
            <w:r>
              <w:rPr>
                <w:rFonts w:ascii="Arial" w:cs="Arial" w:eastAsia="Arial" w:hAnsi="Arial"/>
                <w:sz w:val="16"/>
                <w:szCs w:val="16"/>
                <w:color w:val="auto"/>
              </w:rPr>
              <w:t>4,833,153</w:t>
            </w:r>
          </w:p>
        </w:tc>
        <w:tc>
          <w:tcPr>
            <w:tcW w:w="1420" w:type="dxa"/>
            <w:vAlign w:val="bottom"/>
          </w:tcPr>
          <w:p>
            <w:pPr>
              <w:jc w:val="right"/>
              <w:ind w:right="146"/>
              <w:spacing w:after="0"/>
              <w:rPr>
                <w:sz w:val="20"/>
                <w:szCs w:val="20"/>
                <w:color w:val="auto"/>
              </w:rPr>
            </w:pPr>
            <w:r>
              <w:rPr>
                <w:rFonts w:ascii="Arial" w:cs="Arial" w:eastAsia="Arial" w:hAnsi="Arial"/>
                <w:sz w:val="16"/>
                <w:szCs w:val="16"/>
                <w:color w:val="auto"/>
              </w:rPr>
              <w:t>2,484,840</w:t>
            </w:r>
          </w:p>
        </w:tc>
        <w:tc>
          <w:tcPr>
            <w:tcW w:w="1540" w:type="dxa"/>
            <w:vAlign w:val="bottom"/>
          </w:tcPr>
          <w:p>
            <w:pPr>
              <w:jc w:val="right"/>
              <w:ind w:right="367"/>
              <w:spacing w:after="0"/>
              <w:rPr>
                <w:sz w:val="20"/>
                <w:szCs w:val="20"/>
                <w:color w:val="auto"/>
              </w:rPr>
            </w:pPr>
            <w:r>
              <w:rPr>
                <w:rFonts w:ascii="Arial" w:cs="Arial" w:eastAsia="Arial" w:hAnsi="Arial"/>
                <w:sz w:val="16"/>
                <w:szCs w:val="16"/>
                <w:color w:val="auto"/>
              </w:rPr>
              <w:t>102,758</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4,833,153</w:t>
            </w:r>
          </w:p>
        </w:tc>
      </w:tr>
      <w:tr>
        <w:trPr>
          <w:trHeight w:val="35"/>
        </w:trPr>
        <w:tc>
          <w:tcPr>
            <w:tcW w:w="2160" w:type="dxa"/>
            <w:vAlign w:val="bottom"/>
            <w:tcBorders>
              <w:bottom w:val="single" w:sz="8" w:color="1A3FD6"/>
            </w:tcBorders>
          </w:tcPr>
          <w:p>
            <w:pPr>
              <w:spacing w:after="0"/>
              <w:rPr>
                <w:sz w:val="3"/>
                <w:szCs w:val="3"/>
                <w:color w:val="auto"/>
              </w:rPr>
            </w:pPr>
          </w:p>
        </w:tc>
        <w:tc>
          <w:tcPr>
            <w:tcW w:w="1740" w:type="dxa"/>
            <w:vAlign w:val="bottom"/>
            <w:tcBorders>
              <w:bottom w:val="single" w:sz="8" w:color="1A3FD6"/>
            </w:tcBorders>
          </w:tcPr>
          <w:p>
            <w:pPr>
              <w:spacing w:after="0"/>
              <w:rPr>
                <w:sz w:val="3"/>
                <w:szCs w:val="3"/>
                <w:color w:val="auto"/>
              </w:rPr>
            </w:pPr>
          </w:p>
        </w:tc>
        <w:tc>
          <w:tcPr>
            <w:tcW w:w="1600" w:type="dxa"/>
            <w:vAlign w:val="bottom"/>
            <w:tcBorders>
              <w:bottom w:val="single" w:sz="8" w:color="1A3FD6"/>
            </w:tcBorders>
          </w:tcPr>
          <w:p>
            <w:pPr>
              <w:spacing w:after="0"/>
              <w:rPr>
                <w:sz w:val="3"/>
                <w:szCs w:val="3"/>
                <w:color w:val="auto"/>
              </w:rPr>
            </w:pPr>
          </w:p>
        </w:tc>
        <w:tc>
          <w:tcPr>
            <w:tcW w:w="1340" w:type="dxa"/>
            <w:vAlign w:val="bottom"/>
            <w:tcBorders>
              <w:bottom w:val="single" w:sz="8" w:color="1A3FD6"/>
            </w:tcBorders>
          </w:tcPr>
          <w:p>
            <w:pPr>
              <w:spacing w:after="0"/>
              <w:rPr>
                <w:sz w:val="3"/>
                <w:szCs w:val="3"/>
                <w:color w:val="auto"/>
              </w:rPr>
            </w:pPr>
          </w:p>
        </w:tc>
        <w:tc>
          <w:tcPr>
            <w:tcW w:w="1420" w:type="dxa"/>
            <w:vAlign w:val="bottom"/>
            <w:tcBorders>
              <w:bottom w:val="single" w:sz="8" w:color="1A3FD6"/>
            </w:tcBorders>
          </w:tcPr>
          <w:p>
            <w:pPr>
              <w:spacing w:after="0"/>
              <w:rPr>
                <w:sz w:val="3"/>
                <w:szCs w:val="3"/>
                <w:color w:val="auto"/>
              </w:rPr>
            </w:pPr>
          </w:p>
        </w:tc>
        <w:tc>
          <w:tcPr>
            <w:tcW w:w="1540" w:type="dxa"/>
            <w:vAlign w:val="bottom"/>
            <w:tcBorders>
              <w:bottom w:val="single" w:sz="8" w:color="1A3FD6"/>
            </w:tcBorders>
          </w:tcPr>
          <w:p>
            <w:pPr>
              <w:spacing w:after="0"/>
              <w:rPr>
                <w:sz w:val="3"/>
                <w:szCs w:val="3"/>
                <w:color w:val="auto"/>
              </w:rPr>
            </w:pPr>
          </w:p>
        </w:tc>
        <w:tc>
          <w:tcPr>
            <w:tcW w:w="1440" w:type="dxa"/>
            <w:vAlign w:val="bottom"/>
            <w:tcBorders>
              <w:bottom w:val="single" w:sz="8" w:color="1A3FD6"/>
            </w:tcBorders>
          </w:tcPr>
          <w:p>
            <w:pPr>
              <w:spacing w:after="0"/>
              <w:rPr>
                <w:sz w:val="3"/>
                <w:szCs w:val="3"/>
                <w:color w:val="auto"/>
              </w:rPr>
            </w:pPr>
          </w:p>
        </w:tc>
      </w:tr>
    </w:tbl>
    <w:p>
      <w:pPr>
        <w:spacing w:after="0" w:line="153" w:lineRule="exact"/>
        <w:rPr>
          <w:sz w:val="20"/>
          <w:szCs w:val="20"/>
          <w:color w:val="auto"/>
        </w:rPr>
      </w:pPr>
    </w:p>
    <w:p>
      <w:pPr>
        <w:ind w:left="260" w:right="20" w:hanging="252"/>
        <w:spacing w:after="0" w:line="249" w:lineRule="auto"/>
        <w:tabs>
          <w:tab w:leader="none" w:pos="264"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With respect to PSUs or RSUs, values are based on the closing share price of MSCI common stock on December 31, 2025 ($573.73). With respect to PSOs, represents the closing share price of MSCI common stock on December 31, 2025 minus the relevant exercise price times the number of outstanding PSOs for all in-the-money, unvested PSOs as of such date. No value for Mr. Fernandez’s PPOs is included because the PPOs were out-of-the-money as of December 31, 2025.</w:t>
      </w:r>
    </w:p>
    <w:p>
      <w:pPr>
        <w:spacing w:after="0" w:line="73" w:lineRule="exact"/>
        <w:rPr>
          <w:rFonts w:ascii="Arial" w:cs="Arial" w:eastAsia="Arial" w:hAnsi="Arial"/>
          <w:sz w:val="19"/>
          <w:szCs w:val="19"/>
          <w:color w:val="auto"/>
          <w:vertAlign w:val="superscript"/>
        </w:rPr>
      </w:pPr>
    </w:p>
    <w:p>
      <w:pPr>
        <w:ind w:left="260" w:right="120" w:hanging="252"/>
        <w:spacing w:after="0" w:line="258" w:lineRule="auto"/>
        <w:tabs>
          <w:tab w:leader="none" w:pos="250"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unvested PSUs (assuming payout at the target performance level), PSOs (assuming in-the-money value at the target performance level) and RSUs upon a termination of the NEO’s employment due to an involuntary termination without cause (not following a change in control), in each case, pursuant to the terms of the applicable award agreement. The value associated with the acceleration of unvested PSUs (assuming payout at the maximum performance level), PSOs (assuming in-the money value at the maximum performance level)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290195</wp:posOffset>
            </wp:positionV>
            <wp:extent cx="556895"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160"/>
        <w:spacing w:after="0" w:line="325" w:lineRule="auto"/>
        <w:rPr>
          <w:sz w:val="20"/>
          <w:szCs w:val="20"/>
          <w:color w:val="auto"/>
        </w:rPr>
      </w:pPr>
      <w:r>
        <w:rPr>
          <w:rFonts w:ascii="Arial" w:cs="Arial" w:eastAsia="Arial" w:hAnsi="Arial"/>
          <w:sz w:val="14"/>
          <w:szCs w:val="14"/>
          <w:color w:val="auto"/>
        </w:rPr>
        <w:t>RSUs is $52,056,209 for Mr. Fernandez, $6,511,233 for Mr. Wiechmann, $22,983,988 for Mr. Pettit, $10,152,894 for Mr. Munari and $8,357,629 for Mr. Crum. No value for Mr. Fernandez’s PPOs is included because the PPOs were out-of-the-money as of December 31, 2025.</w:t>
      </w:r>
    </w:p>
    <w:p>
      <w:pPr>
        <w:spacing w:after="0" w:line="9" w:lineRule="exact"/>
        <w:rPr>
          <w:sz w:val="20"/>
          <w:szCs w:val="20"/>
          <w:color w:val="auto"/>
        </w:rPr>
      </w:pPr>
    </w:p>
    <w:p>
      <w:pPr>
        <w:ind w:left="260" w:right="120" w:hanging="252"/>
        <w:spacing w:after="0" w:line="264" w:lineRule="auto"/>
        <w:tabs>
          <w:tab w:leader="none" w:pos="25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unvested PSUs (assuming payout at the target performance level), PSOs (assuming in-the-money value at the target performance level) and RSUs upon a termination of the NEO’s employment due to death or disability, in each case, pursuant to the terms of the applicable award agreement. The value associated with the acceleration of unvested PSUs (assuming payout at the maximum performance level), PSOs (assuming in-the money value at the maximum performance level) and RSUs is $52,056,209 for Mr. Fernandez, $9,395,353 for Mr. Wiechmann, $28,055,377 for Mr. Pettit, $15,505,508 for Mr. Munari and $8,357,629 for Mr. Crum. No value for Mr. Fernandez’s PPOs is included because the PPOs were out-of-the-money as of December 31, 2025.</w:t>
      </w:r>
    </w:p>
    <w:p>
      <w:pPr>
        <w:spacing w:after="0" w:line="63" w:lineRule="exact"/>
        <w:rPr>
          <w:rFonts w:ascii="Arial" w:cs="Arial" w:eastAsia="Arial" w:hAnsi="Arial"/>
          <w:sz w:val="19"/>
          <w:szCs w:val="19"/>
          <w:color w:val="auto"/>
          <w:vertAlign w:val="superscript"/>
        </w:rPr>
      </w:pPr>
    </w:p>
    <w:p>
      <w:pPr>
        <w:ind w:left="260" w:right="60" w:hanging="252"/>
        <w:spacing w:after="0" w:line="267" w:lineRule="auto"/>
        <w:tabs>
          <w:tab w:leader="none" w:pos="25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the payout of PSUs, PSOs and RSUs upon a termination of the NEO’s employment due to qualified retirement, pursuant to the terms of the applicable award agreement. With respect to Mr. Fernandez and Mr. Crum, such acceleration is treated in accordance with the provisions applicable to “62/10 Retirement Eligibility,” as detailed above under “—Potential Payments Upon Termination or Change in Control—Equity Acceleration.” With respect to Mr. Pettit, such acceleration is treated as in accordance with the provisions applicable to “55/10 Retirement Eligibility” as detailed above under “—Potential Payments Upon Termination or Change in Control—Equity Acceleration.” The value associated with the acceleration of unvested awards (assuming payout at the maximum performance level) is $52,056,209 for Mr. Fernandez, $22,983,988 for Mr. Pettit and $8,357,629 for Mr. Crum.</w:t>
      </w:r>
    </w:p>
    <w:p>
      <w:pPr>
        <w:spacing w:after="0" w:line="49" w:lineRule="exact"/>
        <w:rPr>
          <w:rFonts w:ascii="Arial" w:cs="Arial" w:eastAsia="Arial" w:hAnsi="Arial"/>
          <w:sz w:val="19"/>
          <w:szCs w:val="19"/>
          <w:color w:val="auto"/>
          <w:vertAlign w:val="superscript"/>
        </w:rPr>
      </w:pPr>
    </w:p>
    <w:p>
      <w:pPr>
        <w:ind w:left="260" w:right="80" w:hanging="252"/>
        <w:spacing w:after="0" w:line="257" w:lineRule="auto"/>
        <w:tabs>
          <w:tab w:leader="none" w:pos="25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A lump sum cash payment under our CIC Plan equal to the sum of (1) two times the participant’s base salary and (2) two times the participant’s average annual cash bonus (three-year average annual cash bonus). For more information on our CIC Plan and qualifying terminations of employment thereunder, see “—Potential Payments Upon Termination or Change in Control—Change in Control Severance Plan” above.</w:t>
      </w:r>
    </w:p>
    <w:p>
      <w:pPr>
        <w:spacing w:after="0" w:line="55" w:lineRule="exact"/>
        <w:rPr>
          <w:rFonts w:ascii="Arial" w:cs="Arial" w:eastAsia="Arial" w:hAnsi="Arial"/>
          <w:sz w:val="19"/>
          <w:szCs w:val="19"/>
          <w:color w:val="auto"/>
          <w:vertAlign w:val="superscript"/>
        </w:rPr>
      </w:pPr>
    </w:p>
    <w:p>
      <w:pPr>
        <w:jc w:val="both"/>
        <w:ind w:left="260" w:right="80" w:hanging="252"/>
        <w:spacing w:after="0" w:line="264" w:lineRule="auto"/>
        <w:tabs>
          <w:tab w:leader="none" w:pos="25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A lump sum cash payment under our CIC Plan equal to 135% of the approximate amount of qualifying health coverage continuation premiums for the participant and his or her eligible dependents for 24 months for the coverage option and level of medical, dental and/or vision coverage in effect for the participant immediately prior to the date of termination (or, in the case of an international participant, equivalent local health benefits). For more information on our CIC Plan and qualifying terminations of employment thereunder, see “Compensation Discussion and Analysis—Potential Payments Upon Termination or Change in Control—Change in Control Severance Plan” above.</w:t>
      </w:r>
    </w:p>
    <w:p>
      <w:pPr>
        <w:spacing w:after="0" w:line="51" w:lineRule="exact"/>
        <w:rPr>
          <w:rFonts w:ascii="Arial" w:cs="Arial" w:eastAsia="Arial" w:hAnsi="Arial"/>
          <w:sz w:val="19"/>
          <w:szCs w:val="19"/>
          <w:color w:val="auto"/>
          <w:vertAlign w:val="superscript"/>
        </w:rPr>
      </w:pPr>
    </w:p>
    <w:p>
      <w:pPr>
        <w:ind w:left="260" w:right="60" w:hanging="252"/>
        <w:spacing w:after="0" w:line="267" w:lineRule="auto"/>
        <w:tabs>
          <w:tab w:leader="none" w:pos="25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unvested PSUs (assuming payout at the target performance level), PSOs (assuming in-the-money value at the target performance level) and RSUs upon a termination of the NEO’s employment by the Company without cause or by the NEO for good reason, in each case, within 24 months following a change in control, pursuant to the terms of the applicable award agreement. The value associated with the acceleration of unvested PSUs (assuming payout at the maximum performance level), PSOs (assuming in-the money value at the maximum performance level) and RSUs is $52,056,209 for Mr. Fernandez, $9,395,353 for Mr. Wiechmann, $28,055,377 for Mr. Pettit, $15,505,508 for Mr. Munari and $8,357,629 for Mr. Crum. No value for Mr. Fernandez’s PPOs is included because the PPOs were out-of-the-money as of December 31, 2025.</w:t>
      </w:r>
    </w:p>
    <w:p>
      <w:pPr>
        <w:spacing w:after="0" w:line="49" w:lineRule="exact"/>
        <w:rPr>
          <w:rFonts w:ascii="Arial" w:cs="Arial" w:eastAsia="Arial" w:hAnsi="Arial"/>
          <w:sz w:val="19"/>
          <w:szCs w:val="19"/>
          <w:color w:val="auto"/>
          <w:vertAlign w:val="superscript"/>
        </w:rPr>
      </w:pPr>
    </w:p>
    <w:p>
      <w:pPr>
        <w:ind w:left="260" w:right="80" w:hanging="252"/>
        <w:spacing w:after="0" w:line="303" w:lineRule="auto"/>
        <w:tabs>
          <w:tab w:leader="none" w:pos="250" w:val="left"/>
        </w:tabs>
        <w:numPr>
          <w:ilvl w:val="0"/>
          <w:numId w:val="114"/>
        </w:numPr>
        <w:rPr>
          <w:rFonts w:ascii="Arial" w:cs="Arial" w:eastAsia="Arial" w:hAnsi="Arial"/>
          <w:sz w:val="9"/>
          <w:szCs w:val="9"/>
          <w:color w:val="auto"/>
        </w:rPr>
      </w:pPr>
      <w:r>
        <w:rPr>
          <w:rFonts w:ascii="Arial" w:cs="Arial" w:eastAsia="Arial" w:hAnsi="Arial"/>
          <w:sz w:val="14"/>
          <w:szCs w:val="14"/>
          <w:color w:val="auto"/>
        </w:rPr>
        <w:t>The amounts in the table represent the hypothetical amounts that would have been payable to Mr. Pettit had his employment been terminated on December 31, 2025. The actual amounts payable to Mr. Pettit under his Advisory Agreement and Settlement Agreement entered into with the Company in connection with his planned retirement are described under “Employment Agreements” above on page 85 of this Proxy Statement.</w:t>
      </w:r>
    </w:p>
    <w:p>
      <w:pPr>
        <w:spacing w:after="0" w:line="23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CEO Pay Ratio</w:t>
      </w:r>
    </w:p>
    <w:p>
      <w:pPr>
        <w:spacing w:after="0" w:line="18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In accordance with the requirements of Section 953(b) of the Dodd-Frank Act and Item 402(u) of Regulation S-K (collectively, the “Pay Ratio Rule”), we are providing the following estimated information for 2025:</w:t>
      </w:r>
    </w:p>
    <w:p>
      <w:pPr>
        <w:spacing w:after="0" w:line="75" w:lineRule="exact"/>
        <w:rPr>
          <w:sz w:val="20"/>
          <w:szCs w:val="20"/>
          <w:color w:val="auto"/>
        </w:rPr>
      </w:pPr>
    </w:p>
    <w:p>
      <w:pPr>
        <w:ind w:left="160" w:hanging="152"/>
        <w:spacing w:after="0"/>
        <w:tabs>
          <w:tab w:leader="none" w:pos="160" w:val="left"/>
        </w:tabs>
        <w:numPr>
          <w:ilvl w:val="0"/>
          <w:numId w:val="115"/>
        </w:numPr>
        <w:rPr>
          <w:rFonts w:ascii="Arial" w:cs="Arial" w:eastAsia="Arial" w:hAnsi="Arial"/>
          <w:sz w:val="16"/>
          <w:szCs w:val="16"/>
          <w:color w:val="00A798"/>
        </w:rPr>
      </w:pPr>
      <w:r>
        <w:rPr>
          <w:rFonts w:ascii="Arial" w:cs="Arial" w:eastAsia="Arial" w:hAnsi="Arial"/>
          <w:sz w:val="16"/>
          <w:szCs w:val="16"/>
          <w:color w:val="auto"/>
        </w:rPr>
        <w:t>the median of the annual total compensation of all our employees (except our Chief Executive Officer) was $56,294;</w:t>
      </w:r>
    </w:p>
    <w:p>
      <w:pPr>
        <w:spacing w:after="0" w:line="99" w:lineRule="exact"/>
        <w:rPr>
          <w:rFonts w:ascii="Arial" w:cs="Arial" w:eastAsia="Arial" w:hAnsi="Arial"/>
          <w:sz w:val="16"/>
          <w:szCs w:val="16"/>
          <w:color w:val="00A798"/>
        </w:rPr>
      </w:pPr>
    </w:p>
    <w:p>
      <w:pPr>
        <w:ind w:left="200" w:right="100" w:hanging="192"/>
        <w:spacing w:after="0" w:line="321" w:lineRule="auto"/>
        <w:tabs>
          <w:tab w:leader="none" w:pos="157" w:val="left"/>
        </w:tabs>
        <w:numPr>
          <w:ilvl w:val="0"/>
          <w:numId w:val="115"/>
        </w:numPr>
        <w:rPr>
          <w:rFonts w:ascii="Arial" w:cs="Arial" w:eastAsia="Arial" w:hAnsi="Arial"/>
          <w:sz w:val="16"/>
          <w:szCs w:val="16"/>
          <w:color w:val="00A798"/>
        </w:rPr>
      </w:pPr>
      <w:r>
        <w:rPr>
          <w:rFonts w:ascii="Arial" w:cs="Arial" w:eastAsia="Arial" w:hAnsi="Arial"/>
          <w:sz w:val="16"/>
          <w:szCs w:val="16"/>
          <w:color w:val="auto"/>
        </w:rPr>
        <w:t>the annual total compensation of our Chief Executive Officer was $33,320,590, or $18,320,508 excluding the special PPO award described on page 80 of this Proxy Statement; and</w:t>
      </w:r>
    </w:p>
    <w:p>
      <w:pPr>
        <w:spacing w:after="0" w:line="7" w:lineRule="exact"/>
        <w:rPr>
          <w:rFonts w:ascii="Arial" w:cs="Arial" w:eastAsia="Arial" w:hAnsi="Arial"/>
          <w:sz w:val="16"/>
          <w:szCs w:val="16"/>
          <w:color w:val="00A798"/>
        </w:rPr>
      </w:pPr>
    </w:p>
    <w:p>
      <w:pPr>
        <w:ind w:left="200" w:right="740" w:hanging="192"/>
        <w:spacing w:after="0" w:line="235" w:lineRule="auto"/>
        <w:tabs>
          <w:tab w:leader="none" w:pos="157" w:val="left"/>
        </w:tabs>
        <w:numPr>
          <w:ilvl w:val="0"/>
          <w:numId w:val="115"/>
        </w:numPr>
        <w:rPr>
          <w:rFonts w:ascii="Arial" w:cs="Arial" w:eastAsia="Arial" w:hAnsi="Arial"/>
          <w:sz w:val="16"/>
          <w:szCs w:val="16"/>
          <w:color w:val="00A798"/>
        </w:rPr>
      </w:pPr>
      <w:r>
        <w:rPr>
          <w:rFonts w:ascii="Arial" w:cs="Arial" w:eastAsia="Arial" w:hAnsi="Arial"/>
          <w:sz w:val="16"/>
          <w:szCs w:val="16"/>
          <w:color w:val="auto"/>
        </w:rPr>
        <w:t>the ratio of these two amounts was 592</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to 1, or 325</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to 1 excluding the special PPO award. We believe that this ratio is a reasonable estimate calculated in a manner consistent with the requirements of the Pay Ratio Rule.</w:t>
      </w:r>
    </w:p>
    <w:p>
      <w:pPr>
        <w:spacing w:after="0" w:line="15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9000"/>
              <w:spacing w:after="0"/>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99</w:t>
            </w:r>
          </w:p>
        </w:tc>
      </w:tr>
      <w:tr>
        <w:trPr>
          <w:trHeight w:val="373"/>
        </w:trPr>
        <w:tc>
          <w:tcPr>
            <w:tcW w:w="10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60" w:hanging="252"/>
        <w:spacing w:after="0"/>
        <w:tabs>
          <w:tab w:leader="none" w:pos="264"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For purposes of the CEO pay ratio disclosure, Mr. Fernandez’s annual total compensation includes the amount reported in the “Total” column of the Summary Compensation Table on page 90 of this Proxy Statement, including the special PPO award granted to Mr. Fernandez in early 2025, having a total grant date value of $15.0 million.</w:t>
      </w:r>
    </w:p>
    <w:p>
      <w:pPr>
        <w:spacing w:after="0" w:line="255" w:lineRule="exact"/>
        <w:rPr>
          <w:rFonts w:ascii="Arial" w:cs="Arial" w:eastAsia="Arial" w:hAnsi="Arial"/>
          <w:sz w:val="19"/>
          <w:szCs w:val="19"/>
          <w:color w:val="auto"/>
          <w:vertAlign w:val="superscript"/>
        </w:rPr>
      </w:pPr>
    </w:p>
    <w:p>
      <w:pPr>
        <w:ind w:left="260" w:hanging="252"/>
        <w:spacing w:after="0" w:line="258" w:lineRule="auto"/>
        <w:tabs>
          <w:tab w:leader="none" w:pos="25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We understand that the CEO pay ratio is intended to provide greater transparency to annual CEO compensation and how it compares to the annual compensation of the median employee. As such, we are providing a supplemental ratio that compares the CEO’s total 2025 compensation, excluding the special PPO award with a grant date fair value of $15,000,082 described on page 80 of this Proxy Statement, to the annual total compensation of the median employee to facilitate a better understanding of our CEO’s ongoing annual total compensation and better comparability.</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Methodology for Identifying our “Median Employee”</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Employee Population</w:t>
      </w:r>
    </w:p>
    <w:p>
      <w:pPr>
        <w:spacing w:after="0" w:line="11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To identify the median of the annual total compensation of all our employees (other than our Chief Executive Officer), we first identified our total employee population from which we determined our “median employee.” We determined that, as of December 31, 2025, our total employee population consisted of 6,268 individuals (of which 51% of MSCI employees were located in the Asia Pacific region, 24% in Europe, Middle East and Africa, 16% in the United States and Canada, and 9% in Mexico and Brazil). Our total employee population consisted of our global workforce of full-time and part-time employees, as described in more detail below.</w:t>
      </w: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Determining our Median Employee</w:t>
      </w:r>
    </w:p>
    <w:p>
      <w:pPr>
        <w:spacing w:after="0" w:line="11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To identify our “median employee” from our total employee population, as of December 31, 2025, we compared the amount of base salary plus actual cash bonus paid for 2025. In making this determination, we annualized the compensation of our full-time employees who were hired in 2025 but did not work for us for the entire fiscal year and permanent part-time employees. We identified our “median employee” using this compensation measure, which was consistently applied to all our employees included in the calculation.</w:t>
      </w: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1A3FD6"/>
        </w:rPr>
        <w:t>Our Median Employee</w:t>
      </w:r>
    </w:p>
    <w:p>
      <w:pPr>
        <w:spacing w:after="0" w:line="114" w:lineRule="exact"/>
        <w:rPr>
          <w:sz w:val="20"/>
          <w:szCs w:val="20"/>
          <w:color w:val="auto"/>
        </w:rPr>
      </w:pPr>
    </w:p>
    <w:p>
      <w:pPr>
        <w:jc w:val="both"/>
        <w:ind w:right="100"/>
        <w:spacing w:after="0" w:line="321" w:lineRule="auto"/>
        <w:rPr>
          <w:sz w:val="20"/>
          <w:szCs w:val="20"/>
          <w:color w:val="auto"/>
        </w:rPr>
      </w:pPr>
      <w:r>
        <w:rPr>
          <w:rFonts w:ascii="Arial" w:cs="Arial" w:eastAsia="Arial" w:hAnsi="Arial"/>
          <w:sz w:val="16"/>
          <w:szCs w:val="16"/>
          <w:color w:val="auto"/>
        </w:rPr>
        <w:t>Using the methodologies described above, we determined that our “median employee” was a full-time, salaried employee located in Pune, India, with base salary plus actual cash bonus paid for the 12-month period ending December 31, 2025 in the amount of $50,461.</w:t>
      </w:r>
    </w:p>
    <w:p>
      <w:pPr>
        <w:spacing w:after="0" w:line="203" w:lineRule="exact"/>
        <w:rPr>
          <w:sz w:val="20"/>
          <w:szCs w:val="20"/>
          <w:color w:val="auto"/>
        </w:rPr>
      </w:pPr>
    </w:p>
    <w:p>
      <w:pPr>
        <w:ind w:right="160"/>
        <w:spacing w:after="0" w:line="284" w:lineRule="auto"/>
        <w:rPr>
          <w:sz w:val="20"/>
          <w:szCs w:val="20"/>
          <w:color w:val="auto"/>
        </w:rPr>
      </w:pPr>
      <w:r>
        <w:rPr>
          <w:rFonts w:ascii="Arial" w:cs="Arial" w:eastAsia="Arial" w:hAnsi="Arial"/>
          <w:sz w:val="29"/>
          <w:szCs w:val="29"/>
          <w:b w:val="1"/>
          <w:bCs w:val="1"/>
          <w:color w:val="auto"/>
        </w:rPr>
        <w:t>Determination of Annual Total Compensation of our “Median Employee” and our CEO</w:t>
      </w:r>
    </w:p>
    <w:p>
      <w:pPr>
        <w:jc w:val="both"/>
        <w:ind w:right="80"/>
        <w:spacing w:after="0" w:line="301" w:lineRule="auto"/>
        <w:rPr>
          <w:sz w:val="20"/>
          <w:szCs w:val="20"/>
          <w:color w:val="auto"/>
        </w:rPr>
      </w:pPr>
      <w:r>
        <w:rPr>
          <w:rFonts w:ascii="Arial" w:cs="Arial" w:eastAsia="Arial" w:hAnsi="Arial"/>
          <w:sz w:val="16"/>
          <w:szCs w:val="16"/>
          <w:color w:val="auto"/>
        </w:rPr>
        <w:t>Once we identified our “median employee,” we then calculated such employee’s annual total compensation for 2025 using the same methodology we used for purposes of determining the annual total compensation of our NEOs for 2025 (as set forth in the Summary Compensation Table for 2025 on page 90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400685</wp:posOffset>
            </wp:positionV>
            <wp:extent cx="556895"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Pay Versus Performance</w:t>
      </w:r>
    </w:p>
    <w:p>
      <w:pPr>
        <w:spacing w:after="0" w:line="167"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The following table sets forth the compensation for our CEO and the average compensation for our other NEOs, both as reported in the Summary Compensation Table on page 90 of this Proxy Statement and with certain adjustments to reflect the “compensation actually paid” to such individuals, as defined under SEC rules, for each of 2025, 2024, 2023, 2022 and 2021. “Compensation Actually Paid” does not represent cash or equity value realized or paid to our NEOs or how our Compensation Committee evaluates compensation decisions, but rather is a value calculated based on the requirements and methodology set forth in the applicable SEC rules. The table also provides information on our cumulative total shareholder return (“TSR”), the cumulative TSR of our peer group, net income and adjusted EPS.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2025 Pay Versus Performance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vMerge w:val="restart"/>
          </w:tcPr>
          <w:p>
            <w:pPr>
              <w:jc w:val="right"/>
              <w:ind w:right="214"/>
              <w:spacing w:after="0"/>
              <w:rPr>
                <w:sz w:val="20"/>
                <w:szCs w:val="20"/>
                <w:color w:val="auto"/>
              </w:rPr>
            </w:pPr>
            <w:r>
              <w:rPr>
                <w:rFonts w:ascii="Arial" w:cs="Arial" w:eastAsia="Arial" w:hAnsi="Arial"/>
                <w:sz w:val="13"/>
                <w:szCs w:val="13"/>
                <w:b w:val="1"/>
                <w:bCs w:val="1"/>
                <w:color w:val="auto"/>
              </w:rPr>
              <w:t>Average Summary</w:t>
            </w:r>
          </w:p>
        </w:tc>
        <w:tc>
          <w:tcPr>
            <w:tcW w:w="1520" w:type="dxa"/>
            <w:vAlign w:val="bottom"/>
            <w:vMerge w:val="restart"/>
          </w:tcPr>
          <w:p>
            <w:pPr>
              <w:jc w:val="right"/>
              <w:ind w:right="154"/>
              <w:spacing w:after="0"/>
              <w:rPr>
                <w:sz w:val="20"/>
                <w:szCs w:val="20"/>
                <w:color w:val="auto"/>
              </w:rPr>
            </w:pPr>
            <w:r>
              <w:rPr>
                <w:rFonts w:ascii="Arial" w:cs="Arial" w:eastAsia="Arial" w:hAnsi="Arial"/>
                <w:sz w:val="13"/>
                <w:szCs w:val="13"/>
                <w:b w:val="1"/>
                <w:bCs w:val="1"/>
                <w:color w:val="auto"/>
              </w:rPr>
              <w:t>Average</w:t>
            </w:r>
          </w:p>
        </w:tc>
        <w:tc>
          <w:tcPr>
            <w:tcW w:w="2240" w:type="dxa"/>
            <w:vAlign w:val="bottom"/>
            <w:gridSpan w:val="2"/>
          </w:tcPr>
          <w:p>
            <w:pPr>
              <w:jc w:val="right"/>
              <w:ind w:right="293"/>
              <w:spacing w:after="0"/>
              <w:rPr>
                <w:sz w:val="20"/>
                <w:szCs w:val="20"/>
                <w:color w:val="auto"/>
              </w:rPr>
            </w:pPr>
            <w:r>
              <w:rPr>
                <w:rFonts w:ascii="Arial" w:cs="Arial" w:eastAsia="Arial" w:hAnsi="Arial"/>
                <w:sz w:val="13"/>
                <w:szCs w:val="13"/>
                <w:b w:val="1"/>
                <w:bCs w:val="1"/>
                <w:color w:val="auto"/>
              </w:rPr>
              <w:t>Value of Initial Fixed $100</w:t>
            </w:r>
          </w:p>
        </w:tc>
        <w:tc>
          <w:tcPr>
            <w:tcW w:w="1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240" w:type="dxa"/>
            <w:vAlign w:val="bottom"/>
            <w:gridSpan w:val="2"/>
            <w:vMerge w:val="restart"/>
          </w:tcPr>
          <w:p>
            <w:pPr>
              <w:jc w:val="right"/>
              <w:ind w:right="393"/>
              <w:spacing w:after="0"/>
              <w:rPr>
                <w:sz w:val="20"/>
                <w:szCs w:val="20"/>
                <w:color w:val="auto"/>
              </w:rPr>
            </w:pPr>
            <w:r>
              <w:rPr>
                <w:rFonts w:ascii="Arial" w:cs="Arial" w:eastAsia="Arial" w:hAnsi="Arial"/>
                <w:sz w:val="13"/>
                <w:szCs w:val="13"/>
                <w:b w:val="1"/>
                <w:bCs w:val="1"/>
                <w:color w:val="auto"/>
              </w:rPr>
              <w:t>Investment Based On:</w:t>
            </w:r>
          </w:p>
        </w:tc>
        <w:tc>
          <w:tcPr>
            <w:tcW w:w="1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60" w:type="dxa"/>
            <w:vAlign w:val="bottom"/>
            <w:vMerge w:val="restart"/>
          </w:tcPr>
          <w:p>
            <w:pPr>
              <w:jc w:val="right"/>
              <w:ind w:right="214"/>
              <w:spacing w:after="0" w:line="106" w:lineRule="exact"/>
              <w:rPr>
                <w:sz w:val="20"/>
                <w:szCs w:val="20"/>
                <w:color w:val="auto"/>
              </w:rPr>
            </w:pPr>
            <w:r>
              <w:rPr>
                <w:rFonts w:ascii="Arial" w:cs="Arial" w:eastAsia="Arial" w:hAnsi="Arial"/>
                <w:sz w:val="12"/>
                <w:szCs w:val="12"/>
                <w:b w:val="1"/>
                <w:bCs w:val="1"/>
                <w:color w:val="auto"/>
              </w:rPr>
              <w:t>Compensation</w:t>
            </w:r>
          </w:p>
        </w:tc>
        <w:tc>
          <w:tcPr>
            <w:tcW w:w="1520" w:type="dxa"/>
            <w:vAlign w:val="bottom"/>
            <w:vMerge w:val="restart"/>
          </w:tcPr>
          <w:p>
            <w:pPr>
              <w:jc w:val="right"/>
              <w:ind w:right="154"/>
              <w:spacing w:after="0" w:line="106" w:lineRule="exact"/>
              <w:rPr>
                <w:sz w:val="20"/>
                <w:szCs w:val="20"/>
                <w:color w:val="auto"/>
              </w:rPr>
            </w:pPr>
            <w:r>
              <w:rPr>
                <w:rFonts w:ascii="Arial" w:cs="Arial" w:eastAsia="Arial" w:hAnsi="Arial"/>
                <w:sz w:val="12"/>
                <w:szCs w:val="12"/>
                <w:b w:val="1"/>
                <w:bCs w:val="1"/>
                <w:color w:val="auto"/>
              </w:rPr>
              <w:t>Compensation</w:t>
            </w:r>
          </w:p>
        </w:tc>
        <w:tc>
          <w:tcPr>
            <w:tcW w:w="2240" w:type="dxa"/>
            <w:vAlign w:val="bottom"/>
            <w:gridSpan w:val="2"/>
            <w:vMerge w:val="continue"/>
          </w:tcPr>
          <w:p>
            <w:pPr>
              <w:spacing w:after="0"/>
              <w:rPr>
                <w:sz w:val="7"/>
                <w:szCs w:val="7"/>
                <w:color w:val="auto"/>
              </w:rPr>
            </w:pPr>
          </w:p>
        </w:tc>
        <w:tc>
          <w:tcPr>
            <w:tcW w:w="1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60" w:type="dxa"/>
            <w:vAlign w:val="bottom"/>
            <w:tcBorders>
              <w:bottom w:val="single" w:sz="8" w:color="1A3FD6"/>
            </w:tcBorders>
          </w:tcPr>
          <w:p>
            <w:pPr>
              <w:spacing w:after="0" w:line="20" w:lineRule="exact"/>
              <w:rPr>
                <w:sz w:val="1"/>
                <w:szCs w:val="1"/>
                <w:color w:val="auto"/>
              </w:rPr>
            </w:pPr>
          </w:p>
        </w:tc>
        <w:tc>
          <w:tcPr>
            <w:tcW w:w="980" w:type="dxa"/>
            <w:vAlign w:val="bottom"/>
            <w:tcBorders>
              <w:bottom w:val="single" w:sz="8" w:color="1A3FD6"/>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3"/>
                <w:szCs w:val="13"/>
                <w:b w:val="1"/>
                <w:bCs w:val="1"/>
                <w:color w:val="auto"/>
              </w:rPr>
              <w:t>Summary</w:t>
            </w:r>
          </w:p>
        </w:tc>
        <w:tc>
          <w:tcPr>
            <w:tcW w:w="140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Arial" w:cs="Arial" w:eastAsia="Arial" w:hAnsi="Arial"/>
                <w:sz w:val="13"/>
                <w:szCs w:val="13"/>
                <w:b w:val="1"/>
                <w:bCs w:val="1"/>
                <w:color w:val="auto"/>
              </w:rPr>
              <w:t>Table Total</w:t>
            </w:r>
          </w:p>
        </w:tc>
        <w:tc>
          <w:tcPr>
            <w:tcW w:w="1520" w:type="dxa"/>
            <w:vAlign w:val="bottom"/>
          </w:tcPr>
          <w:p>
            <w:pPr>
              <w:jc w:val="right"/>
              <w:ind w:right="154"/>
              <w:spacing w:after="0"/>
              <w:rPr>
                <w:sz w:val="20"/>
                <w:szCs w:val="20"/>
                <w:color w:val="auto"/>
              </w:rPr>
            </w:pPr>
            <w:r>
              <w:rPr>
                <w:rFonts w:ascii="Arial" w:cs="Arial" w:eastAsia="Arial" w:hAnsi="Arial"/>
                <w:sz w:val="13"/>
                <w:szCs w:val="13"/>
                <w:b w:val="1"/>
                <w:bCs w:val="1"/>
                <w:color w:val="auto"/>
              </w:rPr>
              <w:t>Actually Paid to</w:t>
            </w:r>
          </w:p>
        </w:tc>
        <w:tc>
          <w:tcPr>
            <w:tcW w:w="1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Peer Group</w:t>
            </w: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500" w:type="dxa"/>
            <w:vAlign w:val="bottom"/>
          </w:tcPr>
          <w:p>
            <w:pPr>
              <w:jc w:val="right"/>
              <w:ind w:right="193"/>
              <w:spacing w:after="0"/>
              <w:rPr>
                <w:sz w:val="20"/>
                <w:szCs w:val="20"/>
                <w:color w:val="auto"/>
              </w:rPr>
            </w:pPr>
            <w:r>
              <w:rPr>
                <w:rFonts w:ascii="Arial" w:cs="Arial" w:eastAsia="Arial" w:hAnsi="Arial"/>
                <w:sz w:val="13"/>
                <w:szCs w:val="13"/>
                <w:b w:val="1"/>
                <w:bCs w:val="1"/>
                <w:color w:val="auto"/>
              </w:rPr>
              <w:t>Compensation</w:t>
            </w:r>
          </w:p>
        </w:tc>
        <w:tc>
          <w:tcPr>
            <w:tcW w:w="1400" w:type="dxa"/>
            <w:vAlign w:val="bottom"/>
          </w:tcPr>
          <w:p>
            <w:pPr>
              <w:jc w:val="right"/>
              <w:ind w:right="212"/>
              <w:spacing w:after="0"/>
              <w:rPr>
                <w:sz w:val="20"/>
                <w:szCs w:val="20"/>
                <w:color w:val="auto"/>
              </w:rPr>
            </w:pPr>
            <w:r>
              <w:rPr>
                <w:rFonts w:ascii="Arial" w:cs="Arial" w:eastAsia="Arial" w:hAnsi="Arial"/>
                <w:sz w:val="13"/>
                <w:szCs w:val="13"/>
                <w:b w:val="1"/>
                <w:bCs w:val="1"/>
                <w:color w:val="auto"/>
              </w:rPr>
              <w:t>Compensation</w:t>
            </w:r>
          </w:p>
        </w:tc>
        <w:tc>
          <w:tcPr>
            <w:tcW w:w="1660" w:type="dxa"/>
            <w:vAlign w:val="bottom"/>
          </w:tcPr>
          <w:p>
            <w:pPr>
              <w:jc w:val="right"/>
              <w:ind w:right="214"/>
              <w:spacing w:after="0"/>
              <w:rPr>
                <w:sz w:val="20"/>
                <w:szCs w:val="20"/>
                <w:color w:val="auto"/>
              </w:rPr>
            </w:pPr>
            <w:r>
              <w:rPr>
                <w:rFonts w:ascii="Arial" w:cs="Arial" w:eastAsia="Arial" w:hAnsi="Arial"/>
                <w:sz w:val="13"/>
                <w:szCs w:val="13"/>
                <w:b w:val="1"/>
                <w:bCs w:val="1"/>
                <w:color w:val="auto"/>
              </w:rPr>
              <w:t>for Non-PEO</w:t>
            </w:r>
          </w:p>
        </w:tc>
        <w:tc>
          <w:tcPr>
            <w:tcW w:w="1520" w:type="dxa"/>
            <w:vAlign w:val="bottom"/>
          </w:tcPr>
          <w:p>
            <w:pPr>
              <w:jc w:val="right"/>
              <w:ind w:right="154"/>
              <w:spacing w:after="0"/>
              <w:rPr>
                <w:sz w:val="20"/>
                <w:szCs w:val="20"/>
                <w:color w:val="auto"/>
              </w:rPr>
            </w:pPr>
            <w:r>
              <w:rPr>
                <w:rFonts w:ascii="Arial" w:cs="Arial" w:eastAsia="Arial" w:hAnsi="Arial"/>
                <w:sz w:val="13"/>
                <w:szCs w:val="13"/>
                <w:b w:val="1"/>
                <w:bCs w:val="1"/>
                <w:color w:val="auto"/>
              </w:rPr>
              <w:t>Non-PEO Named</w:t>
            </w:r>
          </w:p>
        </w:tc>
        <w:tc>
          <w:tcPr>
            <w:tcW w:w="1260" w:type="dxa"/>
            <w:vAlign w:val="bottom"/>
          </w:tcPr>
          <w:p>
            <w:pPr>
              <w:jc w:val="right"/>
              <w:ind w:right="133"/>
              <w:spacing w:after="0"/>
              <w:rPr>
                <w:sz w:val="20"/>
                <w:szCs w:val="20"/>
                <w:color w:val="auto"/>
              </w:rPr>
            </w:pPr>
            <w:r>
              <w:rPr>
                <w:rFonts w:ascii="Arial" w:cs="Arial" w:eastAsia="Arial" w:hAnsi="Arial"/>
                <w:sz w:val="13"/>
                <w:szCs w:val="13"/>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1460" w:type="dxa"/>
            <w:vAlign w:val="bottom"/>
          </w:tcPr>
          <w:p>
            <w:pPr>
              <w:jc w:val="right"/>
              <w:ind w:right="132"/>
              <w:spacing w:after="0"/>
              <w:rPr>
                <w:sz w:val="20"/>
                <w:szCs w:val="20"/>
                <w:color w:val="auto"/>
              </w:rPr>
            </w:pPr>
            <w:r>
              <w:rPr>
                <w:rFonts w:ascii="Arial" w:cs="Arial" w:eastAsia="Arial" w:hAnsi="Arial"/>
                <w:sz w:val="13"/>
                <w:szCs w:val="13"/>
                <w:b w:val="1"/>
                <w:bCs w:val="1"/>
                <w:color w:val="auto"/>
              </w:rPr>
              <w:t>Net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500" w:type="dxa"/>
            <w:vAlign w:val="bottom"/>
          </w:tcPr>
          <w:p>
            <w:pPr>
              <w:jc w:val="right"/>
              <w:ind w:right="193"/>
              <w:spacing w:after="0"/>
              <w:rPr>
                <w:sz w:val="20"/>
                <w:szCs w:val="20"/>
                <w:color w:val="auto"/>
              </w:rPr>
            </w:pPr>
            <w:r>
              <w:rPr>
                <w:rFonts w:ascii="Arial" w:cs="Arial" w:eastAsia="Arial" w:hAnsi="Arial"/>
                <w:sz w:val="13"/>
                <w:szCs w:val="13"/>
                <w:b w:val="1"/>
                <w:bCs w:val="1"/>
                <w:color w:val="auto"/>
              </w:rPr>
              <w:t>Table Total</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5"/>
              </w:rPr>
              <w:t>Actually Paid</w:t>
            </w:r>
          </w:p>
        </w:tc>
        <w:tc>
          <w:tcPr>
            <w:tcW w:w="1660" w:type="dxa"/>
            <w:vAlign w:val="bottom"/>
          </w:tcPr>
          <w:p>
            <w:pPr>
              <w:jc w:val="right"/>
              <w:ind w:right="214"/>
              <w:spacing w:after="0"/>
              <w:rPr>
                <w:sz w:val="20"/>
                <w:szCs w:val="20"/>
                <w:color w:val="auto"/>
              </w:rPr>
            </w:pPr>
            <w:r>
              <w:rPr>
                <w:rFonts w:ascii="Arial" w:cs="Arial" w:eastAsia="Arial" w:hAnsi="Arial"/>
                <w:sz w:val="13"/>
                <w:szCs w:val="13"/>
                <w:b w:val="1"/>
                <w:bCs w:val="1"/>
                <w:color w:val="auto"/>
              </w:rPr>
              <w:t>Named Executive</w:t>
            </w:r>
          </w:p>
        </w:tc>
        <w:tc>
          <w:tcPr>
            <w:tcW w:w="1520" w:type="dxa"/>
            <w:vAlign w:val="bottom"/>
          </w:tcPr>
          <w:p>
            <w:pPr>
              <w:jc w:val="right"/>
              <w:ind w:right="154"/>
              <w:spacing w:after="0"/>
              <w:rPr>
                <w:sz w:val="20"/>
                <w:szCs w:val="20"/>
                <w:color w:val="auto"/>
              </w:rPr>
            </w:pPr>
            <w:r>
              <w:rPr>
                <w:rFonts w:ascii="Arial" w:cs="Arial" w:eastAsia="Arial" w:hAnsi="Arial"/>
                <w:sz w:val="13"/>
                <w:szCs w:val="13"/>
                <w:b w:val="1"/>
                <w:bCs w:val="1"/>
                <w:color w:val="auto"/>
              </w:rPr>
              <w:t>Executive</w:t>
            </w:r>
          </w:p>
        </w:tc>
        <w:tc>
          <w:tcPr>
            <w:tcW w:w="1260" w:type="dxa"/>
            <w:vAlign w:val="bottom"/>
          </w:tcPr>
          <w:p>
            <w:pPr>
              <w:jc w:val="right"/>
              <w:ind w:right="133"/>
              <w:spacing w:after="0"/>
              <w:rPr>
                <w:sz w:val="20"/>
                <w:szCs w:val="20"/>
                <w:color w:val="auto"/>
              </w:rPr>
            </w:pPr>
            <w:r>
              <w:rPr>
                <w:rFonts w:ascii="Arial" w:cs="Arial" w:eastAsia="Arial" w:hAnsi="Arial"/>
                <w:sz w:val="13"/>
                <w:szCs w:val="13"/>
                <w:b w:val="1"/>
                <w:bCs w:val="1"/>
                <w:color w:val="auto"/>
              </w:rPr>
              <w:t>Shareholder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Shareholder</w:t>
            </w:r>
          </w:p>
        </w:tc>
        <w:tc>
          <w:tcPr>
            <w:tcW w:w="1460" w:type="dxa"/>
            <w:vAlign w:val="bottom"/>
          </w:tcPr>
          <w:p>
            <w:pPr>
              <w:jc w:val="right"/>
              <w:ind w:right="132"/>
              <w:spacing w:after="0"/>
              <w:rPr>
                <w:sz w:val="20"/>
                <w:szCs w:val="20"/>
                <w:color w:val="auto"/>
              </w:rPr>
            </w:pPr>
            <w:r>
              <w:rPr>
                <w:rFonts w:ascii="Arial" w:cs="Arial" w:eastAsia="Arial" w:hAnsi="Arial"/>
                <w:sz w:val="13"/>
                <w:szCs w:val="13"/>
                <w:b w:val="1"/>
                <w:bCs w:val="1"/>
                <w:color w:val="auto"/>
              </w:rPr>
              <w:t>Income (in</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62"/>
        </w:trPr>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Year</w:t>
            </w:r>
          </w:p>
        </w:tc>
        <w:tc>
          <w:tcPr>
            <w:tcW w:w="1500" w:type="dxa"/>
            <w:vAlign w:val="bottom"/>
          </w:tcPr>
          <w:p>
            <w:pPr>
              <w:jc w:val="right"/>
              <w:ind w:right="193"/>
              <w:spacing w:after="0" w:line="162" w:lineRule="exact"/>
              <w:rPr>
                <w:sz w:val="20"/>
                <w:szCs w:val="20"/>
                <w:color w:val="auto"/>
              </w:rPr>
            </w:pPr>
            <w:r>
              <w:rPr>
                <w:rFonts w:ascii="Arial" w:cs="Arial" w:eastAsia="Arial" w:hAnsi="Arial"/>
                <w:sz w:val="13"/>
                <w:szCs w:val="13"/>
                <w:b w:val="1"/>
                <w:bCs w:val="1"/>
                <w:color w:val="auto"/>
              </w:rPr>
              <w:t>for PEO</w:t>
            </w:r>
            <w:r>
              <w:rPr>
                <w:rFonts w:ascii="Arial" w:cs="Arial" w:eastAsia="Arial" w:hAnsi="Arial"/>
                <w:sz w:val="16"/>
                <w:szCs w:val="16"/>
                <w:b w:val="1"/>
                <w:bCs w:val="1"/>
                <w:color w:val="auto"/>
                <w:vertAlign w:val="superscript"/>
              </w:rPr>
              <w:t>(1)</w:t>
            </w:r>
          </w:p>
        </w:tc>
        <w:tc>
          <w:tcPr>
            <w:tcW w:w="1400" w:type="dxa"/>
            <w:vAlign w:val="bottom"/>
          </w:tcPr>
          <w:p>
            <w:pPr>
              <w:jc w:val="right"/>
              <w:ind w:right="212"/>
              <w:spacing w:after="0" w:line="162" w:lineRule="exact"/>
              <w:rPr>
                <w:sz w:val="20"/>
                <w:szCs w:val="20"/>
                <w:color w:val="auto"/>
              </w:rPr>
            </w:pPr>
            <w:r>
              <w:rPr>
                <w:rFonts w:ascii="Arial" w:cs="Arial" w:eastAsia="Arial" w:hAnsi="Arial"/>
                <w:sz w:val="13"/>
                <w:szCs w:val="13"/>
                <w:b w:val="1"/>
                <w:bCs w:val="1"/>
                <w:color w:val="auto"/>
              </w:rPr>
              <w:t>to PEO</w:t>
            </w:r>
            <w:r>
              <w:rPr>
                <w:rFonts w:ascii="Arial" w:cs="Arial" w:eastAsia="Arial" w:hAnsi="Arial"/>
                <w:sz w:val="16"/>
                <w:szCs w:val="16"/>
                <w:b w:val="1"/>
                <w:bCs w:val="1"/>
                <w:color w:val="auto"/>
                <w:vertAlign w:val="superscript"/>
              </w:rPr>
              <w:t>(2)</w:t>
            </w:r>
          </w:p>
        </w:tc>
        <w:tc>
          <w:tcPr>
            <w:tcW w:w="1660" w:type="dxa"/>
            <w:vAlign w:val="bottom"/>
          </w:tcPr>
          <w:p>
            <w:pPr>
              <w:jc w:val="right"/>
              <w:ind w:right="214"/>
              <w:spacing w:after="0" w:line="162" w:lineRule="exact"/>
              <w:rPr>
                <w:sz w:val="20"/>
                <w:szCs w:val="20"/>
                <w:color w:val="auto"/>
              </w:rPr>
            </w:pPr>
            <w:r>
              <w:rPr>
                <w:rFonts w:ascii="Arial" w:cs="Arial" w:eastAsia="Arial" w:hAnsi="Arial"/>
                <w:sz w:val="13"/>
                <w:szCs w:val="13"/>
                <w:b w:val="1"/>
                <w:bCs w:val="1"/>
                <w:color w:val="auto"/>
              </w:rPr>
              <w:t>Officers</w:t>
            </w:r>
            <w:r>
              <w:rPr>
                <w:rFonts w:ascii="Arial" w:cs="Arial" w:eastAsia="Arial" w:hAnsi="Arial"/>
                <w:sz w:val="16"/>
                <w:szCs w:val="16"/>
                <w:b w:val="1"/>
                <w:bCs w:val="1"/>
                <w:color w:val="auto"/>
                <w:vertAlign w:val="superscript"/>
              </w:rPr>
              <w:t>(1)</w:t>
            </w:r>
          </w:p>
        </w:tc>
        <w:tc>
          <w:tcPr>
            <w:tcW w:w="1520" w:type="dxa"/>
            <w:vAlign w:val="bottom"/>
          </w:tcPr>
          <w:p>
            <w:pPr>
              <w:jc w:val="right"/>
              <w:ind w:right="154"/>
              <w:spacing w:after="0" w:line="162" w:lineRule="exact"/>
              <w:rPr>
                <w:sz w:val="20"/>
                <w:szCs w:val="20"/>
                <w:color w:val="auto"/>
              </w:rPr>
            </w:pPr>
            <w:r>
              <w:rPr>
                <w:rFonts w:ascii="Arial" w:cs="Arial" w:eastAsia="Arial" w:hAnsi="Arial"/>
                <w:sz w:val="13"/>
                <w:szCs w:val="13"/>
                <w:b w:val="1"/>
                <w:bCs w:val="1"/>
                <w:color w:val="auto"/>
              </w:rPr>
              <w:t>Officers</w:t>
            </w:r>
            <w:r>
              <w:rPr>
                <w:rFonts w:ascii="Arial" w:cs="Arial" w:eastAsia="Arial" w:hAnsi="Arial"/>
                <w:sz w:val="16"/>
                <w:szCs w:val="16"/>
                <w:b w:val="1"/>
                <w:bCs w:val="1"/>
                <w:color w:val="auto"/>
                <w:vertAlign w:val="superscript"/>
              </w:rPr>
              <w:t>(2)</w:t>
            </w:r>
          </w:p>
        </w:tc>
        <w:tc>
          <w:tcPr>
            <w:tcW w:w="1260" w:type="dxa"/>
            <w:vAlign w:val="bottom"/>
          </w:tcPr>
          <w:p>
            <w:pPr>
              <w:jc w:val="right"/>
              <w:ind w:right="133"/>
              <w:spacing w:after="0" w:line="162" w:lineRule="exact"/>
              <w:rPr>
                <w:sz w:val="20"/>
                <w:szCs w:val="20"/>
                <w:color w:val="auto"/>
              </w:rPr>
            </w:pPr>
            <w:r>
              <w:rPr>
                <w:rFonts w:ascii="Arial" w:cs="Arial" w:eastAsia="Arial" w:hAnsi="Arial"/>
                <w:sz w:val="13"/>
                <w:szCs w:val="13"/>
                <w:b w:val="1"/>
                <w:bCs w:val="1"/>
                <w:color w:val="auto"/>
              </w:rPr>
              <w:t>Return</w:t>
            </w:r>
            <w:r>
              <w:rPr>
                <w:rFonts w:ascii="Arial" w:cs="Arial" w:eastAsia="Arial" w:hAnsi="Arial"/>
                <w:sz w:val="16"/>
                <w:szCs w:val="16"/>
                <w:b w:val="1"/>
                <w:bCs w:val="1"/>
                <w:color w:val="auto"/>
                <w:vertAlign w:val="superscript"/>
              </w:rPr>
              <w:t>(3)</w:t>
            </w:r>
          </w:p>
        </w:tc>
        <w:tc>
          <w:tcPr>
            <w:tcW w:w="98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Return</w:t>
            </w:r>
            <w:r>
              <w:rPr>
                <w:rFonts w:ascii="Arial" w:cs="Arial" w:eastAsia="Arial" w:hAnsi="Arial"/>
                <w:sz w:val="16"/>
                <w:szCs w:val="16"/>
                <w:b w:val="1"/>
                <w:bCs w:val="1"/>
                <w:color w:val="auto"/>
                <w:vertAlign w:val="superscript"/>
              </w:rPr>
              <w:t>(3)</w:t>
            </w:r>
          </w:p>
        </w:tc>
        <w:tc>
          <w:tcPr>
            <w:tcW w:w="1460" w:type="dxa"/>
            <w:vAlign w:val="bottom"/>
          </w:tcPr>
          <w:p>
            <w:pPr>
              <w:jc w:val="right"/>
              <w:ind w:right="132"/>
              <w:spacing w:after="0" w:line="162" w:lineRule="exact"/>
              <w:rPr>
                <w:sz w:val="20"/>
                <w:szCs w:val="20"/>
                <w:color w:val="auto"/>
              </w:rPr>
            </w:pPr>
            <w:r>
              <w:rPr>
                <w:rFonts w:ascii="Arial" w:cs="Arial" w:eastAsia="Arial" w:hAnsi="Arial"/>
                <w:sz w:val="13"/>
                <w:szCs w:val="13"/>
                <w:b w:val="1"/>
                <w:bCs w:val="1"/>
                <w:color w:val="auto"/>
              </w:rPr>
              <w:t>Thousands)</w:t>
            </w:r>
            <w:r>
              <w:rPr>
                <w:rFonts w:ascii="Arial" w:cs="Arial" w:eastAsia="Arial" w:hAnsi="Arial"/>
                <w:sz w:val="16"/>
                <w:szCs w:val="16"/>
                <w:b w:val="1"/>
                <w:bCs w:val="1"/>
                <w:color w:val="auto"/>
                <w:vertAlign w:val="superscript"/>
              </w:rPr>
              <w:t>(4)</w:t>
            </w:r>
          </w:p>
        </w:tc>
        <w:tc>
          <w:tcPr>
            <w:tcW w:w="76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EPS</w:t>
            </w:r>
            <w:r>
              <w:rPr>
                <w:rFonts w:ascii="Arial" w:cs="Arial" w:eastAsia="Arial" w:hAnsi="Arial"/>
                <w:sz w:val="16"/>
                <w:szCs w:val="16"/>
                <w:b w:val="1"/>
                <w:bCs w:val="1"/>
                <w:color w:val="auto"/>
                <w:vertAlign w:val="superscript"/>
              </w:rPr>
              <w:t>(5)</w:t>
            </w:r>
          </w:p>
        </w:tc>
        <w:tc>
          <w:tcPr>
            <w:tcW w:w="0" w:type="dxa"/>
            <w:vAlign w:val="bottom"/>
          </w:tcPr>
          <w:p>
            <w:pPr>
              <w:spacing w:after="0"/>
              <w:rPr>
                <w:sz w:val="1"/>
                <w:szCs w:val="1"/>
                <w:color w:val="auto"/>
              </w:rPr>
            </w:pPr>
          </w:p>
        </w:tc>
      </w:tr>
      <w:tr>
        <w:trPr>
          <w:trHeight w:val="185"/>
        </w:trPr>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(a)</w:t>
            </w:r>
          </w:p>
        </w:tc>
        <w:tc>
          <w:tcPr>
            <w:tcW w:w="1500" w:type="dxa"/>
            <w:vAlign w:val="bottom"/>
          </w:tcPr>
          <w:p>
            <w:pPr>
              <w:jc w:val="right"/>
              <w:ind w:right="193"/>
              <w:spacing w:after="0"/>
              <w:rPr>
                <w:sz w:val="20"/>
                <w:szCs w:val="20"/>
                <w:color w:val="auto"/>
              </w:rPr>
            </w:pPr>
            <w:r>
              <w:rPr>
                <w:rFonts w:ascii="Arial" w:cs="Arial" w:eastAsia="Arial" w:hAnsi="Arial"/>
                <w:sz w:val="13"/>
                <w:szCs w:val="13"/>
                <w:b w:val="1"/>
                <w:bCs w:val="1"/>
                <w:color w:val="auto"/>
              </w:rPr>
              <w:t>($) (b)</w:t>
            </w:r>
          </w:p>
        </w:tc>
        <w:tc>
          <w:tcPr>
            <w:tcW w:w="1400" w:type="dxa"/>
            <w:vAlign w:val="bottom"/>
          </w:tcPr>
          <w:p>
            <w:pPr>
              <w:jc w:val="right"/>
              <w:ind w:right="212"/>
              <w:spacing w:after="0"/>
              <w:rPr>
                <w:sz w:val="20"/>
                <w:szCs w:val="20"/>
                <w:color w:val="auto"/>
              </w:rPr>
            </w:pPr>
            <w:r>
              <w:rPr>
                <w:rFonts w:ascii="Arial" w:cs="Arial" w:eastAsia="Arial" w:hAnsi="Arial"/>
                <w:sz w:val="13"/>
                <w:szCs w:val="13"/>
                <w:b w:val="1"/>
                <w:bCs w:val="1"/>
                <w:color w:val="auto"/>
              </w:rPr>
              <w:t>($) (c)</w:t>
            </w:r>
          </w:p>
        </w:tc>
        <w:tc>
          <w:tcPr>
            <w:tcW w:w="1660" w:type="dxa"/>
            <w:vAlign w:val="bottom"/>
          </w:tcPr>
          <w:p>
            <w:pPr>
              <w:jc w:val="right"/>
              <w:ind w:right="214"/>
              <w:spacing w:after="0"/>
              <w:rPr>
                <w:sz w:val="20"/>
                <w:szCs w:val="20"/>
                <w:color w:val="auto"/>
              </w:rPr>
            </w:pPr>
            <w:r>
              <w:rPr>
                <w:rFonts w:ascii="Arial" w:cs="Arial" w:eastAsia="Arial" w:hAnsi="Arial"/>
                <w:sz w:val="13"/>
                <w:szCs w:val="13"/>
                <w:b w:val="1"/>
                <w:bCs w:val="1"/>
                <w:color w:val="auto"/>
              </w:rPr>
              <w:t>($) (d)</w:t>
            </w:r>
          </w:p>
        </w:tc>
        <w:tc>
          <w:tcPr>
            <w:tcW w:w="1520" w:type="dxa"/>
            <w:vAlign w:val="bottom"/>
          </w:tcPr>
          <w:p>
            <w:pPr>
              <w:jc w:val="right"/>
              <w:ind w:right="154"/>
              <w:spacing w:after="0"/>
              <w:rPr>
                <w:sz w:val="20"/>
                <w:szCs w:val="20"/>
                <w:color w:val="auto"/>
              </w:rPr>
            </w:pPr>
            <w:r>
              <w:rPr>
                <w:rFonts w:ascii="Arial" w:cs="Arial" w:eastAsia="Arial" w:hAnsi="Arial"/>
                <w:sz w:val="13"/>
                <w:szCs w:val="13"/>
                <w:b w:val="1"/>
                <w:bCs w:val="1"/>
                <w:color w:val="auto"/>
              </w:rPr>
              <w:t>($) (e)</w:t>
            </w:r>
          </w:p>
        </w:tc>
        <w:tc>
          <w:tcPr>
            <w:tcW w:w="1260" w:type="dxa"/>
            <w:vAlign w:val="bottom"/>
          </w:tcPr>
          <w:p>
            <w:pPr>
              <w:jc w:val="right"/>
              <w:ind w:right="133"/>
              <w:spacing w:after="0"/>
              <w:rPr>
                <w:sz w:val="20"/>
                <w:szCs w:val="20"/>
                <w:color w:val="auto"/>
              </w:rPr>
            </w:pPr>
            <w:r>
              <w:rPr>
                <w:rFonts w:ascii="Arial" w:cs="Arial" w:eastAsia="Arial" w:hAnsi="Arial"/>
                <w:sz w:val="13"/>
                <w:szCs w:val="13"/>
                <w:b w:val="1"/>
                <w:bCs w:val="1"/>
                <w:color w:val="auto"/>
              </w:rPr>
              <w:t>($) (f)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 (g)</w:t>
            </w:r>
          </w:p>
        </w:tc>
        <w:tc>
          <w:tcPr>
            <w:tcW w:w="1460" w:type="dxa"/>
            <w:vAlign w:val="bottom"/>
          </w:tcPr>
          <w:p>
            <w:pPr>
              <w:jc w:val="right"/>
              <w:ind w:right="132"/>
              <w:spacing w:after="0"/>
              <w:rPr>
                <w:sz w:val="20"/>
                <w:szCs w:val="20"/>
                <w:color w:val="auto"/>
              </w:rPr>
            </w:pPr>
            <w:r>
              <w:rPr>
                <w:rFonts w:ascii="Arial" w:cs="Arial" w:eastAsia="Arial" w:hAnsi="Arial"/>
                <w:sz w:val="13"/>
                <w:szCs w:val="13"/>
                <w:b w:val="1"/>
                <w:bCs w:val="1"/>
                <w:color w:val="auto"/>
              </w:rPr>
              <w:t>($) (h)</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 (i)</w:t>
            </w:r>
          </w:p>
        </w:tc>
        <w:tc>
          <w:tcPr>
            <w:tcW w:w="0" w:type="dxa"/>
            <w:vAlign w:val="bottom"/>
          </w:tcPr>
          <w:p>
            <w:pPr>
              <w:spacing w:after="0"/>
              <w:rPr>
                <w:sz w:val="1"/>
                <w:szCs w:val="1"/>
                <w:color w:val="auto"/>
              </w:rPr>
            </w:pPr>
          </w:p>
        </w:tc>
      </w:tr>
      <w:tr>
        <w:trPr>
          <w:trHeight w:val="22"/>
        </w:trPr>
        <w:tc>
          <w:tcPr>
            <w:tcW w:w="700" w:type="dxa"/>
            <w:vAlign w:val="bottom"/>
            <w:tcBorders>
              <w:bottom w:val="single" w:sz="8" w:color="1A3FD6"/>
            </w:tcBorders>
          </w:tcPr>
          <w:p>
            <w:pPr>
              <w:spacing w:after="0" w:line="20" w:lineRule="exact"/>
              <w:rPr>
                <w:sz w:val="1"/>
                <w:szCs w:val="1"/>
                <w:color w:val="auto"/>
              </w:rPr>
            </w:pPr>
          </w:p>
        </w:tc>
        <w:tc>
          <w:tcPr>
            <w:tcW w:w="1500" w:type="dxa"/>
            <w:vAlign w:val="bottom"/>
            <w:tcBorders>
              <w:bottom w:val="single" w:sz="8" w:color="1A3FD6"/>
            </w:tcBorders>
          </w:tcPr>
          <w:p>
            <w:pPr>
              <w:spacing w:after="0" w:line="20" w:lineRule="exact"/>
              <w:rPr>
                <w:sz w:val="1"/>
                <w:szCs w:val="1"/>
                <w:color w:val="auto"/>
              </w:rPr>
            </w:pPr>
          </w:p>
        </w:tc>
        <w:tc>
          <w:tcPr>
            <w:tcW w:w="1400" w:type="dxa"/>
            <w:vAlign w:val="bottom"/>
            <w:tcBorders>
              <w:bottom w:val="single" w:sz="8" w:color="1A3FD6"/>
            </w:tcBorders>
          </w:tcPr>
          <w:p>
            <w:pPr>
              <w:spacing w:after="0" w:line="20" w:lineRule="exact"/>
              <w:rPr>
                <w:sz w:val="1"/>
                <w:szCs w:val="1"/>
                <w:color w:val="auto"/>
              </w:rPr>
            </w:pPr>
          </w:p>
        </w:tc>
        <w:tc>
          <w:tcPr>
            <w:tcW w:w="1660" w:type="dxa"/>
            <w:vAlign w:val="bottom"/>
            <w:tcBorders>
              <w:bottom w:val="single" w:sz="8" w:color="1A3FD6"/>
            </w:tcBorders>
          </w:tcPr>
          <w:p>
            <w:pPr>
              <w:spacing w:after="0" w:line="20" w:lineRule="exact"/>
              <w:rPr>
                <w:sz w:val="1"/>
                <w:szCs w:val="1"/>
                <w:color w:val="auto"/>
              </w:rPr>
            </w:pPr>
          </w:p>
        </w:tc>
        <w:tc>
          <w:tcPr>
            <w:tcW w:w="1520" w:type="dxa"/>
            <w:vAlign w:val="bottom"/>
            <w:tcBorders>
              <w:bottom w:val="single" w:sz="8" w:color="1A3FD6"/>
            </w:tcBorders>
          </w:tcPr>
          <w:p>
            <w:pPr>
              <w:spacing w:after="0" w:line="20" w:lineRule="exact"/>
              <w:rPr>
                <w:sz w:val="1"/>
                <w:szCs w:val="1"/>
                <w:color w:val="auto"/>
              </w:rPr>
            </w:pPr>
          </w:p>
        </w:tc>
        <w:tc>
          <w:tcPr>
            <w:tcW w:w="1260" w:type="dxa"/>
            <w:vAlign w:val="bottom"/>
            <w:tcBorders>
              <w:bottom w:val="single" w:sz="8" w:color="1A3FD6"/>
            </w:tcBorders>
          </w:tcPr>
          <w:p>
            <w:pPr>
              <w:spacing w:after="0" w:line="20" w:lineRule="exact"/>
              <w:rPr>
                <w:sz w:val="1"/>
                <w:szCs w:val="1"/>
                <w:color w:val="auto"/>
              </w:rPr>
            </w:pPr>
          </w:p>
        </w:tc>
        <w:tc>
          <w:tcPr>
            <w:tcW w:w="980" w:type="dxa"/>
            <w:vAlign w:val="bottom"/>
            <w:tcBorders>
              <w:bottom w:val="single" w:sz="8" w:color="1A3FD6"/>
            </w:tcBorders>
          </w:tcPr>
          <w:p>
            <w:pPr>
              <w:spacing w:after="0" w:line="20" w:lineRule="exact"/>
              <w:rPr>
                <w:sz w:val="1"/>
                <w:szCs w:val="1"/>
                <w:color w:val="auto"/>
              </w:rPr>
            </w:pPr>
          </w:p>
        </w:tc>
        <w:tc>
          <w:tcPr>
            <w:tcW w:w="1460" w:type="dxa"/>
            <w:vAlign w:val="bottom"/>
            <w:tcBorders>
              <w:bottom w:val="single" w:sz="8" w:color="1A3FD6"/>
            </w:tcBorders>
          </w:tcPr>
          <w:p>
            <w:pPr>
              <w:spacing w:after="0" w:line="20" w:lineRule="exact"/>
              <w:rPr>
                <w:sz w:val="1"/>
                <w:szCs w:val="1"/>
                <w:color w:val="auto"/>
              </w:rPr>
            </w:pPr>
          </w:p>
        </w:tc>
        <w:tc>
          <w:tcPr>
            <w:tcW w:w="760" w:type="dxa"/>
            <w:vAlign w:val="bottom"/>
            <w:tcBorders>
              <w:bottom w:val="single" w:sz="8" w:color="1A3FD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00" w:type="dxa"/>
            <w:vAlign w:val="bottom"/>
          </w:tcPr>
          <w:p>
            <w:pPr>
              <w:ind w:left="20"/>
              <w:spacing w:after="0"/>
              <w:rPr>
                <w:sz w:val="20"/>
                <w:szCs w:val="20"/>
                <w:color w:val="auto"/>
              </w:rPr>
            </w:pPr>
            <w:r>
              <w:rPr>
                <w:rFonts w:ascii="Arial" w:cs="Arial" w:eastAsia="Arial" w:hAnsi="Arial"/>
                <w:sz w:val="14"/>
                <w:szCs w:val="14"/>
                <w:color w:val="auto"/>
              </w:rPr>
              <w:t>2025</w:t>
            </w:r>
          </w:p>
        </w:tc>
        <w:tc>
          <w:tcPr>
            <w:tcW w:w="1500" w:type="dxa"/>
            <w:vAlign w:val="bottom"/>
          </w:tcPr>
          <w:p>
            <w:pPr>
              <w:jc w:val="right"/>
              <w:ind w:right="253"/>
              <w:spacing w:after="0"/>
              <w:rPr>
                <w:sz w:val="20"/>
                <w:szCs w:val="20"/>
                <w:color w:val="auto"/>
              </w:rPr>
            </w:pPr>
            <w:r>
              <w:rPr>
                <w:rFonts w:ascii="Arial" w:cs="Arial" w:eastAsia="Arial" w:hAnsi="Arial"/>
                <w:sz w:val="14"/>
                <w:szCs w:val="14"/>
                <w:color w:val="auto"/>
              </w:rPr>
              <w:t>33,320,590</w:t>
            </w:r>
          </w:p>
        </w:tc>
        <w:tc>
          <w:tcPr>
            <w:tcW w:w="1400" w:type="dxa"/>
            <w:vAlign w:val="bottom"/>
          </w:tcPr>
          <w:p>
            <w:pPr>
              <w:jc w:val="center"/>
              <w:spacing w:after="0"/>
              <w:rPr>
                <w:sz w:val="20"/>
                <w:szCs w:val="20"/>
                <w:color w:val="auto"/>
              </w:rPr>
            </w:pPr>
            <w:r>
              <w:rPr>
                <w:rFonts w:ascii="Arial" w:cs="Arial" w:eastAsia="Arial" w:hAnsi="Arial"/>
                <w:sz w:val="14"/>
                <w:szCs w:val="14"/>
                <w:color w:val="auto"/>
              </w:rPr>
              <w:t>19,771,649</w:t>
            </w:r>
          </w:p>
        </w:tc>
        <w:tc>
          <w:tcPr>
            <w:tcW w:w="1660" w:type="dxa"/>
            <w:vAlign w:val="bottom"/>
          </w:tcPr>
          <w:p>
            <w:pPr>
              <w:jc w:val="right"/>
              <w:ind w:right="254"/>
              <w:spacing w:after="0"/>
              <w:rPr>
                <w:sz w:val="20"/>
                <w:szCs w:val="20"/>
                <w:color w:val="auto"/>
              </w:rPr>
            </w:pPr>
            <w:r>
              <w:rPr>
                <w:rFonts w:ascii="Arial" w:cs="Arial" w:eastAsia="Arial" w:hAnsi="Arial"/>
                <w:sz w:val="14"/>
                <w:szCs w:val="14"/>
                <w:color w:val="auto"/>
              </w:rPr>
              <w:t>5,765,024</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2,858,566</w:t>
            </w:r>
          </w:p>
        </w:tc>
        <w:tc>
          <w:tcPr>
            <w:tcW w:w="1260" w:type="dxa"/>
            <w:vAlign w:val="bottom"/>
          </w:tcPr>
          <w:p>
            <w:pPr>
              <w:jc w:val="right"/>
              <w:ind w:right="193"/>
              <w:spacing w:after="0"/>
              <w:rPr>
                <w:sz w:val="20"/>
                <w:szCs w:val="20"/>
                <w:color w:val="auto"/>
              </w:rPr>
            </w:pPr>
            <w:r>
              <w:rPr>
                <w:rFonts w:ascii="Arial" w:cs="Arial" w:eastAsia="Arial" w:hAnsi="Arial"/>
                <w:sz w:val="14"/>
                <w:szCs w:val="14"/>
                <w:color w:val="auto"/>
              </w:rPr>
              <w:t>135.2</w:t>
            </w: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208.4</w:t>
            </w:r>
          </w:p>
        </w:tc>
        <w:tc>
          <w:tcPr>
            <w:tcW w:w="1460" w:type="dxa"/>
            <w:vAlign w:val="bottom"/>
          </w:tcPr>
          <w:p>
            <w:pPr>
              <w:jc w:val="right"/>
              <w:ind w:right="192"/>
              <w:spacing w:after="0"/>
              <w:rPr>
                <w:sz w:val="20"/>
                <w:szCs w:val="20"/>
                <w:color w:val="auto"/>
              </w:rPr>
            </w:pPr>
            <w:r>
              <w:rPr>
                <w:rFonts w:ascii="Arial" w:cs="Arial" w:eastAsia="Arial" w:hAnsi="Arial"/>
                <w:sz w:val="14"/>
                <w:szCs w:val="14"/>
                <w:color w:val="auto"/>
              </w:rPr>
              <w:t>1,202,305</w:t>
            </w:r>
          </w:p>
        </w:tc>
        <w:tc>
          <w:tcPr>
            <w:tcW w:w="760" w:type="dxa"/>
            <w:vAlign w:val="bottom"/>
          </w:tcPr>
          <w:p>
            <w:pPr>
              <w:jc w:val="right"/>
              <w:spacing w:after="0"/>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35"/>
        </w:trPr>
        <w:tc>
          <w:tcPr>
            <w:tcW w:w="70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400" w:type="dxa"/>
            <w:vAlign w:val="bottom"/>
            <w:tcBorders>
              <w:bottom w:val="single" w:sz="8" w:color="E6E7E8"/>
            </w:tcBorders>
          </w:tcPr>
          <w:p>
            <w:pPr>
              <w:spacing w:after="0"/>
              <w:rPr>
                <w:sz w:val="3"/>
                <w:szCs w:val="3"/>
                <w:color w:val="auto"/>
              </w:rPr>
            </w:pPr>
          </w:p>
        </w:tc>
        <w:tc>
          <w:tcPr>
            <w:tcW w:w="1660" w:type="dxa"/>
            <w:vAlign w:val="bottom"/>
            <w:tcBorders>
              <w:bottom w:val="single" w:sz="8" w:color="E6E7E8"/>
            </w:tcBorders>
          </w:tcPr>
          <w:p>
            <w:pPr>
              <w:spacing w:after="0"/>
              <w:rPr>
                <w:sz w:val="3"/>
                <w:szCs w:val="3"/>
                <w:color w:val="auto"/>
              </w:rPr>
            </w:pPr>
          </w:p>
        </w:tc>
        <w:tc>
          <w:tcPr>
            <w:tcW w:w="1520" w:type="dxa"/>
            <w:vAlign w:val="bottom"/>
            <w:tcBorders>
              <w:bottom w:val="single" w:sz="8" w:color="E6E7E8"/>
            </w:tcBorders>
          </w:tcPr>
          <w:p>
            <w:pPr>
              <w:spacing w:after="0"/>
              <w:rPr>
                <w:sz w:val="3"/>
                <w:szCs w:val="3"/>
                <w:color w:val="auto"/>
              </w:rPr>
            </w:pPr>
          </w:p>
        </w:tc>
        <w:tc>
          <w:tcPr>
            <w:tcW w:w="1260" w:type="dxa"/>
            <w:vAlign w:val="bottom"/>
            <w:tcBorders>
              <w:bottom w:val="single" w:sz="8" w:color="E6E7E8"/>
            </w:tcBorders>
          </w:tcPr>
          <w:p>
            <w:pPr>
              <w:spacing w:after="0"/>
              <w:rPr>
                <w:sz w:val="3"/>
                <w:szCs w:val="3"/>
                <w:color w:val="auto"/>
              </w:rPr>
            </w:pPr>
          </w:p>
        </w:tc>
        <w:tc>
          <w:tcPr>
            <w:tcW w:w="980" w:type="dxa"/>
            <w:vAlign w:val="bottom"/>
            <w:tcBorders>
              <w:bottom w:val="single" w:sz="8" w:color="E6E7E8"/>
            </w:tcBorders>
          </w:tcPr>
          <w:p>
            <w:pPr>
              <w:spacing w:after="0"/>
              <w:rPr>
                <w:sz w:val="3"/>
                <w:szCs w:val="3"/>
                <w:color w:val="auto"/>
              </w:rPr>
            </w:pPr>
          </w:p>
        </w:tc>
        <w:tc>
          <w:tcPr>
            <w:tcW w:w="1460" w:type="dxa"/>
            <w:vAlign w:val="bottom"/>
            <w:tcBorders>
              <w:bottom w:val="single" w:sz="8" w:color="E6E7E8"/>
            </w:tcBorders>
          </w:tcPr>
          <w:p>
            <w:pPr>
              <w:spacing w:after="0"/>
              <w:rPr>
                <w:sz w:val="3"/>
                <w:szCs w:val="3"/>
                <w:color w:val="auto"/>
              </w:rPr>
            </w:pPr>
          </w:p>
        </w:tc>
        <w:tc>
          <w:tcPr>
            <w:tcW w:w="76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700" w:type="dxa"/>
            <w:vAlign w:val="bottom"/>
          </w:tcPr>
          <w:p>
            <w:pPr>
              <w:ind w:left="20"/>
              <w:spacing w:after="0"/>
              <w:rPr>
                <w:sz w:val="20"/>
                <w:szCs w:val="20"/>
                <w:color w:val="auto"/>
              </w:rPr>
            </w:pPr>
            <w:r>
              <w:rPr>
                <w:rFonts w:ascii="Arial" w:cs="Arial" w:eastAsia="Arial" w:hAnsi="Arial"/>
                <w:sz w:val="14"/>
                <w:szCs w:val="14"/>
                <w:color w:val="auto"/>
              </w:rPr>
              <w:t>2024</w:t>
            </w:r>
          </w:p>
        </w:tc>
        <w:tc>
          <w:tcPr>
            <w:tcW w:w="1500" w:type="dxa"/>
            <w:vAlign w:val="bottom"/>
          </w:tcPr>
          <w:p>
            <w:pPr>
              <w:jc w:val="right"/>
              <w:ind w:right="253"/>
              <w:spacing w:after="0"/>
              <w:rPr>
                <w:sz w:val="20"/>
                <w:szCs w:val="20"/>
                <w:color w:val="auto"/>
              </w:rPr>
            </w:pPr>
            <w:r>
              <w:rPr>
                <w:rFonts w:ascii="Arial" w:cs="Arial" w:eastAsia="Arial" w:hAnsi="Arial"/>
                <w:sz w:val="14"/>
                <w:szCs w:val="14"/>
                <w:color w:val="auto"/>
              </w:rPr>
              <w:t>15,696,607</w:t>
            </w:r>
          </w:p>
        </w:tc>
        <w:tc>
          <w:tcPr>
            <w:tcW w:w="1400" w:type="dxa"/>
            <w:vAlign w:val="bottom"/>
          </w:tcPr>
          <w:p>
            <w:pPr>
              <w:jc w:val="center"/>
              <w:spacing w:after="0"/>
              <w:rPr>
                <w:sz w:val="20"/>
                <w:szCs w:val="20"/>
                <w:color w:val="auto"/>
              </w:rPr>
            </w:pPr>
            <w:r>
              <w:rPr>
                <w:rFonts w:ascii="Arial" w:cs="Arial" w:eastAsia="Arial" w:hAnsi="Arial"/>
                <w:sz w:val="14"/>
                <w:szCs w:val="14"/>
                <w:color w:val="auto"/>
              </w:rPr>
              <w:t>17,879,415</w:t>
            </w:r>
          </w:p>
        </w:tc>
        <w:tc>
          <w:tcPr>
            <w:tcW w:w="1660" w:type="dxa"/>
            <w:vAlign w:val="bottom"/>
          </w:tcPr>
          <w:p>
            <w:pPr>
              <w:jc w:val="right"/>
              <w:ind w:right="254"/>
              <w:spacing w:after="0"/>
              <w:rPr>
                <w:sz w:val="20"/>
                <w:szCs w:val="20"/>
                <w:color w:val="auto"/>
              </w:rPr>
            </w:pPr>
            <w:r>
              <w:rPr>
                <w:rFonts w:ascii="Arial" w:cs="Arial" w:eastAsia="Arial" w:hAnsi="Arial"/>
                <w:sz w:val="14"/>
                <w:szCs w:val="14"/>
                <w:color w:val="auto"/>
              </w:rPr>
              <w:t>4,765,696</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4,657,379</w:t>
            </w:r>
          </w:p>
        </w:tc>
        <w:tc>
          <w:tcPr>
            <w:tcW w:w="1260" w:type="dxa"/>
            <w:vAlign w:val="bottom"/>
          </w:tcPr>
          <w:p>
            <w:pPr>
              <w:jc w:val="right"/>
              <w:ind w:right="193"/>
              <w:spacing w:after="0"/>
              <w:rPr>
                <w:sz w:val="20"/>
                <w:szCs w:val="20"/>
                <w:color w:val="auto"/>
              </w:rPr>
            </w:pPr>
            <w:r>
              <w:rPr>
                <w:rFonts w:ascii="Arial" w:cs="Arial" w:eastAsia="Arial" w:hAnsi="Arial"/>
                <w:sz w:val="14"/>
                <w:szCs w:val="14"/>
                <w:color w:val="auto"/>
              </w:rPr>
              <w:t>139.7</w:t>
            </w: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180.1</w:t>
            </w:r>
          </w:p>
        </w:tc>
        <w:tc>
          <w:tcPr>
            <w:tcW w:w="1460" w:type="dxa"/>
            <w:vAlign w:val="bottom"/>
          </w:tcPr>
          <w:p>
            <w:pPr>
              <w:jc w:val="right"/>
              <w:ind w:right="192"/>
              <w:spacing w:after="0"/>
              <w:rPr>
                <w:sz w:val="20"/>
                <w:szCs w:val="20"/>
                <w:color w:val="auto"/>
              </w:rPr>
            </w:pPr>
            <w:r>
              <w:rPr>
                <w:rFonts w:ascii="Arial" w:cs="Arial" w:eastAsia="Arial" w:hAnsi="Arial"/>
                <w:sz w:val="14"/>
                <w:szCs w:val="14"/>
                <w:color w:val="auto"/>
              </w:rPr>
              <w:t>1,109,128</w:t>
            </w:r>
          </w:p>
        </w:tc>
        <w:tc>
          <w:tcPr>
            <w:tcW w:w="760" w:type="dxa"/>
            <w:vAlign w:val="bottom"/>
          </w:tcPr>
          <w:p>
            <w:pPr>
              <w:jc w:val="right"/>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35"/>
        </w:trPr>
        <w:tc>
          <w:tcPr>
            <w:tcW w:w="70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400" w:type="dxa"/>
            <w:vAlign w:val="bottom"/>
            <w:tcBorders>
              <w:bottom w:val="single" w:sz="8" w:color="E6E7E8"/>
            </w:tcBorders>
          </w:tcPr>
          <w:p>
            <w:pPr>
              <w:spacing w:after="0"/>
              <w:rPr>
                <w:sz w:val="3"/>
                <w:szCs w:val="3"/>
                <w:color w:val="auto"/>
              </w:rPr>
            </w:pPr>
          </w:p>
        </w:tc>
        <w:tc>
          <w:tcPr>
            <w:tcW w:w="1660" w:type="dxa"/>
            <w:vAlign w:val="bottom"/>
            <w:tcBorders>
              <w:bottom w:val="single" w:sz="8" w:color="E6E7E8"/>
            </w:tcBorders>
          </w:tcPr>
          <w:p>
            <w:pPr>
              <w:spacing w:after="0"/>
              <w:rPr>
                <w:sz w:val="3"/>
                <w:szCs w:val="3"/>
                <w:color w:val="auto"/>
              </w:rPr>
            </w:pPr>
          </w:p>
        </w:tc>
        <w:tc>
          <w:tcPr>
            <w:tcW w:w="1520" w:type="dxa"/>
            <w:vAlign w:val="bottom"/>
            <w:tcBorders>
              <w:bottom w:val="single" w:sz="8" w:color="E6E7E8"/>
            </w:tcBorders>
          </w:tcPr>
          <w:p>
            <w:pPr>
              <w:spacing w:after="0"/>
              <w:rPr>
                <w:sz w:val="3"/>
                <w:szCs w:val="3"/>
                <w:color w:val="auto"/>
              </w:rPr>
            </w:pPr>
          </w:p>
        </w:tc>
        <w:tc>
          <w:tcPr>
            <w:tcW w:w="1260" w:type="dxa"/>
            <w:vAlign w:val="bottom"/>
            <w:tcBorders>
              <w:bottom w:val="single" w:sz="8" w:color="E6E7E8"/>
            </w:tcBorders>
          </w:tcPr>
          <w:p>
            <w:pPr>
              <w:spacing w:after="0"/>
              <w:rPr>
                <w:sz w:val="3"/>
                <w:szCs w:val="3"/>
                <w:color w:val="auto"/>
              </w:rPr>
            </w:pPr>
          </w:p>
        </w:tc>
        <w:tc>
          <w:tcPr>
            <w:tcW w:w="980" w:type="dxa"/>
            <w:vAlign w:val="bottom"/>
            <w:tcBorders>
              <w:bottom w:val="single" w:sz="8" w:color="E6E7E8"/>
            </w:tcBorders>
          </w:tcPr>
          <w:p>
            <w:pPr>
              <w:spacing w:after="0"/>
              <w:rPr>
                <w:sz w:val="3"/>
                <w:szCs w:val="3"/>
                <w:color w:val="auto"/>
              </w:rPr>
            </w:pPr>
          </w:p>
        </w:tc>
        <w:tc>
          <w:tcPr>
            <w:tcW w:w="1460" w:type="dxa"/>
            <w:vAlign w:val="bottom"/>
            <w:tcBorders>
              <w:bottom w:val="single" w:sz="8" w:color="E6E7E8"/>
            </w:tcBorders>
          </w:tcPr>
          <w:p>
            <w:pPr>
              <w:spacing w:after="0"/>
              <w:rPr>
                <w:sz w:val="3"/>
                <w:szCs w:val="3"/>
                <w:color w:val="auto"/>
              </w:rPr>
            </w:pPr>
          </w:p>
        </w:tc>
        <w:tc>
          <w:tcPr>
            <w:tcW w:w="76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700" w:type="dxa"/>
            <w:vAlign w:val="bottom"/>
          </w:tcPr>
          <w:p>
            <w:pPr>
              <w:ind w:left="20"/>
              <w:spacing w:after="0"/>
              <w:rPr>
                <w:sz w:val="20"/>
                <w:szCs w:val="20"/>
                <w:color w:val="auto"/>
              </w:rPr>
            </w:pPr>
            <w:r>
              <w:rPr>
                <w:rFonts w:ascii="Arial" w:cs="Arial" w:eastAsia="Arial" w:hAnsi="Arial"/>
                <w:sz w:val="14"/>
                <w:szCs w:val="14"/>
                <w:color w:val="auto"/>
              </w:rPr>
              <w:t>2023</w:t>
            </w:r>
          </w:p>
        </w:tc>
        <w:tc>
          <w:tcPr>
            <w:tcW w:w="1500" w:type="dxa"/>
            <w:vAlign w:val="bottom"/>
          </w:tcPr>
          <w:p>
            <w:pPr>
              <w:jc w:val="right"/>
              <w:ind w:right="253"/>
              <w:spacing w:after="0"/>
              <w:rPr>
                <w:sz w:val="20"/>
                <w:szCs w:val="20"/>
                <w:color w:val="auto"/>
              </w:rPr>
            </w:pPr>
            <w:r>
              <w:rPr>
                <w:rFonts w:ascii="Arial" w:cs="Arial" w:eastAsia="Arial" w:hAnsi="Arial"/>
                <w:sz w:val="14"/>
                <w:szCs w:val="14"/>
                <w:color w:val="auto"/>
              </w:rPr>
              <w:t>13,793,145</w:t>
            </w:r>
          </w:p>
        </w:tc>
        <w:tc>
          <w:tcPr>
            <w:tcW w:w="1400" w:type="dxa"/>
            <w:vAlign w:val="bottom"/>
          </w:tcPr>
          <w:p>
            <w:pPr>
              <w:jc w:val="center"/>
              <w:spacing w:after="0"/>
              <w:rPr>
                <w:sz w:val="20"/>
                <w:szCs w:val="20"/>
                <w:color w:val="auto"/>
              </w:rPr>
            </w:pPr>
            <w:r>
              <w:rPr>
                <w:rFonts w:ascii="Arial" w:cs="Arial" w:eastAsia="Arial" w:hAnsi="Arial"/>
                <w:sz w:val="14"/>
                <w:szCs w:val="14"/>
                <w:color w:val="auto"/>
              </w:rPr>
              <w:t>42,412,804</w:t>
            </w:r>
          </w:p>
        </w:tc>
        <w:tc>
          <w:tcPr>
            <w:tcW w:w="1660" w:type="dxa"/>
            <w:vAlign w:val="bottom"/>
          </w:tcPr>
          <w:p>
            <w:pPr>
              <w:jc w:val="right"/>
              <w:ind w:right="254"/>
              <w:spacing w:after="0"/>
              <w:rPr>
                <w:sz w:val="20"/>
                <w:szCs w:val="20"/>
                <w:color w:val="auto"/>
              </w:rPr>
            </w:pPr>
            <w:r>
              <w:rPr>
                <w:rFonts w:ascii="Arial" w:cs="Arial" w:eastAsia="Arial" w:hAnsi="Arial"/>
                <w:sz w:val="14"/>
                <w:szCs w:val="14"/>
                <w:color w:val="auto"/>
              </w:rPr>
              <w:t>4,424,283</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8,653,705</w:t>
            </w:r>
          </w:p>
        </w:tc>
        <w:tc>
          <w:tcPr>
            <w:tcW w:w="1260" w:type="dxa"/>
            <w:vAlign w:val="bottom"/>
          </w:tcPr>
          <w:p>
            <w:pPr>
              <w:jc w:val="right"/>
              <w:ind w:right="193"/>
              <w:spacing w:after="0"/>
              <w:rPr>
                <w:sz w:val="20"/>
                <w:szCs w:val="20"/>
                <w:color w:val="auto"/>
              </w:rPr>
            </w:pPr>
            <w:r>
              <w:rPr>
                <w:rFonts w:ascii="Arial" w:cs="Arial" w:eastAsia="Arial" w:hAnsi="Arial"/>
                <w:sz w:val="14"/>
                <w:szCs w:val="14"/>
                <w:color w:val="auto"/>
              </w:rPr>
              <w:t>130.2</w:t>
            </w: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136.7</w:t>
            </w:r>
          </w:p>
        </w:tc>
        <w:tc>
          <w:tcPr>
            <w:tcW w:w="1460" w:type="dxa"/>
            <w:vAlign w:val="bottom"/>
          </w:tcPr>
          <w:p>
            <w:pPr>
              <w:jc w:val="right"/>
              <w:ind w:right="192"/>
              <w:spacing w:after="0"/>
              <w:rPr>
                <w:sz w:val="20"/>
                <w:szCs w:val="20"/>
                <w:color w:val="auto"/>
              </w:rPr>
            </w:pPr>
            <w:r>
              <w:rPr>
                <w:rFonts w:ascii="Arial" w:cs="Arial" w:eastAsia="Arial" w:hAnsi="Arial"/>
                <w:sz w:val="14"/>
                <w:szCs w:val="14"/>
                <w:color w:val="auto"/>
              </w:rPr>
              <w:t>1,148,592</w:t>
            </w:r>
          </w:p>
        </w:tc>
        <w:tc>
          <w:tcPr>
            <w:tcW w:w="76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35"/>
        </w:trPr>
        <w:tc>
          <w:tcPr>
            <w:tcW w:w="70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400" w:type="dxa"/>
            <w:vAlign w:val="bottom"/>
            <w:tcBorders>
              <w:bottom w:val="single" w:sz="8" w:color="E6E7E8"/>
            </w:tcBorders>
          </w:tcPr>
          <w:p>
            <w:pPr>
              <w:spacing w:after="0"/>
              <w:rPr>
                <w:sz w:val="3"/>
                <w:szCs w:val="3"/>
                <w:color w:val="auto"/>
              </w:rPr>
            </w:pPr>
          </w:p>
        </w:tc>
        <w:tc>
          <w:tcPr>
            <w:tcW w:w="1660" w:type="dxa"/>
            <w:vAlign w:val="bottom"/>
            <w:tcBorders>
              <w:bottom w:val="single" w:sz="8" w:color="E6E7E8"/>
            </w:tcBorders>
          </w:tcPr>
          <w:p>
            <w:pPr>
              <w:spacing w:after="0"/>
              <w:rPr>
                <w:sz w:val="3"/>
                <w:szCs w:val="3"/>
                <w:color w:val="auto"/>
              </w:rPr>
            </w:pPr>
          </w:p>
        </w:tc>
        <w:tc>
          <w:tcPr>
            <w:tcW w:w="1520" w:type="dxa"/>
            <w:vAlign w:val="bottom"/>
            <w:tcBorders>
              <w:bottom w:val="single" w:sz="8" w:color="E6E7E8"/>
            </w:tcBorders>
          </w:tcPr>
          <w:p>
            <w:pPr>
              <w:spacing w:after="0"/>
              <w:rPr>
                <w:sz w:val="3"/>
                <w:szCs w:val="3"/>
                <w:color w:val="auto"/>
              </w:rPr>
            </w:pPr>
          </w:p>
        </w:tc>
        <w:tc>
          <w:tcPr>
            <w:tcW w:w="1260" w:type="dxa"/>
            <w:vAlign w:val="bottom"/>
            <w:tcBorders>
              <w:bottom w:val="single" w:sz="8" w:color="E6E7E8"/>
            </w:tcBorders>
          </w:tcPr>
          <w:p>
            <w:pPr>
              <w:spacing w:after="0"/>
              <w:rPr>
                <w:sz w:val="3"/>
                <w:szCs w:val="3"/>
                <w:color w:val="auto"/>
              </w:rPr>
            </w:pPr>
          </w:p>
        </w:tc>
        <w:tc>
          <w:tcPr>
            <w:tcW w:w="980" w:type="dxa"/>
            <w:vAlign w:val="bottom"/>
            <w:tcBorders>
              <w:bottom w:val="single" w:sz="8" w:color="E6E7E8"/>
            </w:tcBorders>
          </w:tcPr>
          <w:p>
            <w:pPr>
              <w:spacing w:after="0"/>
              <w:rPr>
                <w:sz w:val="3"/>
                <w:szCs w:val="3"/>
                <w:color w:val="auto"/>
              </w:rPr>
            </w:pPr>
          </w:p>
        </w:tc>
        <w:tc>
          <w:tcPr>
            <w:tcW w:w="1460" w:type="dxa"/>
            <w:vAlign w:val="bottom"/>
            <w:tcBorders>
              <w:bottom w:val="single" w:sz="8" w:color="E6E7E8"/>
            </w:tcBorders>
          </w:tcPr>
          <w:p>
            <w:pPr>
              <w:spacing w:after="0"/>
              <w:rPr>
                <w:sz w:val="3"/>
                <w:szCs w:val="3"/>
                <w:color w:val="auto"/>
              </w:rPr>
            </w:pPr>
          </w:p>
        </w:tc>
        <w:tc>
          <w:tcPr>
            <w:tcW w:w="76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700" w:type="dxa"/>
            <w:vAlign w:val="bottom"/>
          </w:tcPr>
          <w:p>
            <w:pPr>
              <w:ind w:left="20"/>
              <w:spacing w:after="0"/>
              <w:rPr>
                <w:sz w:val="20"/>
                <w:szCs w:val="20"/>
                <w:color w:val="auto"/>
              </w:rPr>
            </w:pPr>
            <w:r>
              <w:rPr>
                <w:rFonts w:ascii="Arial" w:cs="Arial" w:eastAsia="Arial" w:hAnsi="Arial"/>
                <w:sz w:val="14"/>
                <w:szCs w:val="14"/>
                <w:color w:val="auto"/>
              </w:rPr>
              <w:t>2022</w:t>
            </w:r>
          </w:p>
        </w:tc>
        <w:tc>
          <w:tcPr>
            <w:tcW w:w="1500" w:type="dxa"/>
            <w:vAlign w:val="bottom"/>
          </w:tcPr>
          <w:p>
            <w:pPr>
              <w:jc w:val="right"/>
              <w:ind w:right="253"/>
              <w:spacing w:after="0"/>
              <w:rPr>
                <w:sz w:val="20"/>
                <w:szCs w:val="20"/>
                <w:color w:val="auto"/>
              </w:rPr>
            </w:pPr>
            <w:r>
              <w:rPr>
                <w:rFonts w:ascii="Arial" w:cs="Arial" w:eastAsia="Arial" w:hAnsi="Arial"/>
                <w:sz w:val="14"/>
                <w:szCs w:val="14"/>
                <w:color w:val="auto"/>
              </w:rPr>
              <w:t>12,998,816</w:t>
            </w:r>
          </w:p>
        </w:tc>
        <w:tc>
          <w:tcPr>
            <w:tcW w:w="1400" w:type="dxa"/>
            <w:vAlign w:val="bottom"/>
          </w:tcPr>
          <w:p>
            <w:pPr>
              <w:jc w:val="right"/>
              <w:ind w:right="212"/>
              <w:spacing w:after="0"/>
              <w:rPr>
                <w:sz w:val="20"/>
                <w:szCs w:val="20"/>
                <w:color w:val="auto"/>
              </w:rPr>
            </w:pPr>
            <w:r>
              <w:rPr>
                <w:rFonts w:ascii="Arial" w:cs="Arial" w:eastAsia="Arial" w:hAnsi="Arial"/>
                <w:sz w:val="14"/>
                <w:szCs w:val="14"/>
                <w:color w:val="auto"/>
              </w:rPr>
              <w:t>(38,985,841)</w:t>
            </w:r>
          </w:p>
        </w:tc>
        <w:tc>
          <w:tcPr>
            <w:tcW w:w="1660" w:type="dxa"/>
            <w:vAlign w:val="bottom"/>
          </w:tcPr>
          <w:p>
            <w:pPr>
              <w:jc w:val="right"/>
              <w:ind w:right="254"/>
              <w:spacing w:after="0"/>
              <w:rPr>
                <w:sz w:val="20"/>
                <w:szCs w:val="20"/>
                <w:color w:val="auto"/>
              </w:rPr>
            </w:pPr>
            <w:r>
              <w:rPr>
                <w:rFonts w:ascii="Arial" w:cs="Arial" w:eastAsia="Arial" w:hAnsi="Arial"/>
                <w:sz w:val="14"/>
                <w:szCs w:val="14"/>
                <w:color w:val="auto"/>
              </w:rPr>
              <w:t>3,887,795</w:t>
            </w:r>
          </w:p>
        </w:tc>
        <w:tc>
          <w:tcPr>
            <w:tcW w:w="1520" w:type="dxa"/>
            <w:vAlign w:val="bottom"/>
          </w:tcPr>
          <w:p>
            <w:pPr>
              <w:jc w:val="right"/>
              <w:ind w:right="174"/>
              <w:spacing w:after="0"/>
              <w:rPr>
                <w:sz w:val="20"/>
                <w:szCs w:val="20"/>
                <w:color w:val="auto"/>
              </w:rPr>
            </w:pPr>
            <w:r>
              <w:rPr>
                <w:rFonts w:ascii="Arial" w:cs="Arial" w:eastAsia="Arial" w:hAnsi="Arial"/>
                <w:sz w:val="14"/>
                <w:szCs w:val="14"/>
                <w:color w:val="auto"/>
              </w:rPr>
              <w:t>(5,073,374)</w:t>
            </w:r>
          </w:p>
        </w:tc>
        <w:tc>
          <w:tcPr>
            <w:tcW w:w="1260" w:type="dxa"/>
            <w:vAlign w:val="bottom"/>
          </w:tcPr>
          <w:p>
            <w:pPr>
              <w:jc w:val="right"/>
              <w:ind w:right="193"/>
              <w:spacing w:after="0"/>
              <w:rPr>
                <w:sz w:val="20"/>
                <w:szCs w:val="20"/>
                <w:color w:val="auto"/>
              </w:rPr>
            </w:pPr>
            <w:r>
              <w:rPr>
                <w:rFonts w:ascii="Arial" w:cs="Arial" w:eastAsia="Arial" w:hAnsi="Arial"/>
                <w:sz w:val="14"/>
                <w:szCs w:val="14"/>
                <w:color w:val="auto"/>
              </w:rPr>
              <w:t>105.9</w:t>
            </w: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119.3</w:t>
            </w:r>
          </w:p>
        </w:tc>
        <w:tc>
          <w:tcPr>
            <w:tcW w:w="1460" w:type="dxa"/>
            <w:vAlign w:val="bottom"/>
          </w:tcPr>
          <w:p>
            <w:pPr>
              <w:jc w:val="right"/>
              <w:ind w:right="192"/>
              <w:spacing w:after="0"/>
              <w:rPr>
                <w:sz w:val="20"/>
                <w:szCs w:val="20"/>
                <w:color w:val="auto"/>
              </w:rPr>
            </w:pPr>
            <w:r>
              <w:rPr>
                <w:rFonts w:ascii="Arial" w:cs="Arial" w:eastAsia="Arial" w:hAnsi="Arial"/>
                <w:sz w:val="14"/>
                <w:szCs w:val="14"/>
                <w:color w:val="auto"/>
              </w:rPr>
              <w:t>870,573</w:t>
            </w:r>
          </w:p>
        </w:tc>
        <w:tc>
          <w:tcPr>
            <w:tcW w:w="760" w:type="dxa"/>
            <w:vAlign w:val="bottom"/>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35"/>
        </w:trPr>
        <w:tc>
          <w:tcPr>
            <w:tcW w:w="700" w:type="dxa"/>
            <w:vAlign w:val="bottom"/>
            <w:tcBorders>
              <w:bottom w:val="single" w:sz="8" w:color="E6E7E8"/>
            </w:tcBorders>
          </w:tcPr>
          <w:p>
            <w:pPr>
              <w:spacing w:after="0"/>
              <w:rPr>
                <w:sz w:val="3"/>
                <w:szCs w:val="3"/>
                <w:color w:val="auto"/>
              </w:rPr>
            </w:pPr>
          </w:p>
        </w:tc>
        <w:tc>
          <w:tcPr>
            <w:tcW w:w="1500" w:type="dxa"/>
            <w:vAlign w:val="bottom"/>
            <w:tcBorders>
              <w:bottom w:val="single" w:sz="8" w:color="E6E7E8"/>
            </w:tcBorders>
          </w:tcPr>
          <w:p>
            <w:pPr>
              <w:spacing w:after="0"/>
              <w:rPr>
                <w:sz w:val="3"/>
                <w:szCs w:val="3"/>
                <w:color w:val="auto"/>
              </w:rPr>
            </w:pPr>
          </w:p>
        </w:tc>
        <w:tc>
          <w:tcPr>
            <w:tcW w:w="1400" w:type="dxa"/>
            <w:vAlign w:val="bottom"/>
            <w:tcBorders>
              <w:bottom w:val="single" w:sz="8" w:color="E6E7E8"/>
            </w:tcBorders>
          </w:tcPr>
          <w:p>
            <w:pPr>
              <w:spacing w:after="0"/>
              <w:rPr>
                <w:sz w:val="3"/>
                <w:szCs w:val="3"/>
                <w:color w:val="auto"/>
              </w:rPr>
            </w:pPr>
          </w:p>
        </w:tc>
        <w:tc>
          <w:tcPr>
            <w:tcW w:w="1660" w:type="dxa"/>
            <w:vAlign w:val="bottom"/>
            <w:tcBorders>
              <w:bottom w:val="single" w:sz="8" w:color="E6E7E8"/>
            </w:tcBorders>
          </w:tcPr>
          <w:p>
            <w:pPr>
              <w:spacing w:after="0"/>
              <w:rPr>
                <w:sz w:val="3"/>
                <w:szCs w:val="3"/>
                <w:color w:val="auto"/>
              </w:rPr>
            </w:pPr>
          </w:p>
        </w:tc>
        <w:tc>
          <w:tcPr>
            <w:tcW w:w="1520" w:type="dxa"/>
            <w:vAlign w:val="bottom"/>
            <w:tcBorders>
              <w:bottom w:val="single" w:sz="8" w:color="E6E7E8"/>
            </w:tcBorders>
          </w:tcPr>
          <w:p>
            <w:pPr>
              <w:spacing w:after="0"/>
              <w:rPr>
                <w:sz w:val="3"/>
                <w:szCs w:val="3"/>
                <w:color w:val="auto"/>
              </w:rPr>
            </w:pPr>
          </w:p>
        </w:tc>
        <w:tc>
          <w:tcPr>
            <w:tcW w:w="1260" w:type="dxa"/>
            <w:vAlign w:val="bottom"/>
            <w:tcBorders>
              <w:bottom w:val="single" w:sz="8" w:color="E6E7E8"/>
            </w:tcBorders>
          </w:tcPr>
          <w:p>
            <w:pPr>
              <w:spacing w:after="0"/>
              <w:rPr>
                <w:sz w:val="3"/>
                <w:szCs w:val="3"/>
                <w:color w:val="auto"/>
              </w:rPr>
            </w:pPr>
          </w:p>
        </w:tc>
        <w:tc>
          <w:tcPr>
            <w:tcW w:w="980" w:type="dxa"/>
            <w:vAlign w:val="bottom"/>
            <w:tcBorders>
              <w:bottom w:val="single" w:sz="8" w:color="E6E7E8"/>
            </w:tcBorders>
          </w:tcPr>
          <w:p>
            <w:pPr>
              <w:spacing w:after="0"/>
              <w:rPr>
                <w:sz w:val="3"/>
                <w:szCs w:val="3"/>
                <w:color w:val="auto"/>
              </w:rPr>
            </w:pPr>
          </w:p>
        </w:tc>
        <w:tc>
          <w:tcPr>
            <w:tcW w:w="1460" w:type="dxa"/>
            <w:vAlign w:val="bottom"/>
            <w:tcBorders>
              <w:bottom w:val="single" w:sz="8" w:color="E6E7E8"/>
            </w:tcBorders>
          </w:tcPr>
          <w:p>
            <w:pPr>
              <w:spacing w:after="0"/>
              <w:rPr>
                <w:sz w:val="3"/>
                <w:szCs w:val="3"/>
                <w:color w:val="auto"/>
              </w:rPr>
            </w:pPr>
          </w:p>
        </w:tc>
        <w:tc>
          <w:tcPr>
            <w:tcW w:w="760" w:type="dxa"/>
            <w:vAlign w:val="bottom"/>
            <w:tcBorders>
              <w:bottom w:val="single" w:sz="8" w:color="E6E7E8"/>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700" w:type="dxa"/>
            <w:vAlign w:val="bottom"/>
          </w:tcPr>
          <w:p>
            <w:pPr>
              <w:ind w:left="20"/>
              <w:spacing w:after="0"/>
              <w:rPr>
                <w:sz w:val="20"/>
                <w:szCs w:val="20"/>
                <w:color w:val="auto"/>
              </w:rPr>
            </w:pPr>
            <w:r>
              <w:rPr>
                <w:rFonts w:ascii="Arial" w:cs="Arial" w:eastAsia="Arial" w:hAnsi="Arial"/>
                <w:sz w:val="14"/>
                <w:szCs w:val="14"/>
                <w:color w:val="auto"/>
              </w:rPr>
              <w:t>2021</w:t>
            </w:r>
          </w:p>
        </w:tc>
        <w:tc>
          <w:tcPr>
            <w:tcW w:w="1500" w:type="dxa"/>
            <w:vAlign w:val="bottom"/>
          </w:tcPr>
          <w:p>
            <w:pPr>
              <w:jc w:val="right"/>
              <w:ind w:right="253"/>
              <w:spacing w:after="0"/>
              <w:rPr>
                <w:sz w:val="20"/>
                <w:szCs w:val="20"/>
                <w:color w:val="auto"/>
              </w:rPr>
            </w:pPr>
            <w:r>
              <w:rPr>
                <w:rFonts w:ascii="Arial" w:cs="Arial" w:eastAsia="Arial" w:hAnsi="Arial"/>
                <w:sz w:val="14"/>
                <w:szCs w:val="14"/>
                <w:color w:val="auto"/>
              </w:rPr>
              <w:t>10,338,312</w:t>
            </w:r>
          </w:p>
        </w:tc>
        <w:tc>
          <w:tcPr>
            <w:tcW w:w="1400" w:type="dxa"/>
            <w:vAlign w:val="bottom"/>
          </w:tcPr>
          <w:p>
            <w:pPr>
              <w:jc w:val="center"/>
              <w:spacing w:after="0"/>
              <w:rPr>
                <w:sz w:val="20"/>
                <w:szCs w:val="20"/>
                <w:color w:val="auto"/>
              </w:rPr>
            </w:pPr>
            <w:r>
              <w:rPr>
                <w:rFonts w:ascii="Arial" w:cs="Arial" w:eastAsia="Arial" w:hAnsi="Arial"/>
                <w:sz w:val="14"/>
                <w:szCs w:val="14"/>
                <w:color w:val="auto"/>
              </w:rPr>
              <w:t>81,171,520</w:t>
            </w:r>
          </w:p>
        </w:tc>
        <w:tc>
          <w:tcPr>
            <w:tcW w:w="1660" w:type="dxa"/>
            <w:vAlign w:val="bottom"/>
          </w:tcPr>
          <w:p>
            <w:pPr>
              <w:jc w:val="right"/>
              <w:ind w:right="254"/>
              <w:spacing w:after="0"/>
              <w:rPr>
                <w:sz w:val="20"/>
                <w:szCs w:val="20"/>
                <w:color w:val="auto"/>
              </w:rPr>
            </w:pPr>
            <w:r>
              <w:rPr>
                <w:rFonts w:ascii="Arial" w:cs="Arial" w:eastAsia="Arial" w:hAnsi="Arial"/>
                <w:sz w:val="14"/>
                <w:szCs w:val="14"/>
                <w:color w:val="auto"/>
              </w:rPr>
              <w:t>3,496,361</w:t>
            </w:r>
          </w:p>
        </w:tc>
        <w:tc>
          <w:tcPr>
            <w:tcW w:w="1520" w:type="dxa"/>
            <w:vAlign w:val="bottom"/>
          </w:tcPr>
          <w:p>
            <w:pPr>
              <w:jc w:val="right"/>
              <w:ind w:right="214"/>
              <w:spacing w:after="0"/>
              <w:rPr>
                <w:sz w:val="20"/>
                <w:szCs w:val="20"/>
                <w:color w:val="auto"/>
              </w:rPr>
            </w:pPr>
            <w:r>
              <w:rPr>
                <w:rFonts w:ascii="Arial" w:cs="Arial" w:eastAsia="Arial" w:hAnsi="Arial"/>
                <w:sz w:val="14"/>
                <w:szCs w:val="14"/>
                <w:color w:val="auto"/>
              </w:rPr>
              <w:t>15,271,690</w:t>
            </w:r>
          </w:p>
        </w:tc>
        <w:tc>
          <w:tcPr>
            <w:tcW w:w="1260" w:type="dxa"/>
            <w:vAlign w:val="bottom"/>
          </w:tcPr>
          <w:p>
            <w:pPr>
              <w:jc w:val="right"/>
              <w:ind w:right="193"/>
              <w:spacing w:after="0"/>
              <w:rPr>
                <w:sz w:val="20"/>
                <w:szCs w:val="20"/>
                <w:color w:val="auto"/>
              </w:rPr>
            </w:pPr>
            <w:r>
              <w:rPr>
                <w:rFonts w:ascii="Arial" w:cs="Arial" w:eastAsia="Arial" w:hAnsi="Arial"/>
                <w:sz w:val="14"/>
                <w:szCs w:val="14"/>
                <w:color w:val="auto"/>
              </w:rPr>
              <w:t>138.1</w:t>
            </w:r>
          </w:p>
        </w:tc>
        <w:tc>
          <w:tcPr>
            <w:tcW w:w="980" w:type="dxa"/>
            <w:vAlign w:val="bottom"/>
          </w:tcPr>
          <w:p>
            <w:pPr>
              <w:jc w:val="right"/>
              <w:ind w:right="13"/>
              <w:spacing w:after="0"/>
              <w:rPr>
                <w:sz w:val="20"/>
                <w:szCs w:val="20"/>
                <w:color w:val="auto"/>
              </w:rPr>
            </w:pPr>
            <w:r>
              <w:rPr>
                <w:rFonts w:ascii="Arial" w:cs="Arial" w:eastAsia="Arial" w:hAnsi="Arial"/>
                <w:sz w:val="14"/>
                <w:szCs w:val="14"/>
                <w:color w:val="auto"/>
              </w:rPr>
              <w:t>135.8</w:t>
            </w:r>
          </w:p>
        </w:tc>
        <w:tc>
          <w:tcPr>
            <w:tcW w:w="1460" w:type="dxa"/>
            <w:vAlign w:val="bottom"/>
          </w:tcPr>
          <w:p>
            <w:pPr>
              <w:jc w:val="right"/>
              <w:ind w:right="192"/>
              <w:spacing w:after="0"/>
              <w:rPr>
                <w:sz w:val="20"/>
                <w:szCs w:val="20"/>
                <w:color w:val="auto"/>
              </w:rPr>
            </w:pPr>
            <w:r>
              <w:rPr>
                <w:rFonts w:ascii="Arial" w:cs="Arial" w:eastAsia="Arial" w:hAnsi="Arial"/>
                <w:sz w:val="14"/>
                <w:szCs w:val="14"/>
                <w:color w:val="auto"/>
              </w:rPr>
              <w:t>725,983</w:t>
            </w:r>
          </w:p>
        </w:tc>
        <w:tc>
          <w:tcPr>
            <w:tcW w:w="76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35"/>
        </w:trPr>
        <w:tc>
          <w:tcPr>
            <w:tcW w:w="700" w:type="dxa"/>
            <w:vAlign w:val="bottom"/>
            <w:tcBorders>
              <w:bottom w:val="single" w:sz="8" w:color="1A3FD6"/>
            </w:tcBorders>
          </w:tcPr>
          <w:p>
            <w:pPr>
              <w:spacing w:after="0"/>
              <w:rPr>
                <w:sz w:val="3"/>
                <w:szCs w:val="3"/>
                <w:color w:val="auto"/>
              </w:rPr>
            </w:pPr>
          </w:p>
        </w:tc>
        <w:tc>
          <w:tcPr>
            <w:tcW w:w="1500" w:type="dxa"/>
            <w:vAlign w:val="bottom"/>
            <w:tcBorders>
              <w:bottom w:val="single" w:sz="8" w:color="1A3FD6"/>
            </w:tcBorders>
          </w:tcPr>
          <w:p>
            <w:pPr>
              <w:spacing w:after="0"/>
              <w:rPr>
                <w:sz w:val="3"/>
                <w:szCs w:val="3"/>
                <w:color w:val="auto"/>
              </w:rPr>
            </w:pPr>
          </w:p>
        </w:tc>
        <w:tc>
          <w:tcPr>
            <w:tcW w:w="1400" w:type="dxa"/>
            <w:vAlign w:val="bottom"/>
            <w:tcBorders>
              <w:bottom w:val="single" w:sz="8" w:color="1A3FD6"/>
            </w:tcBorders>
          </w:tcPr>
          <w:p>
            <w:pPr>
              <w:spacing w:after="0"/>
              <w:rPr>
                <w:sz w:val="3"/>
                <w:szCs w:val="3"/>
                <w:color w:val="auto"/>
              </w:rPr>
            </w:pPr>
          </w:p>
        </w:tc>
        <w:tc>
          <w:tcPr>
            <w:tcW w:w="1660" w:type="dxa"/>
            <w:vAlign w:val="bottom"/>
            <w:tcBorders>
              <w:bottom w:val="single" w:sz="8" w:color="1A3FD6"/>
            </w:tcBorders>
          </w:tcPr>
          <w:p>
            <w:pPr>
              <w:spacing w:after="0"/>
              <w:rPr>
                <w:sz w:val="3"/>
                <w:szCs w:val="3"/>
                <w:color w:val="auto"/>
              </w:rPr>
            </w:pPr>
          </w:p>
        </w:tc>
        <w:tc>
          <w:tcPr>
            <w:tcW w:w="1520" w:type="dxa"/>
            <w:vAlign w:val="bottom"/>
            <w:tcBorders>
              <w:bottom w:val="single" w:sz="8" w:color="1A3FD6"/>
            </w:tcBorders>
          </w:tcPr>
          <w:p>
            <w:pPr>
              <w:spacing w:after="0"/>
              <w:rPr>
                <w:sz w:val="3"/>
                <w:szCs w:val="3"/>
                <w:color w:val="auto"/>
              </w:rPr>
            </w:pPr>
          </w:p>
        </w:tc>
        <w:tc>
          <w:tcPr>
            <w:tcW w:w="1260" w:type="dxa"/>
            <w:vAlign w:val="bottom"/>
            <w:tcBorders>
              <w:bottom w:val="single" w:sz="8" w:color="1A3FD6"/>
            </w:tcBorders>
          </w:tcPr>
          <w:p>
            <w:pPr>
              <w:spacing w:after="0"/>
              <w:rPr>
                <w:sz w:val="3"/>
                <w:szCs w:val="3"/>
                <w:color w:val="auto"/>
              </w:rPr>
            </w:pPr>
          </w:p>
        </w:tc>
        <w:tc>
          <w:tcPr>
            <w:tcW w:w="980" w:type="dxa"/>
            <w:vAlign w:val="bottom"/>
            <w:tcBorders>
              <w:bottom w:val="single" w:sz="8" w:color="1A3FD6"/>
            </w:tcBorders>
          </w:tcPr>
          <w:p>
            <w:pPr>
              <w:spacing w:after="0"/>
              <w:rPr>
                <w:sz w:val="3"/>
                <w:szCs w:val="3"/>
                <w:color w:val="auto"/>
              </w:rPr>
            </w:pPr>
          </w:p>
        </w:tc>
        <w:tc>
          <w:tcPr>
            <w:tcW w:w="1460" w:type="dxa"/>
            <w:vAlign w:val="bottom"/>
            <w:tcBorders>
              <w:bottom w:val="single" w:sz="8" w:color="1A3FD6"/>
            </w:tcBorders>
          </w:tcPr>
          <w:p>
            <w:pPr>
              <w:spacing w:after="0"/>
              <w:rPr>
                <w:sz w:val="3"/>
                <w:szCs w:val="3"/>
                <w:color w:val="auto"/>
              </w:rPr>
            </w:pPr>
          </w:p>
        </w:tc>
        <w:tc>
          <w:tcPr>
            <w:tcW w:w="760" w:type="dxa"/>
            <w:vAlign w:val="bottom"/>
            <w:tcBorders>
              <w:bottom w:val="single" w:sz="8" w:color="1A3FD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hanging="252"/>
        <w:spacing w:after="0" w:line="222" w:lineRule="auto"/>
        <w:tabs>
          <w:tab w:leader="none" w:pos="264"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Compensation for our principal executive officer (“PEO”), Henry A. Fernandez, reflects the amounts reported in the “Summary Compensation Table” for the respective years. Average compensation for non-PEOs includes the following NEOs: (i) in 2025, Scott A. Crum, Alvise J. Munari, C.D. Baer Pettit and Andrew C. Wiechmann and (ii) in each of 2024, 2023, 2022 and 2021, Scott A. Crum, Robert J. Gutowski, C.D. Baer Pettit and Andrew C. Wiechmann.</w:t>
      </w:r>
    </w:p>
    <w:p>
      <w:pPr>
        <w:spacing w:after="0" w:line="40" w:lineRule="exact"/>
        <w:rPr>
          <w:rFonts w:ascii="Arial" w:cs="Arial" w:eastAsia="Arial" w:hAnsi="Arial"/>
          <w:sz w:val="19"/>
          <w:szCs w:val="19"/>
          <w:color w:val="auto"/>
          <w:vertAlign w:val="superscript"/>
        </w:rPr>
      </w:pPr>
    </w:p>
    <w:p>
      <w:pPr>
        <w:ind w:left="260" w:right="60" w:hanging="252"/>
        <w:spacing w:after="0" w:line="229" w:lineRule="auto"/>
        <w:tabs>
          <w:tab w:leader="none" w:pos="25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Compensation “actually paid” for the PEO and average compensation “actually paid” for our non-PEO NEOs in 2025, 2024, 2023, 2022 and 2021 reflects the respective amounts set forth in columns (c) and (e), adjusted as follows in the table below. However, the reconciliation of these amounts, as required under SEC rules, is presented only for 2025 in the table below. These dollar amounts do not reflect the actual amount of compensation earned by or paid to the PEO and our other NEOs during the applicable year. For information regarding the decisions made by our Compensation Committee with respect to the PEO’s and our other NEOs’ compensation for fiscal year 2025, see “Compensation Discussion and Analysis” beginning on page 58 of this Proxy Statement.</w:t>
      </w:r>
    </w:p>
    <w:p>
      <w:pPr>
        <w:spacing w:after="0" w:line="113"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6920" w:type="dxa"/>
            <w:vAlign w:val="bottom"/>
          </w:tcPr>
          <w:p>
            <w:pPr>
              <w:spacing w:after="0"/>
              <w:rPr>
                <w:sz w:val="14"/>
                <w:szCs w:val="14"/>
                <w:color w:val="auto"/>
              </w:rPr>
            </w:pPr>
          </w:p>
        </w:tc>
        <w:tc>
          <w:tcPr>
            <w:tcW w:w="2340" w:type="dxa"/>
            <w:vAlign w:val="bottom"/>
          </w:tcPr>
          <w:p>
            <w:pPr>
              <w:jc w:val="right"/>
              <w:ind w:right="329"/>
              <w:spacing w:after="0"/>
              <w:rPr>
                <w:sz w:val="20"/>
                <w:szCs w:val="20"/>
                <w:color w:val="auto"/>
              </w:rPr>
            </w:pPr>
            <w:r>
              <w:rPr>
                <w:rFonts w:ascii="Arial" w:cs="Arial" w:eastAsia="Arial" w:hAnsi="Arial"/>
                <w:sz w:val="13"/>
                <w:szCs w:val="13"/>
                <w:b w:val="1"/>
                <w:bCs w:val="1"/>
                <w:color w:val="auto"/>
              </w:rPr>
              <w:t>PEO 2025</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Non-PEOs 2025</w:t>
            </w:r>
          </w:p>
        </w:tc>
      </w:tr>
      <w:tr>
        <w:trPr>
          <w:trHeight w:val="22"/>
        </w:trPr>
        <w:tc>
          <w:tcPr>
            <w:tcW w:w="6920" w:type="dxa"/>
            <w:vAlign w:val="bottom"/>
            <w:tcBorders>
              <w:bottom w:val="single" w:sz="8" w:color="1A3FD6"/>
            </w:tcBorders>
          </w:tcPr>
          <w:p>
            <w:pPr>
              <w:spacing w:after="0" w:line="20" w:lineRule="exact"/>
              <w:rPr>
                <w:sz w:val="1"/>
                <w:szCs w:val="1"/>
                <w:color w:val="auto"/>
              </w:rPr>
            </w:pPr>
          </w:p>
        </w:tc>
        <w:tc>
          <w:tcPr>
            <w:tcW w:w="2340" w:type="dxa"/>
            <w:vAlign w:val="bottom"/>
            <w:tcBorders>
              <w:bottom w:val="single" w:sz="8" w:color="1A3FD6"/>
            </w:tcBorders>
          </w:tcPr>
          <w:p>
            <w:pPr>
              <w:spacing w:after="0" w:line="20" w:lineRule="exact"/>
              <w:rPr>
                <w:sz w:val="1"/>
                <w:szCs w:val="1"/>
                <w:color w:val="auto"/>
              </w:rPr>
            </w:pPr>
          </w:p>
        </w:tc>
        <w:tc>
          <w:tcPr>
            <w:tcW w:w="1360" w:type="dxa"/>
            <w:vAlign w:val="bottom"/>
            <w:tcBorders>
              <w:bottom w:val="single" w:sz="8" w:color="1A3FD6"/>
            </w:tcBorders>
          </w:tcPr>
          <w:p>
            <w:pPr>
              <w:spacing w:after="0" w:line="20" w:lineRule="exact"/>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Summary Compensation Table Total</w:t>
            </w:r>
          </w:p>
        </w:tc>
        <w:tc>
          <w:tcPr>
            <w:tcW w:w="2340" w:type="dxa"/>
            <w:vAlign w:val="bottom"/>
          </w:tcPr>
          <w:p>
            <w:pPr>
              <w:jc w:val="right"/>
              <w:ind w:right="389"/>
              <w:spacing w:after="0"/>
              <w:rPr>
                <w:sz w:val="20"/>
                <w:szCs w:val="20"/>
                <w:color w:val="auto"/>
              </w:rPr>
            </w:pPr>
            <w:r>
              <w:rPr>
                <w:rFonts w:ascii="Arial" w:cs="Arial" w:eastAsia="Arial" w:hAnsi="Arial"/>
                <w:sz w:val="14"/>
                <w:szCs w:val="14"/>
                <w:color w:val="auto"/>
              </w:rPr>
              <w:t>33,320,590</w:t>
            </w:r>
          </w:p>
        </w:tc>
        <w:tc>
          <w:tcPr>
            <w:tcW w:w="1360" w:type="dxa"/>
            <w:vAlign w:val="bottom"/>
          </w:tcPr>
          <w:p>
            <w:pPr>
              <w:jc w:val="right"/>
              <w:spacing w:after="0"/>
              <w:rPr>
                <w:sz w:val="20"/>
                <w:szCs w:val="20"/>
                <w:color w:val="auto"/>
              </w:rPr>
            </w:pPr>
            <w:r>
              <w:rPr>
                <w:rFonts w:ascii="Arial" w:cs="Arial" w:eastAsia="Arial" w:hAnsi="Arial"/>
                <w:sz w:val="14"/>
                <w:szCs w:val="14"/>
                <w:color w:val="auto"/>
              </w:rPr>
              <w:t>5,765,024</w:t>
            </w:r>
          </w:p>
        </w:tc>
      </w:tr>
      <w:tr>
        <w:trPr>
          <w:trHeight w:val="29"/>
        </w:trPr>
        <w:tc>
          <w:tcPr>
            <w:tcW w:w="6920" w:type="dxa"/>
            <w:vAlign w:val="bottom"/>
            <w:tcBorders>
              <w:bottom w:val="single" w:sz="8" w:color="E6E7E8"/>
            </w:tcBorders>
          </w:tcPr>
          <w:p>
            <w:pPr>
              <w:spacing w:after="0"/>
              <w:rPr>
                <w:sz w:val="2"/>
                <w:szCs w:val="2"/>
                <w:color w:val="auto"/>
              </w:rPr>
            </w:pPr>
          </w:p>
        </w:tc>
        <w:tc>
          <w:tcPr>
            <w:tcW w:w="2340" w:type="dxa"/>
            <w:vAlign w:val="bottom"/>
            <w:tcBorders>
              <w:bottom w:val="single" w:sz="8" w:color="E6E7E8"/>
            </w:tcBorders>
          </w:tcPr>
          <w:p>
            <w:pPr>
              <w:spacing w:after="0"/>
              <w:rPr>
                <w:sz w:val="2"/>
                <w:szCs w:val="2"/>
                <w:color w:val="auto"/>
              </w:rPr>
            </w:pPr>
          </w:p>
        </w:tc>
        <w:tc>
          <w:tcPr>
            <w:tcW w:w="1360" w:type="dxa"/>
            <w:vAlign w:val="bottom"/>
            <w:tcBorders>
              <w:bottom w:val="single" w:sz="8" w:color="E6E7E8"/>
            </w:tcBorders>
          </w:tcPr>
          <w:p>
            <w:pPr>
              <w:spacing w:after="0"/>
              <w:rPr>
                <w:sz w:val="2"/>
                <w:szCs w:val="2"/>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Stock Award Value Reported in Summary Compensation Table for the Covered Year</w:t>
            </w:r>
          </w:p>
        </w:tc>
        <w:tc>
          <w:tcPr>
            <w:tcW w:w="2340" w:type="dxa"/>
            <w:vAlign w:val="bottom"/>
          </w:tcPr>
          <w:p>
            <w:pPr>
              <w:jc w:val="right"/>
              <w:ind w:right="349"/>
              <w:spacing w:after="0"/>
              <w:rPr>
                <w:sz w:val="20"/>
                <w:szCs w:val="20"/>
                <w:color w:val="auto"/>
              </w:rPr>
            </w:pPr>
            <w:r>
              <w:rPr>
                <w:rFonts w:ascii="Arial" w:cs="Arial" w:eastAsia="Arial" w:hAnsi="Arial"/>
                <w:sz w:val="14"/>
                <w:szCs w:val="14"/>
                <w:color w:val="auto"/>
              </w:rPr>
              <w:t>(29,600,328)</w:t>
            </w:r>
          </w:p>
        </w:tc>
        <w:tc>
          <w:tcPr>
            <w:tcW w:w="1360" w:type="dxa"/>
            <w:vAlign w:val="bottom"/>
          </w:tcPr>
          <w:p>
            <w:pPr>
              <w:jc w:val="right"/>
              <w:spacing w:after="0"/>
              <w:rPr>
                <w:sz w:val="20"/>
                <w:szCs w:val="20"/>
                <w:color w:val="auto"/>
              </w:rPr>
            </w:pPr>
            <w:r>
              <w:rPr>
                <w:rFonts w:ascii="Arial" w:cs="Arial" w:eastAsia="Arial" w:hAnsi="Arial"/>
                <w:sz w:val="14"/>
                <w:szCs w:val="14"/>
                <w:color w:val="auto"/>
              </w:rPr>
              <w:t>(3,900,538)</w:t>
            </w:r>
          </w:p>
        </w:tc>
      </w:tr>
      <w:tr>
        <w:trPr>
          <w:trHeight w:val="35"/>
        </w:trPr>
        <w:tc>
          <w:tcPr>
            <w:tcW w:w="6920" w:type="dxa"/>
            <w:vAlign w:val="bottom"/>
            <w:tcBorders>
              <w:bottom w:val="single" w:sz="8" w:color="E6E7E8"/>
            </w:tcBorders>
          </w:tcPr>
          <w:p>
            <w:pPr>
              <w:spacing w:after="0"/>
              <w:rPr>
                <w:sz w:val="3"/>
                <w:szCs w:val="3"/>
                <w:color w:val="auto"/>
              </w:rPr>
            </w:pPr>
          </w:p>
        </w:tc>
        <w:tc>
          <w:tcPr>
            <w:tcW w:w="23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of Outstanding Unvested Awards Granted in the Covered Year</w:t>
            </w:r>
          </w:p>
        </w:tc>
        <w:tc>
          <w:tcPr>
            <w:tcW w:w="2340" w:type="dxa"/>
            <w:vAlign w:val="bottom"/>
          </w:tcPr>
          <w:p>
            <w:pPr>
              <w:jc w:val="right"/>
              <w:ind w:right="389"/>
              <w:spacing w:after="0"/>
              <w:rPr>
                <w:sz w:val="20"/>
                <w:szCs w:val="20"/>
                <w:color w:val="auto"/>
              </w:rPr>
            </w:pPr>
            <w:r>
              <w:rPr>
                <w:rFonts w:ascii="Arial" w:cs="Arial" w:eastAsia="Arial" w:hAnsi="Arial"/>
                <w:sz w:val="14"/>
                <w:szCs w:val="14"/>
                <w:color w:val="auto"/>
              </w:rPr>
              <w:t>26,092,267</w:t>
            </w:r>
          </w:p>
        </w:tc>
        <w:tc>
          <w:tcPr>
            <w:tcW w:w="1360" w:type="dxa"/>
            <w:vAlign w:val="bottom"/>
          </w:tcPr>
          <w:p>
            <w:pPr>
              <w:jc w:val="right"/>
              <w:spacing w:after="0"/>
              <w:rPr>
                <w:sz w:val="20"/>
                <w:szCs w:val="20"/>
                <w:color w:val="auto"/>
              </w:rPr>
            </w:pPr>
            <w:r>
              <w:rPr>
                <w:rFonts w:ascii="Arial" w:cs="Arial" w:eastAsia="Arial" w:hAnsi="Arial"/>
                <w:sz w:val="14"/>
                <w:szCs w:val="14"/>
                <w:color w:val="auto"/>
              </w:rPr>
              <w:t>3,490,558</w:t>
            </w:r>
          </w:p>
        </w:tc>
      </w:tr>
      <w:tr>
        <w:trPr>
          <w:trHeight w:val="35"/>
        </w:trPr>
        <w:tc>
          <w:tcPr>
            <w:tcW w:w="6920" w:type="dxa"/>
            <w:vAlign w:val="bottom"/>
            <w:tcBorders>
              <w:bottom w:val="single" w:sz="8" w:color="E6E7E8"/>
            </w:tcBorders>
          </w:tcPr>
          <w:p>
            <w:pPr>
              <w:spacing w:after="0"/>
              <w:rPr>
                <w:sz w:val="3"/>
                <w:szCs w:val="3"/>
                <w:color w:val="auto"/>
              </w:rPr>
            </w:pPr>
          </w:p>
        </w:tc>
        <w:tc>
          <w:tcPr>
            <w:tcW w:w="23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Fair Value of Outstanding Unvested Awards from Prior Years</w:t>
            </w:r>
          </w:p>
        </w:tc>
        <w:tc>
          <w:tcPr>
            <w:tcW w:w="2340" w:type="dxa"/>
            <w:vAlign w:val="bottom"/>
          </w:tcPr>
          <w:p>
            <w:pPr>
              <w:jc w:val="right"/>
              <w:ind w:right="349"/>
              <w:spacing w:after="0"/>
              <w:rPr>
                <w:sz w:val="20"/>
                <w:szCs w:val="20"/>
                <w:color w:val="auto"/>
              </w:rPr>
            </w:pPr>
            <w:r>
              <w:rPr>
                <w:rFonts w:ascii="Arial" w:cs="Arial" w:eastAsia="Arial" w:hAnsi="Arial"/>
                <w:sz w:val="14"/>
                <w:szCs w:val="14"/>
                <w:color w:val="auto"/>
              </w:rPr>
              <w:t>(8,704,107)</w:t>
            </w:r>
          </w:p>
        </w:tc>
        <w:tc>
          <w:tcPr>
            <w:tcW w:w="1360" w:type="dxa"/>
            <w:vAlign w:val="bottom"/>
          </w:tcPr>
          <w:p>
            <w:pPr>
              <w:jc w:val="right"/>
              <w:spacing w:after="0"/>
              <w:rPr>
                <w:sz w:val="20"/>
                <w:szCs w:val="20"/>
                <w:color w:val="auto"/>
              </w:rPr>
            </w:pPr>
            <w:r>
              <w:rPr>
                <w:rFonts w:ascii="Arial" w:cs="Arial" w:eastAsia="Arial" w:hAnsi="Arial"/>
                <w:sz w:val="14"/>
                <w:szCs w:val="14"/>
                <w:color w:val="auto"/>
              </w:rPr>
              <w:t>(2,217,024)</w:t>
            </w:r>
          </w:p>
        </w:tc>
      </w:tr>
      <w:tr>
        <w:trPr>
          <w:trHeight w:val="35"/>
        </w:trPr>
        <w:tc>
          <w:tcPr>
            <w:tcW w:w="6920" w:type="dxa"/>
            <w:vAlign w:val="bottom"/>
            <w:tcBorders>
              <w:bottom w:val="single" w:sz="8" w:color="E6E7E8"/>
            </w:tcBorders>
          </w:tcPr>
          <w:p>
            <w:pPr>
              <w:spacing w:after="0"/>
              <w:rPr>
                <w:sz w:val="3"/>
                <w:szCs w:val="3"/>
                <w:color w:val="auto"/>
              </w:rPr>
            </w:pPr>
          </w:p>
        </w:tc>
        <w:tc>
          <w:tcPr>
            <w:tcW w:w="23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Fair Value of Awards from Prior Years that Vested in the Covered Year</w:t>
            </w:r>
          </w:p>
        </w:tc>
        <w:tc>
          <w:tcPr>
            <w:tcW w:w="2340" w:type="dxa"/>
            <w:vAlign w:val="bottom"/>
          </w:tcPr>
          <w:p>
            <w:pPr>
              <w:jc w:val="right"/>
              <w:ind w:right="349"/>
              <w:spacing w:after="0"/>
              <w:rPr>
                <w:sz w:val="20"/>
                <w:szCs w:val="20"/>
                <w:color w:val="auto"/>
              </w:rPr>
            </w:pPr>
            <w:r>
              <w:rPr>
                <w:rFonts w:ascii="Arial" w:cs="Arial" w:eastAsia="Arial" w:hAnsi="Arial"/>
                <w:sz w:val="14"/>
                <w:szCs w:val="14"/>
                <w:color w:val="auto"/>
              </w:rPr>
              <w:t>(1,336,773)</w:t>
            </w:r>
          </w:p>
        </w:tc>
        <w:tc>
          <w:tcPr>
            <w:tcW w:w="1360" w:type="dxa"/>
            <w:vAlign w:val="bottom"/>
          </w:tcPr>
          <w:p>
            <w:pPr>
              <w:jc w:val="right"/>
              <w:spacing w:after="0"/>
              <w:rPr>
                <w:sz w:val="20"/>
                <w:szCs w:val="20"/>
                <w:color w:val="auto"/>
              </w:rPr>
            </w:pPr>
            <w:r>
              <w:rPr>
                <w:rFonts w:ascii="Arial" w:cs="Arial" w:eastAsia="Arial" w:hAnsi="Arial"/>
                <w:sz w:val="14"/>
                <w:szCs w:val="14"/>
                <w:color w:val="auto"/>
              </w:rPr>
              <w:t>(279,454)</w:t>
            </w:r>
          </w:p>
        </w:tc>
      </w:tr>
      <w:tr>
        <w:trPr>
          <w:trHeight w:val="35"/>
        </w:trPr>
        <w:tc>
          <w:tcPr>
            <w:tcW w:w="6920" w:type="dxa"/>
            <w:vAlign w:val="bottom"/>
            <w:tcBorders>
              <w:bottom w:val="single" w:sz="8" w:color="E6E7E8"/>
            </w:tcBorders>
          </w:tcPr>
          <w:p>
            <w:pPr>
              <w:spacing w:after="0"/>
              <w:rPr>
                <w:sz w:val="3"/>
                <w:szCs w:val="3"/>
                <w:color w:val="auto"/>
              </w:rPr>
            </w:pPr>
          </w:p>
        </w:tc>
        <w:tc>
          <w:tcPr>
            <w:tcW w:w="23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Fair Value (as of end of prior fiscal year) of Awards Forfeited during the Covered Year</w:t>
            </w:r>
          </w:p>
        </w:tc>
        <w:tc>
          <w:tcPr>
            <w:tcW w:w="234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6920" w:type="dxa"/>
            <w:vAlign w:val="bottom"/>
            <w:tcBorders>
              <w:bottom w:val="single" w:sz="8" w:color="E6E7E8"/>
            </w:tcBorders>
          </w:tcPr>
          <w:p>
            <w:pPr>
              <w:spacing w:after="0"/>
              <w:rPr>
                <w:sz w:val="3"/>
                <w:szCs w:val="3"/>
                <w:color w:val="auto"/>
              </w:rPr>
            </w:pPr>
          </w:p>
        </w:tc>
        <w:tc>
          <w:tcPr>
            <w:tcW w:w="23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r>
      <w:tr>
        <w:trPr>
          <w:trHeight w:val="201"/>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of Incremental Dividends or Earnings Paid on Stock Awards</w:t>
            </w:r>
          </w:p>
        </w:tc>
        <w:tc>
          <w:tcPr>
            <w:tcW w:w="234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6920" w:type="dxa"/>
            <w:vAlign w:val="bottom"/>
            <w:tcBorders>
              <w:bottom w:val="single" w:sz="8" w:color="E6E7E8"/>
            </w:tcBorders>
          </w:tcPr>
          <w:p>
            <w:pPr>
              <w:spacing w:after="0"/>
              <w:rPr>
                <w:sz w:val="3"/>
                <w:szCs w:val="3"/>
                <w:color w:val="auto"/>
              </w:rPr>
            </w:pPr>
          </w:p>
        </w:tc>
        <w:tc>
          <w:tcPr>
            <w:tcW w:w="2340" w:type="dxa"/>
            <w:vAlign w:val="bottom"/>
            <w:tcBorders>
              <w:bottom w:val="single" w:sz="8" w:color="E6E7E8"/>
            </w:tcBorders>
          </w:tcPr>
          <w:p>
            <w:pPr>
              <w:spacing w:after="0"/>
              <w:rPr>
                <w:sz w:val="3"/>
                <w:szCs w:val="3"/>
                <w:color w:val="auto"/>
              </w:rPr>
            </w:pPr>
          </w:p>
        </w:tc>
        <w:tc>
          <w:tcPr>
            <w:tcW w:w="1360" w:type="dxa"/>
            <w:vAlign w:val="bottom"/>
            <w:tcBorders>
              <w:bottom w:val="single" w:sz="8" w:color="E6E7E8"/>
            </w:tcBorders>
          </w:tcPr>
          <w:p>
            <w:pPr>
              <w:spacing w:after="0"/>
              <w:rPr>
                <w:sz w:val="3"/>
                <w:szCs w:val="3"/>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Compensation Actually Paid</w:t>
            </w:r>
          </w:p>
        </w:tc>
        <w:tc>
          <w:tcPr>
            <w:tcW w:w="2340" w:type="dxa"/>
            <w:vAlign w:val="bottom"/>
          </w:tcPr>
          <w:p>
            <w:pPr>
              <w:jc w:val="right"/>
              <w:ind w:right="389"/>
              <w:spacing w:after="0"/>
              <w:rPr>
                <w:sz w:val="20"/>
                <w:szCs w:val="20"/>
                <w:color w:val="auto"/>
              </w:rPr>
            </w:pPr>
            <w:r>
              <w:rPr>
                <w:rFonts w:ascii="Arial" w:cs="Arial" w:eastAsia="Arial" w:hAnsi="Arial"/>
                <w:sz w:val="14"/>
                <w:szCs w:val="14"/>
                <w:color w:val="auto"/>
              </w:rPr>
              <w:t>19,771,649</w:t>
            </w:r>
          </w:p>
        </w:tc>
        <w:tc>
          <w:tcPr>
            <w:tcW w:w="1360" w:type="dxa"/>
            <w:vAlign w:val="bottom"/>
          </w:tcPr>
          <w:p>
            <w:pPr>
              <w:jc w:val="right"/>
              <w:spacing w:after="0"/>
              <w:rPr>
                <w:sz w:val="20"/>
                <w:szCs w:val="20"/>
                <w:color w:val="auto"/>
              </w:rPr>
            </w:pPr>
            <w:r>
              <w:rPr>
                <w:rFonts w:ascii="Arial" w:cs="Arial" w:eastAsia="Arial" w:hAnsi="Arial"/>
                <w:sz w:val="14"/>
                <w:szCs w:val="14"/>
                <w:color w:val="auto"/>
              </w:rPr>
              <w:t>2,858,566</w:t>
            </w:r>
          </w:p>
        </w:tc>
      </w:tr>
      <w:tr>
        <w:trPr>
          <w:trHeight w:val="29"/>
        </w:trPr>
        <w:tc>
          <w:tcPr>
            <w:tcW w:w="6920" w:type="dxa"/>
            <w:vAlign w:val="bottom"/>
            <w:tcBorders>
              <w:bottom w:val="single" w:sz="8" w:color="1A3FD6"/>
            </w:tcBorders>
          </w:tcPr>
          <w:p>
            <w:pPr>
              <w:spacing w:after="0"/>
              <w:rPr>
                <w:sz w:val="2"/>
                <w:szCs w:val="2"/>
                <w:color w:val="auto"/>
              </w:rPr>
            </w:pPr>
          </w:p>
        </w:tc>
        <w:tc>
          <w:tcPr>
            <w:tcW w:w="2340" w:type="dxa"/>
            <w:vAlign w:val="bottom"/>
            <w:tcBorders>
              <w:bottom w:val="single" w:sz="8" w:color="1A3FD6"/>
            </w:tcBorders>
          </w:tcPr>
          <w:p>
            <w:pPr>
              <w:spacing w:after="0"/>
              <w:rPr>
                <w:sz w:val="2"/>
                <w:szCs w:val="2"/>
                <w:color w:val="auto"/>
              </w:rPr>
            </w:pPr>
          </w:p>
        </w:tc>
        <w:tc>
          <w:tcPr>
            <w:tcW w:w="1360" w:type="dxa"/>
            <w:vAlign w:val="bottom"/>
            <w:tcBorders>
              <w:bottom w:val="single" w:sz="8" w:color="1A3FD6"/>
            </w:tcBorders>
          </w:tcPr>
          <w:p>
            <w:pPr>
              <w:spacing w:after="0"/>
              <w:rPr>
                <w:sz w:val="2"/>
                <w:szCs w:val="2"/>
                <w:color w:val="auto"/>
              </w:rPr>
            </w:pPr>
          </w:p>
        </w:tc>
      </w:tr>
    </w:tbl>
    <w:p>
      <w:pPr>
        <w:spacing w:after="0" w:line="112" w:lineRule="exact"/>
        <w:rPr>
          <w:sz w:val="20"/>
          <w:szCs w:val="20"/>
          <w:color w:val="auto"/>
        </w:rPr>
      </w:pPr>
    </w:p>
    <w:p>
      <w:pPr>
        <w:ind w:left="260" w:right="60"/>
        <w:spacing w:after="0" w:line="241" w:lineRule="auto"/>
        <w:rPr>
          <w:sz w:val="20"/>
          <w:szCs w:val="20"/>
          <w:color w:val="auto"/>
        </w:rPr>
      </w:pPr>
      <w:r>
        <w:rPr>
          <w:rFonts w:ascii="Arial" w:cs="Arial" w:eastAsia="Arial" w:hAnsi="Arial"/>
          <w:sz w:val="14"/>
          <w:szCs w:val="14"/>
          <w:color w:val="auto"/>
        </w:rPr>
        <w:t>Fair values set forth in the table above are computed in accordance with ASC 718 as of the end of the respective fiscal year, other than fair values of awards that vest in the covered year, which are valued as of the applicable vesting date, or the fair values of awards forfeited in the covered year, which are valued as of the end of the prior fiscal</w:t>
      </w:r>
    </w:p>
    <w:p>
      <w:pPr>
        <w:spacing w:after="0" w:line="1" w:lineRule="exact"/>
        <w:rPr>
          <w:sz w:val="20"/>
          <w:szCs w:val="20"/>
          <w:color w:val="auto"/>
        </w:rPr>
      </w:pPr>
    </w:p>
    <w:p>
      <w:pPr>
        <w:ind w:left="260" w:right="60"/>
        <w:spacing w:after="0" w:line="241" w:lineRule="auto"/>
        <w:rPr>
          <w:sz w:val="20"/>
          <w:szCs w:val="20"/>
          <w:color w:val="auto"/>
        </w:rPr>
      </w:pPr>
      <w:r>
        <w:rPr>
          <w:rFonts w:ascii="Arial" w:cs="Arial" w:eastAsia="Arial" w:hAnsi="Arial"/>
          <w:sz w:val="14"/>
          <w:szCs w:val="14"/>
          <w:color w:val="auto"/>
        </w:rPr>
        <w:t>year. The assumptions used for purposes of calculating fair values of awards as of the vest date or fiscal year-end date are the same as the assumptions used for purposes of calculating the grant date fair value of awards, except that, in the case of PSOs, the fair values at the time of grant were determined using the Black-Scholes option</w:t>
      </w:r>
    </w:p>
    <w:p>
      <w:pPr>
        <w:spacing w:after="0" w:line="1" w:lineRule="exact"/>
        <w:rPr>
          <w:sz w:val="20"/>
          <w:szCs w:val="20"/>
          <w:color w:val="auto"/>
        </w:rPr>
      </w:pPr>
    </w:p>
    <w:p>
      <w:pPr>
        <w:ind w:left="260" w:right="340"/>
        <w:spacing w:after="0" w:line="231" w:lineRule="auto"/>
        <w:rPr>
          <w:sz w:val="20"/>
          <w:szCs w:val="20"/>
          <w:color w:val="auto"/>
        </w:rPr>
      </w:pPr>
      <w:r>
        <w:rPr>
          <w:rFonts w:ascii="Arial" w:cs="Arial" w:eastAsia="Arial" w:hAnsi="Arial"/>
          <w:sz w:val="14"/>
          <w:szCs w:val="14"/>
          <w:color w:val="auto"/>
        </w:rPr>
        <w:t>pricing model and the fair values as of the fiscal year-end date were determined using the Hull-White lattice model. The Hull-White lattice model requires consistent judgmental assumptions as the Black-Scholes pricing model, except that the expected life as a direct input for the Black-Scholes pricing model was estimated using the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simplified method provided for by the SEC, while the expected life for the Hull-White lattice model was an implied output and estimated to be 5.2 years for the PSOs granted</w:t>
      </w:r>
    </w:p>
    <w:p>
      <w:pPr>
        <w:spacing w:after="0" w:line="1" w:lineRule="exact"/>
        <w:rPr>
          <w:sz w:val="20"/>
          <w:szCs w:val="20"/>
          <w:color w:val="auto"/>
        </w:rPr>
      </w:pPr>
    </w:p>
    <w:p>
      <w:pPr>
        <w:ind w:left="260" w:right="40"/>
        <w:spacing w:after="0" w:line="231" w:lineRule="auto"/>
        <w:rPr>
          <w:sz w:val="20"/>
          <w:szCs w:val="20"/>
          <w:color w:val="auto"/>
        </w:rPr>
      </w:pPr>
      <w:r>
        <w:rPr>
          <w:rFonts w:ascii="Arial" w:cs="Arial" w:eastAsia="Arial" w:hAnsi="Arial"/>
          <w:sz w:val="14"/>
          <w:szCs w:val="14"/>
          <w:color w:val="auto"/>
        </w:rPr>
        <w:t>in 2023, 6.1 years for the PSOs granted in 2024, 6.9 years for the PSOs granted in 2025, and 7.6 years for the PPOs granted in 2025. In addition, for PSOs, the fair value is adjusted for any changes in the probability of achievement of the (i) a cumulative revenue performance goal and (ii) a cumulative adjusted EPS performance goal (each</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weighted equally under the terms of the PSOs).</w:t>
      </w:r>
    </w:p>
    <w:p>
      <w:pPr>
        <w:spacing w:after="0" w:line="200" w:lineRule="exact"/>
        <w:rPr>
          <w:sz w:val="20"/>
          <w:szCs w:val="20"/>
          <w:color w:val="auto"/>
        </w:rPr>
      </w:pPr>
    </w:p>
    <w:p>
      <w:pPr>
        <w:spacing w:after="0" w:line="395" w:lineRule="exact"/>
        <w:rPr>
          <w:sz w:val="20"/>
          <w:szCs w:val="20"/>
          <w:color w:val="auto"/>
        </w:rPr>
      </w:pPr>
    </w:p>
    <w:p>
      <w:pPr>
        <w:ind w:left="9000"/>
        <w:spacing w:after="0"/>
        <w:tabs>
          <w:tab w:leader="none" w:pos="1096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60" w:right="60" w:hanging="252"/>
        <w:spacing w:after="0" w:line="257" w:lineRule="auto"/>
        <w:tabs>
          <w:tab w:leader="none" w:pos="250"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TSR is cumulative for the measurement periods beginning on December 31, 2020 and ending on December 31 of each of 2025, 2024, 2023, 2022 and 2021, respectively, calculated in accordance with Item 201(e) of Regulation S-K. The peer group for purposes of this table reflects the Company’s industry sector and is the same as our peer group set forth above under “Proxy Summary—Total Shareholder Return” for purposes of Item 201(e) of Regulation S-K.</w:t>
      </w:r>
    </w:p>
    <w:p>
      <w:pPr>
        <w:spacing w:after="0" w:line="55" w:lineRule="exact"/>
        <w:rPr>
          <w:rFonts w:ascii="Arial" w:cs="Arial" w:eastAsia="Arial" w:hAnsi="Arial"/>
          <w:sz w:val="19"/>
          <w:szCs w:val="19"/>
          <w:color w:val="auto"/>
          <w:vertAlign w:val="superscript"/>
        </w:rPr>
      </w:pPr>
    </w:p>
    <w:p>
      <w:pPr>
        <w:ind w:left="260" w:right="540" w:hanging="252"/>
        <w:spacing w:after="0" w:line="239" w:lineRule="auto"/>
        <w:tabs>
          <w:tab w:leader="none" w:pos="250"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Reflects “Net Income” in the Company’s Consolidated Statements of Income included in the Company’s Annual Reports on Form 10-K for each of the years ended December 31, 2025, 2024, 2023, 2022, and 2021.</w:t>
      </w:r>
    </w:p>
    <w:p>
      <w:pPr>
        <w:spacing w:after="0" w:line="39"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18"/>
        </w:numPr>
        <w:rPr>
          <w:rFonts w:ascii="Arial" w:cs="Arial" w:eastAsia="Arial" w:hAnsi="Arial"/>
          <w:sz w:val="19"/>
          <w:szCs w:val="19"/>
          <w:color w:val="auto"/>
          <w:vertAlign w:val="superscript"/>
        </w:rPr>
      </w:pPr>
      <w:r>
        <w:rPr>
          <w:rFonts w:ascii="Arial" w:cs="Arial" w:eastAsia="Arial" w:hAnsi="Arial"/>
          <w:sz w:val="14"/>
          <w:szCs w:val="14"/>
          <w:color w:val="auto"/>
        </w:rPr>
        <w:t>Adjusted EPS is a non-GAAP financial measure. See Annex B for definitions and reconciliations of all non-GAAP financial measures referenced herein.</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Disclosure of Relationships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Compensation Actually Paid, MSCI Cumulative TSR and Peer Group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72390</wp:posOffset>
            </wp:positionV>
            <wp:extent cx="5554980" cy="254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555498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464"/>
        </w:trPr>
        <w:tc>
          <w:tcPr>
            <w:tcW w:w="1800" w:type="dxa"/>
            <w:vAlign w:val="bottom"/>
          </w:tcPr>
          <w:p>
            <w:pPr>
              <w:spacing w:after="0"/>
              <w:rPr>
                <w:sz w:val="20"/>
                <w:szCs w:val="20"/>
                <w:color w:val="auto"/>
              </w:rPr>
            </w:pPr>
            <w:r>
              <w:rPr>
                <w:rFonts w:ascii="Wingdings" w:cs="Wingdings" w:eastAsia="Wingdings" w:hAnsi="Wingdings"/>
                <w:sz w:val="39"/>
                <w:szCs w:val="39"/>
                <w:b w:val="1"/>
                <w:bCs w:val="1"/>
                <w:color w:val="16A3B6"/>
                <w:vertAlign w:val="subscript"/>
              </w:rPr>
              <w:t>l</w:t>
            </w:r>
            <w:r>
              <w:rPr>
                <w:rFonts w:ascii="Arial" w:cs="Arial" w:eastAsia="Arial" w:hAnsi="Arial"/>
                <w:sz w:val="14"/>
                <w:szCs w:val="14"/>
                <w:color w:val="auto"/>
              </w:rPr>
              <w:t xml:space="preserve"> Compensation Actually</w:t>
            </w:r>
          </w:p>
        </w:tc>
        <w:tc>
          <w:tcPr>
            <w:tcW w:w="2520" w:type="dxa"/>
            <w:vAlign w:val="bottom"/>
          </w:tcPr>
          <w:p>
            <w:pPr>
              <w:ind w:left="100"/>
              <w:spacing w:after="0"/>
              <w:rPr>
                <w:sz w:val="20"/>
                <w:szCs w:val="20"/>
                <w:color w:val="auto"/>
              </w:rPr>
            </w:pPr>
            <w:r>
              <w:rPr>
                <w:rFonts w:ascii="Wingdings" w:cs="Wingdings" w:eastAsia="Wingdings" w:hAnsi="Wingdings"/>
                <w:sz w:val="39"/>
                <w:szCs w:val="39"/>
                <w:b w:val="1"/>
                <w:bCs w:val="1"/>
                <w:color w:val="529200"/>
                <w:vertAlign w:val="subscript"/>
              </w:rPr>
              <w:t>l</w:t>
            </w:r>
            <w:r>
              <w:rPr>
                <w:rFonts w:ascii="Arial" w:cs="Arial" w:eastAsia="Arial" w:hAnsi="Arial"/>
                <w:sz w:val="14"/>
                <w:szCs w:val="14"/>
                <w:color w:val="auto"/>
              </w:rPr>
              <w:t xml:space="preserve"> Average Compensation Actually</w:t>
            </w:r>
          </w:p>
        </w:tc>
        <w:tc>
          <w:tcPr>
            <w:tcW w:w="1720" w:type="dxa"/>
            <w:vAlign w:val="bottom"/>
          </w:tcPr>
          <w:p>
            <w:pPr>
              <w:ind w:left="180"/>
              <w:spacing w:after="0"/>
              <w:rPr>
                <w:sz w:val="20"/>
                <w:szCs w:val="20"/>
                <w:color w:val="auto"/>
              </w:rPr>
            </w:pPr>
            <w:r>
              <w:rPr>
                <w:rFonts w:ascii="Arial" w:cs="Arial" w:eastAsia="Arial" w:hAnsi="Arial"/>
                <w:sz w:val="39"/>
                <w:szCs w:val="39"/>
                <w:b w:val="1"/>
                <w:bCs w:val="1"/>
                <w:color w:val="1A3FD6"/>
                <w:w w:val="93"/>
                <w:vertAlign w:val="subscript"/>
              </w:rPr>
              <w:t>—</w:t>
            </w:r>
            <w:r>
              <w:rPr>
                <w:rFonts w:ascii="Arial" w:cs="Arial" w:eastAsia="Arial" w:hAnsi="Arial"/>
                <w:sz w:val="20"/>
                <w:szCs w:val="20"/>
                <w:b w:val="1"/>
                <w:bCs w:val="1"/>
                <w:color w:val="1A3FD6"/>
                <w:w w:val="93"/>
              </w:rPr>
              <w:t xml:space="preserve">— </w:t>
            </w:r>
            <w:r>
              <w:rPr>
                <w:rFonts w:ascii="Arial" w:cs="Arial" w:eastAsia="Arial" w:hAnsi="Arial"/>
                <w:sz w:val="14"/>
                <w:szCs w:val="14"/>
                <w:color w:val="000000"/>
                <w:w w:val="93"/>
              </w:rPr>
              <w:t>Total Shareholder</w:t>
            </w:r>
          </w:p>
        </w:tc>
        <w:tc>
          <w:tcPr>
            <w:tcW w:w="1780" w:type="dxa"/>
            <w:vAlign w:val="bottom"/>
          </w:tcPr>
          <w:p>
            <w:pPr>
              <w:ind w:left="120"/>
              <w:spacing w:after="0"/>
              <w:rPr>
                <w:sz w:val="20"/>
                <w:szCs w:val="20"/>
                <w:color w:val="auto"/>
              </w:rPr>
            </w:pPr>
            <w:r>
              <w:rPr>
                <w:rFonts w:ascii="Arial" w:cs="Arial" w:eastAsia="Arial" w:hAnsi="Arial"/>
                <w:sz w:val="39"/>
                <w:szCs w:val="39"/>
                <w:b w:val="1"/>
                <w:bCs w:val="1"/>
                <w:color w:val="F7620E"/>
                <w:vertAlign w:val="subscript"/>
              </w:rPr>
              <w:t>—</w:t>
            </w:r>
            <w:r>
              <w:rPr>
                <w:rFonts w:ascii="Arial" w:cs="Arial" w:eastAsia="Arial" w:hAnsi="Arial"/>
                <w:sz w:val="20"/>
                <w:szCs w:val="20"/>
                <w:b w:val="1"/>
                <w:bCs w:val="1"/>
                <w:color w:val="F7620E"/>
              </w:rPr>
              <w:t xml:space="preserve">— </w:t>
            </w:r>
            <w:r>
              <w:rPr>
                <w:rFonts w:ascii="Arial" w:cs="Arial" w:eastAsia="Arial" w:hAnsi="Arial"/>
                <w:sz w:val="14"/>
                <w:szCs w:val="14"/>
                <w:color w:val="000000"/>
              </w:rPr>
              <w:t>Peer Group Total</w:t>
            </w:r>
          </w:p>
        </w:tc>
      </w:tr>
      <w:tr>
        <w:trPr>
          <w:trHeight w:val="250"/>
        </w:trPr>
        <w:tc>
          <w:tcPr>
            <w:tcW w:w="1800" w:type="dxa"/>
            <w:vAlign w:val="bottom"/>
          </w:tcPr>
          <w:p>
            <w:pPr>
              <w:ind w:left="220"/>
              <w:spacing w:after="0"/>
              <w:rPr>
                <w:sz w:val="20"/>
                <w:szCs w:val="20"/>
                <w:color w:val="auto"/>
              </w:rPr>
            </w:pPr>
            <w:r>
              <w:rPr>
                <w:rFonts w:ascii="Arial" w:cs="Arial" w:eastAsia="Arial" w:hAnsi="Arial"/>
                <w:sz w:val="14"/>
                <w:szCs w:val="14"/>
                <w:color w:val="auto"/>
              </w:rPr>
              <w:t>Paid to PEO</w:t>
            </w:r>
          </w:p>
        </w:tc>
        <w:tc>
          <w:tcPr>
            <w:tcW w:w="2520" w:type="dxa"/>
            <w:vAlign w:val="bottom"/>
          </w:tcPr>
          <w:p>
            <w:pPr>
              <w:ind w:left="320"/>
              <w:spacing w:after="0"/>
              <w:rPr>
                <w:sz w:val="20"/>
                <w:szCs w:val="20"/>
                <w:color w:val="auto"/>
              </w:rPr>
            </w:pPr>
            <w:r>
              <w:rPr>
                <w:rFonts w:ascii="Arial" w:cs="Arial" w:eastAsia="Arial" w:hAnsi="Arial"/>
                <w:sz w:val="14"/>
                <w:szCs w:val="14"/>
                <w:color w:val="auto"/>
              </w:rPr>
              <w:t>Paid to Non-PEO NEOs</w:t>
            </w:r>
          </w:p>
        </w:tc>
        <w:tc>
          <w:tcPr>
            <w:tcW w:w="1720" w:type="dxa"/>
            <w:vAlign w:val="bottom"/>
          </w:tcPr>
          <w:p>
            <w:pPr>
              <w:ind w:left="480"/>
              <w:spacing w:after="0"/>
              <w:rPr>
                <w:sz w:val="20"/>
                <w:szCs w:val="20"/>
                <w:color w:val="auto"/>
              </w:rPr>
            </w:pPr>
            <w:r>
              <w:rPr>
                <w:rFonts w:ascii="Arial" w:cs="Arial" w:eastAsia="Arial" w:hAnsi="Arial"/>
                <w:sz w:val="14"/>
                <w:szCs w:val="14"/>
                <w:color w:val="auto"/>
              </w:rPr>
              <w:t>Return</w:t>
            </w:r>
            <w:r>
              <w:rPr>
                <w:rFonts w:ascii="Arial" w:cs="Arial" w:eastAsia="Arial" w:hAnsi="Arial"/>
                <w:sz w:val="18"/>
                <w:szCs w:val="18"/>
                <w:color w:val="auto"/>
                <w:vertAlign w:val="superscript"/>
              </w:rPr>
              <w:t>(1)</w:t>
            </w:r>
          </w:p>
        </w:tc>
        <w:tc>
          <w:tcPr>
            <w:tcW w:w="1780" w:type="dxa"/>
            <w:vAlign w:val="bottom"/>
          </w:tcPr>
          <w:p>
            <w:pPr>
              <w:ind w:left="420"/>
              <w:spacing w:after="0"/>
              <w:rPr>
                <w:sz w:val="20"/>
                <w:szCs w:val="20"/>
                <w:color w:val="auto"/>
              </w:rPr>
            </w:pPr>
            <w:r>
              <w:rPr>
                <w:rFonts w:ascii="Arial" w:cs="Arial" w:eastAsia="Arial" w:hAnsi="Arial"/>
                <w:sz w:val="14"/>
                <w:szCs w:val="14"/>
                <w:color w:val="auto"/>
                <w:w w:val="97"/>
              </w:rPr>
              <w:t>Shareholder Return</w:t>
            </w:r>
            <w:r>
              <w:rPr>
                <w:rFonts w:ascii="Arial" w:cs="Arial" w:eastAsia="Arial" w:hAnsi="Arial"/>
                <w:sz w:val="18"/>
                <w:szCs w:val="18"/>
                <w:color w:val="auto"/>
                <w:w w:val="97"/>
                <w:vertAlign w:val="superscript"/>
              </w:rPr>
              <w:t>(1)</w:t>
            </w:r>
          </w:p>
        </w:tc>
      </w:tr>
    </w:tbl>
    <w:p>
      <w:pPr>
        <w:spacing w:after="0" w:line="258" w:lineRule="exact"/>
        <w:rPr>
          <w:sz w:val="20"/>
          <w:szCs w:val="20"/>
          <w:color w:val="auto"/>
        </w:rPr>
      </w:pPr>
    </w:p>
    <w:p>
      <w:pPr>
        <w:jc w:val="both"/>
        <w:ind w:left="260" w:hanging="252"/>
        <w:spacing w:after="0" w:line="303" w:lineRule="auto"/>
        <w:tabs>
          <w:tab w:leader="none" w:pos="264" w:val="left"/>
        </w:tabs>
        <w:numPr>
          <w:ilvl w:val="0"/>
          <w:numId w:val="119"/>
        </w:numPr>
        <w:rPr>
          <w:rFonts w:ascii="Arial" w:cs="Arial" w:eastAsia="Arial" w:hAnsi="Arial"/>
          <w:sz w:val="9"/>
          <w:szCs w:val="9"/>
          <w:color w:val="auto"/>
        </w:rPr>
      </w:pPr>
      <w:r>
        <w:rPr>
          <w:rFonts w:ascii="Arial" w:cs="Arial" w:eastAsia="Arial" w:hAnsi="Arial"/>
          <w:sz w:val="14"/>
          <w:szCs w:val="14"/>
          <w:color w:val="auto"/>
        </w:rPr>
        <w:t>TSR is cumulative for the measurement periods beginning on December 31, 2020 and ending on December 31 of each of 2025, 2024, 2023, 2022 and 2021, respectively, calculated in accordance with Item 201(e) of Regulation S-K. The peer group for purposes of this graph reflects the Company’s industry sector and is the same as our peer group set forth above in “Proxy Summary—Total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269875</wp:posOffset>
            </wp:positionV>
            <wp:extent cx="556895" cy="146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12065</wp:posOffset>
            </wp:positionV>
            <wp:extent cx="5554980" cy="25888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5554980" cy="258889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840"/>
        <w:spacing w:after="0"/>
        <w:rPr>
          <w:sz w:val="20"/>
          <w:szCs w:val="20"/>
          <w:color w:val="auto"/>
        </w:rPr>
      </w:pPr>
      <w:r>
        <w:rPr>
          <w:rFonts w:ascii="Wingdings" w:cs="Wingdings" w:eastAsia="Wingdings" w:hAnsi="Wingdings"/>
          <w:sz w:val="19"/>
          <w:szCs w:val="19"/>
          <w:b w:val="1"/>
          <w:bCs w:val="1"/>
          <w:color w:val="16A3B6"/>
        </w:rPr>
        <w:t xml:space="preserve">l </w:t>
      </w:r>
      <w:r>
        <w:rPr>
          <w:rFonts w:ascii="Arial" w:cs="Arial" w:eastAsia="Arial" w:hAnsi="Arial"/>
          <w:sz w:val="13"/>
          <w:szCs w:val="13"/>
          <w:color w:val="000000"/>
        </w:rPr>
        <w:t>Compensation Actually</w:t>
      </w:r>
    </w:p>
    <w:p>
      <w:pPr>
        <w:ind w:left="3060"/>
        <w:spacing w:after="0"/>
        <w:rPr>
          <w:sz w:val="20"/>
          <w:szCs w:val="20"/>
          <w:color w:val="auto"/>
        </w:rPr>
      </w:pPr>
      <w:r>
        <w:rPr>
          <w:rFonts w:ascii="Arial" w:cs="Arial" w:eastAsia="Arial" w:hAnsi="Arial"/>
          <w:sz w:val="14"/>
          <w:szCs w:val="14"/>
          <w:color w:val="auto"/>
        </w:rPr>
        <w:t>Paid to PEO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Wingdings" w:cs="Wingdings" w:eastAsia="Wingdings" w:hAnsi="Wingdings"/>
          <w:sz w:val="19"/>
          <w:szCs w:val="19"/>
          <w:b w:val="1"/>
          <w:bCs w:val="1"/>
          <w:color w:val="529200"/>
        </w:rPr>
        <w:t xml:space="preserve">l </w:t>
      </w:r>
      <w:r>
        <w:rPr>
          <w:rFonts w:ascii="Arial" w:cs="Arial" w:eastAsia="Arial" w:hAnsi="Arial"/>
          <w:sz w:val="13"/>
          <w:szCs w:val="13"/>
          <w:color w:val="000000"/>
        </w:rPr>
        <w:t>Average Compensation Actually</w:t>
      </w:r>
    </w:p>
    <w:p>
      <w:pPr>
        <w:ind w:left="240"/>
        <w:spacing w:after="0"/>
        <w:rPr>
          <w:sz w:val="20"/>
          <w:szCs w:val="20"/>
          <w:color w:val="auto"/>
        </w:rPr>
      </w:pPr>
      <w:r>
        <w:rPr>
          <w:rFonts w:ascii="Arial" w:cs="Arial" w:eastAsia="Arial" w:hAnsi="Arial"/>
          <w:sz w:val="14"/>
          <w:szCs w:val="14"/>
          <w:color w:val="auto"/>
        </w:rPr>
        <w:t>Paid to Non-PEO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 xml:space="preserve">—— </w:t>
      </w:r>
      <w:r>
        <w:rPr>
          <w:rFonts w:ascii="Arial" w:cs="Arial" w:eastAsia="Arial" w:hAnsi="Arial"/>
          <w:sz w:val="12"/>
          <w:szCs w:val="12"/>
          <w:color w:val="000000"/>
        </w:rPr>
        <w:t>Net Income</w:t>
      </w:r>
    </w:p>
    <w:p>
      <w:pPr>
        <w:spacing w:after="0" w:line="448" w:lineRule="exact"/>
        <w:rPr>
          <w:sz w:val="20"/>
          <w:szCs w:val="20"/>
          <w:color w:val="auto"/>
        </w:rPr>
      </w:pPr>
    </w:p>
    <w:p>
      <w:pPr>
        <w:sectPr>
          <w:pgSz w:w="11900" w:h="16838" w:orient="portrait"/>
          <w:cols w:equalWidth="0" w:num="3">
            <w:col w:w="4540" w:space="180"/>
            <w:col w:w="2280" w:space="320"/>
            <w:col w:w="3920"/>
          </w:cols>
          <w:pgMar w:left="320" w:top="130" w:right="33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Compensation Actually Paid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106680</wp:posOffset>
            </wp:positionV>
            <wp:extent cx="5554980" cy="25888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555498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700" w:type="dxa"/>
        <w:tblCellMar>
          <w:top w:w="0" w:type="dxa"/>
          <w:left w:w="0" w:type="dxa"/>
          <w:bottom w:w="0" w:type="dxa"/>
          <w:right w:w="0" w:type="dxa"/>
        </w:tblCellMar>
      </w:tblPr>
      <w:tr>
        <w:trPr>
          <w:trHeight w:val="468"/>
        </w:trPr>
        <w:tc>
          <w:tcPr>
            <w:tcW w:w="1780" w:type="dxa"/>
            <w:vAlign w:val="bottom"/>
          </w:tcPr>
          <w:p>
            <w:pPr>
              <w:spacing w:after="0"/>
              <w:rPr>
                <w:sz w:val="20"/>
                <w:szCs w:val="20"/>
                <w:color w:val="auto"/>
              </w:rPr>
            </w:pPr>
            <w:r>
              <w:rPr>
                <w:rFonts w:ascii="Wingdings" w:cs="Wingdings" w:eastAsia="Wingdings" w:hAnsi="Wingdings"/>
                <w:sz w:val="39"/>
                <w:szCs w:val="39"/>
                <w:b w:val="1"/>
                <w:bCs w:val="1"/>
                <w:color w:val="16A3B6"/>
                <w:vertAlign w:val="subscript"/>
              </w:rPr>
              <w:t>l</w:t>
            </w:r>
            <w:r>
              <w:rPr>
                <w:rFonts w:ascii="Arial" w:cs="Arial" w:eastAsia="Arial" w:hAnsi="Arial"/>
                <w:sz w:val="14"/>
                <w:szCs w:val="14"/>
                <w:color w:val="auto"/>
              </w:rPr>
              <w:t xml:space="preserve"> Compensation Actually</w:t>
            </w:r>
          </w:p>
        </w:tc>
        <w:tc>
          <w:tcPr>
            <w:tcW w:w="2540" w:type="dxa"/>
            <w:vAlign w:val="bottom"/>
          </w:tcPr>
          <w:p>
            <w:pPr>
              <w:ind w:left="100"/>
              <w:spacing w:after="0"/>
              <w:rPr>
                <w:sz w:val="20"/>
                <w:szCs w:val="20"/>
                <w:color w:val="auto"/>
              </w:rPr>
            </w:pPr>
            <w:r>
              <w:rPr>
                <w:rFonts w:ascii="Wingdings" w:cs="Wingdings" w:eastAsia="Wingdings" w:hAnsi="Wingdings"/>
                <w:sz w:val="39"/>
                <w:szCs w:val="39"/>
                <w:b w:val="1"/>
                <w:bCs w:val="1"/>
                <w:color w:val="529200"/>
                <w:vertAlign w:val="subscript"/>
              </w:rPr>
              <w:t>l</w:t>
            </w:r>
            <w:r>
              <w:rPr>
                <w:rFonts w:ascii="Arial" w:cs="Arial" w:eastAsia="Arial" w:hAnsi="Arial"/>
                <w:sz w:val="14"/>
                <w:szCs w:val="14"/>
                <w:color w:val="auto"/>
              </w:rPr>
              <w:t xml:space="preserve"> Average Compensation Actually</w:t>
            </w:r>
          </w:p>
        </w:tc>
        <w:tc>
          <w:tcPr>
            <w:tcW w:w="1480" w:type="dxa"/>
            <w:vAlign w:val="bottom"/>
          </w:tcPr>
          <w:p>
            <w:pPr>
              <w:ind w:left="160"/>
              <w:spacing w:after="0"/>
              <w:rPr>
                <w:sz w:val="20"/>
                <w:szCs w:val="20"/>
                <w:color w:val="auto"/>
              </w:rPr>
            </w:pPr>
            <w:r>
              <w:rPr>
                <w:rFonts w:ascii="Arial" w:cs="Arial" w:eastAsia="Arial" w:hAnsi="Arial"/>
                <w:sz w:val="39"/>
                <w:szCs w:val="39"/>
                <w:b w:val="1"/>
                <w:bCs w:val="1"/>
                <w:color w:val="1A3FD6"/>
                <w:w w:val="87"/>
                <w:vertAlign w:val="subscript"/>
              </w:rPr>
              <w:t>—</w:t>
            </w:r>
            <w:r>
              <w:rPr>
                <w:rFonts w:ascii="Arial" w:cs="Arial" w:eastAsia="Arial" w:hAnsi="Arial"/>
                <w:sz w:val="20"/>
                <w:szCs w:val="20"/>
                <w:b w:val="1"/>
                <w:bCs w:val="1"/>
                <w:color w:val="1A3FD6"/>
                <w:w w:val="87"/>
              </w:rPr>
              <w:t xml:space="preserve">— </w:t>
            </w:r>
            <w:r>
              <w:rPr>
                <w:rFonts w:ascii="Arial" w:cs="Arial" w:eastAsia="Arial" w:hAnsi="Arial"/>
                <w:sz w:val="14"/>
                <w:szCs w:val="14"/>
                <w:color w:val="000000"/>
                <w:w w:val="87"/>
              </w:rPr>
              <w:t>Adjusted EPS</w:t>
            </w:r>
            <w:r>
              <w:rPr>
                <w:rFonts w:ascii="Arial" w:cs="Arial" w:eastAsia="Arial" w:hAnsi="Arial"/>
                <w:sz w:val="9"/>
                <w:szCs w:val="9"/>
                <w:color w:val="000000"/>
                <w:w w:val="87"/>
              </w:rPr>
              <w:t>(1)</w:t>
            </w:r>
          </w:p>
        </w:tc>
      </w:tr>
      <w:tr>
        <w:trPr>
          <w:trHeight w:val="190"/>
        </w:trPr>
        <w:tc>
          <w:tcPr>
            <w:tcW w:w="1780" w:type="dxa"/>
            <w:vAlign w:val="bottom"/>
          </w:tcPr>
          <w:p>
            <w:pPr>
              <w:ind w:left="220"/>
              <w:spacing w:after="0"/>
              <w:rPr>
                <w:sz w:val="20"/>
                <w:szCs w:val="20"/>
                <w:color w:val="auto"/>
              </w:rPr>
            </w:pPr>
            <w:r>
              <w:rPr>
                <w:rFonts w:ascii="Arial" w:cs="Arial" w:eastAsia="Arial" w:hAnsi="Arial"/>
                <w:sz w:val="14"/>
                <w:szCs w:val="14"/>
                <w:color w:val="auto"/>
              </w:rPr>
              <w:t>Paid to PEO</w:t>
            </w:r>
          </w:p>
        </w:tc>
        <w:tc>
          <w:tcPr>
            <w:tcW w:w="2540" w:type="dxa"/>
            <w:vAlign w:val="bottom"/>
          </w:tcPr>
          <w:p>
            <w:pPr>
              <w:ind w:left="340"/>
              <w:spacing w:after="0"/>
              <w:rPr>
                <w:sz w:val="20"/>
                <w:szCs w:val="20"/>
                <w:color w:val="auto"/>
              </w:rPr>
            </w:pPr>
            <w:r>
              <w:rPr>
                <w:rFonts w:ascii="Arial" w:cs="Arial" w:eastAsia="Arial" w:hAnsi="Arial"/>
                <w:sz w:val="14"/>
                <w:szCs w:val="14"/>
                <w:color w:val="auto"/>
              </w:rPr>
              <w:t>Paid to Non-PEO NEOs</w:t>
            </w:r>
          </w:p>
        </w:tc>
        <w:tc>
          <w:tcPr>
            <w:tcW w:w="1480" w:type="dxa"/>
            <w:vAlign w:val="bottom"/>
          </w:tcPr>
          <w:p>
            <w:pPr>
              <w:spacing w:after="0"/>
              <w:rPr>
                <w:sz w:val="16"/>
                <w:szCs w:val="16"/>
                <w:color w:val="auto"/>
              </w:rPr>
            </w:pPr>
          </w:p>
        </w:tc>
      </w:tr>
    </w:tbl>
    <w:p>
      <w:pPr>
        <w:spacing w:after="0" w:line="299" w:lineRule="exact"/>
        <w:rPr>
          <w:sz w:val="20"/>
          <w:szCs w:val="20"/>
          <w:color w:val="auto"/>
        </w:rPr>
      </w:pPr>
    </w:p>
    <w:p>
      <w:pPr>
        <w:ind w:left="280" w:hanging="272"/>
        <w:spacing w:after="0"/>
        <w:tabs>
          <w:tab w:leader="none" w:pos="280" w:val="left"/>
        </w:tabs>
        <w:numPr>
          <w:ilvl w:val="0"/>
          <w:numId w:val="120"/>
        </w:numPr>
        <w:rPr>
          <w:rFonts w:ascii="Arial" w:cs="Arial" w:eastAsia="Arial" w:hAnsi="Arial"/>
          <w:sz w:val="19"/>
          <w:szCs w:val="19"/>
          <w:color w:val="auto"/>
          <w:vertAlign w:val="superscript"/>
        </w:rPr>
      </w:pPr>
      <w:r>
        <w:rPr>
          <w:rFonts w:ascii="Arial" w:cs="Arial" w:eastAsia="Arial" w:hAnsi="Arial"/>
          <w:sz w:val="14"/>
          <w:szCs w:val="14"/>
          <w:color w:val="auto"/>
        </w:rPr>
        <w:t>Adjusted EPS is a non-GAAP financial measure. See Annex B for definitions and reconciliations of all non-GAAP financial measures referenced herein.</w:t>
      </w:r>
    </w:p>
    <w:p>
      <w:pPr>
        <w:spacing w:after="0" w:line="200" w:lineRule="exact"/>
        <w:rPr>
          <w:sz w:val="20"/>
          <w:szCs w:val="20"/>
          <w:color w:val="auto"/>
        </w:rPr>
      </w:pPr>
    </w:p>
    <w:p>
      <w:pPr>
        <w:spacing w:after="0" w:line="393" w:lineRule="exact"/>
        <w:rPr>
          <w:sz w:val="20"/>
          <w:szCs w:val="20"/>
          <w:color w:val="auto"/>
        </w:rPr>
      </w:pPr>
    </w:p>
    <w:p>
      <w:pPr>
        <w:ind w:left="9000"/>
        <w:spacing w:after="0"/>
        <w:tabs>
          <w:tab w:leader="none" w:pos="1096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color w:val="auto"/>
        </w:rPr>
        <w:t>Compensation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Measures</w:t>
      </w:r>
    </w:p>
    <w:p>
      <w:pPr>
        <w:spacing w:after="0" w:line="11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described in more detail in the Compensation Discussion and Analysis beginning on page 58 of this Proxy Statement, our executive compensation program is designed to facilitate an “owner-operator” mindset amongst our senior executives. In connection with our pay-for-performance philosophy, we utilize multiple, complementary performance measures under our AIP and LTIP that measure and reward for performance against core financial, operational and strategic milestones that drive shareholder value creation.</w:t>
      </w:r>
    </w:p>
    <w:p>
      <w:pPr>
        <w:spacing w:after="0" w:line="9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Adjusted EPS, operating revenues and total net sales are utilized as performance measures for our AIP. Further information regarding these performance measures can be found under Compensation Discussion and Analysis.</w:t>
      </w:r>
    </w:p>
    <w:p>
      <w:pPr>
        <w:spacing w:after="0" w:line="75"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Under our LTIP, we granted PSUs that are eligible to vest based on the achievement of an absolute TSR CAGR measured over a cumulative three-year performance period. We also granted PSOs that are eligible to vest based on the combined level of achievement of (i) a cumulative operating revenue performance goal and (ii) a cumulative adjusted EPS performance goal (each weighted equally) and measured over a cumulative three-year performance period.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an unranked list of the “most important” performance measures we used to link pay with performance for 2025.</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Net Sales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3-Year Absolute TSR CAGR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0"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9"/>
          <w:szCs w:val="19"/>
          <w:color w:val="auto"/>
          <w:vertAlign w:val="superscript"/>
        </w:rPr>
      </w:pPr>
      <w:r>
        <w:rPr>
          <w:rFonts w:ascii="Arial" w:cs="Arial" w:eastAsia="Arial" w:hAnsi="Arial"/>
          <w:sz w:val="14"/>
          <w:szCs w:val="14"/>
          <w:color w:val="auto"/>
        </w:rPr>
        <w:t>For purposes of the AIP, Total Net Sales reflects net new recurring subscription sales plus non-recurring sales weighted at 75%.</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do not consider any one of the above performance measures to be the single most important financial measure for our company or executive compensation design. However, adjusted EPS is a performance measure that is utilized under both our AIP and our LTIP and is a key metric used by our management and our investors in evaluating our performance, and therefore, for purposes of the 2025 Pay versus Performance Table, we disclose adjusted EPS to be the “most important” financial performance measure utilized in our executive compensation program for 2025 for linking pay with performance and as our “company-selected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321945</wp:posOffset>
            </wp:positionV>
            <wp:extent cx="556895" cy="146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5" w:name="page106"/>
    <w:bookmarkEnd w:id="105"/>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996950</wp:posOffset>
            </wp:positionH>
            <wp:positionV relativeFrom="page">
              <wp:posOffset>817245</wp:posOffset>
            </wp:positionV>
            <wp:extent cx="3831590" cy="18599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3831590" cy="1859915"/>
                    </a:xfrm>
                    <a:prstGeom prst="rect">
                      <a:avLst/>
                    </a:prstGeom>
                    <a:noFill/>
                  </pic:spPr>
                </pic:pic>
              </a:graphicData>
            </a:graphic>
          </wp:anchor>
        </w:drawing>
      </w:r>
    </w:p>
    <w:p>
      <w:pPr>
        <w:ind w:left="1680"/>
        <w:spacing w:after="0"/>
        <w:rPr>
          <w:sz w:val="20"/>
          <w:szCs w:val="20"/>
          <w:color w:val="auto"/>
        </w:rPr>
      </w:pPr>
      <w:r>
        <w:rPr>
          <w:rFonts w:ascii="Arial" w:cs="Arial" w:eastAsia="Arial" w:hAnsi="Arial"/>
          <w:sz w:val="20"/>
          <w:szCs w:val="20"/>
          <w:color w:val="00C4B3"/>
        </w:rPr>
        <w:t>PROPOSAL 3</w:t>
      </w:r>
    </w:p>
    <w:p>
      <w:pPr>
        <w:spacing w:after="0" w:line="74" w:lineRule="exact"/>
        <w:rPr>
          <w:sz w:val="20"/>
          <w:szCs w:val="20"/>
          <w:color w:val="auto"/>
        </w:rPr>
      </w:pPr>
    </w:p>
    <w:p>
      <w:pPr>
        <w:ind w:left="1680" w:right="1920"/>
        <w:spacing w:after="0" w:line="270" w:lineRule="auto"/>
        <w:rPr>
          <w:sz w:val="20"/>
          <w:szCs w:val="20"/>
          <w:color w:val="auto"/>
        </w:rPr>
      </w:pPr>
      <w:r>
        <w:rPr>
          <w:rFonts w:ascii="Arial" w:cs="Arial" w:eastAsia="Arial" w:hAnsi="Arial"/>
          <w:sz w:val="32"/>
          <w:szCs w:val="32"/>
          <w:color w:val="FFFFFF"/>
        </w:rPr>
        <w:t>Ratification of the Appointment of MSCI’s Independent Auditor</w:t>
      </w:r>
    </w:p>
    <w:p>
      <w:pPr>
        <w:spacing w:after="0" w:line="325" w:lineRule="exact"/>
        <w:rPr>
          <w:sz w:val="20"/>
          <w:szCs w:val="20"/>
          <w:color w:val="auto"/>
        </w:rPr>
      </w:pPr>
    </w:p>
    <w:p>
      <w:pPr>
        <w:ind w:left="1680" w:right="1460"/>
        <w:spacing w:after="0" w:line="286" w:lineRule="auto"/>
        <w:rPr>
          <w:sz w:val="20"/>
          <w:szCs w:val="20"/>
          <w:color w:val="auto"/>
        </w:rPr>
      </w:pPr>
      <w:r>
        <w:rPr>
          <w:rFonts w:ascii="Arial" w:cs="Arial" w:eastAsia="Arial" w:hAnsi="Arial"/>
          <w:sz w:val="16"/>
          <w:szCs w:val="16"/>
          <w:color w:val="FFFFFF"/>
        </w:rPr>
        <w:t xml:space="preserve">Proxies solicited by our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ratification unless otherwise instructed.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80"/>
        <w:spacing w:after="0" w:line="256" w:lineRule="auto"/>
        <w:rPr>
          <w:sz w:val="20"/>
          <w:szCs w:val="20"/>
          <w:color w:val="auto"/>
        </w:rPr>
      </w:pPr>
      <w:r>
        <w:rPr>
          <w:rFonts w:ascii="Arial" w:cs="Arial" w:eastAsia="Arial" w:hAnsi="Arial"/>
          <w:sz w:val="18"/>
          <w:szCs w:val="18"/>
          <w:color w:val="auto"/>
        </w:rPr>
        <w:t xml:space="preserve">Our Board of Directors recommends that you vote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of PricewaterhouseCoopers LLP as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-1534795</wp:posOffset>
            </wp:positionV>
            <wp:extent cx="1723390" cy="18599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1723390" cy="185991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6900" w:space="720"/>
            <w:col w:w="3600"/>
          </w:cols>
          <w:pgMar w:left="320" w:top="1440"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Audit Committee appointed PricewaterhouseCoopers LLP (“PwC”) as independent auditor for 2026 and presents this selection to the shareholders for ratification. PwC will audit our consolidated financial statements for the year ended December 31, 2026 and perform other permissible pre-approved services.</w:t>
      </w:r>
    </w:p>
    <w:p>
      <w:pPr>
        <w:spacing w:after="0" w:line="9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 PwC representative will attend the 2026 Annual Meeting to respond to your questions and will have the opportunity to make a statement if he or she desires to do so. If our shareholders fail to ratify the appointment of PwC, it will be regarded as notice to the Board and the Audit Committee to consider the selection of a different firm. Even if shareholders ratify the selection of PwC, the Audit Committee, in its discretion, may select a new independent auditor at any time during the year if it believes that the change would be in the best interest of the Company.</w:t>
      </w:r>
    </w:p>
    <w:p>
      <w:pPr>
        <w:spacing w:after="0" w:line="9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Audit Committee periodically reviews the engagement of the independent auditor to assess, among other things, the skills, experience, service levels and costs associated with conducting the annual audit of the Company’s financial statements. PwC has served as our independent auditor since March 2014. The Audit Committee believes that the tenure of our independent auditor since March 2014 provides significant benefits, including deep institutional knowledge and expertise of our operations and business, enhanced audit quality, and efficiencies that contribute to the integrity and reliability of our financial reporting.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Vote Required and Recommendation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votes cast at our 2026 Annual Meeting, at which a quorum is present, is required to approve Proposal No. 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Abstentions shall not be treated as votes cast.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47"/>
          <w:szCs w:val="47"/>
          <w:b w:val="1"/>
          <w:bCs w:val="1"/>
          <w:color w:val="1A3FD6"/>
        </w:rPr>
        <w:t>Audit</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Matters</w:t>
      </w:r>
    </w:p>
    <w:p>
      <w:pPr>
        <w:spacing w:after="0" w:line="28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Independent Auditor’s Fees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following table summarizes the aggregate fees (including related out-of-pocket expenses) expensed in 2025 and 2024 for professional services provided by PwC. On March 6, 2025, the Audit Committee approved the engagement of PwC as the Company’s independent auditor for 2025. These fees were approved pursuant to the pre-approval policies and procedures described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900" w:type="dxa"/>
            <w:vAlign w:val="bottom"/>
          </w:tcPr>
          <w:p>
            <w:pPr>
              <w:jc w:val="right"/>
              <w:ind w:right="181"/>
              <w:spacing w:after="0"/>
              <w:rPr>
                <w:sz w:val="20"/>
                <w:szCs w:val="20"/>
                <w:color w:val="auto"/>
              </w:rPr>
            </w:pPr>
            <w:r>
              <w:rPr>
                <w:rFonts w:ascii="Arial" w:cs="Arial" w:eastAsia="Arial" w:hAnsi="Arial"/>
                <w:sz w:val="14"/>
                <w:szCs w:val="14"/>
                <w:b w:val="1"/>
                <w:bCs w:val="1"/>
                <w:color w:val="auto"/>
              </w:rPr>
              <w:t>2025</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r>
      <w:tr>
        <w:trPr>
          <w:trHeight w:val="29"/>
        </w:trPr>
        <w:tc>
          <w:tcPr>
            <w:tcW w:w="5640" w:type="dxa"/>
            <w:vAlign w:val="bottom"/>
            <w:tcBorders>
              <w:bottom w:val="single" w:sz="8" w:color="1A3FD6"/>
            </w:tcBorders>
          </w:tcPr>
          <w:p>
            <w:pPr>
              <w:spacing w:after="0"/>
              <w:rPr>
                <w:sz w:val="2"/>
                <w:szCs w:val="2"/>
                <w:color w:val="auto"/>
              </w:rPr>
            </w:pPr>
          </w:p>
        </w:tc>
        <w:tc>
          <w:tcPr>
            <w:tcW w:w="4900" w:type="dxa"/>
            <w:vAlign w:val="bottom"/>
            <w:tcBorders>
              <w:bottom w:val="single" w:sz="8" w:color="1A3FD6"/>
            </w:tcBorders>
          </w:tcPr>
          <w:p>
            <w:pPr>
              <w:spacing w:after="0"/>
              <w:rPr>
                <w:sz w:val="2"/>
                <w:szCs w:val="2"/>
                <w:color w:val="auto"/>
              </w:rPr>
            </w:pPr>
          </w:p>
        </w:tc>
        <w:tc>
          <w:tcPr>
            <w:tcW w:w="700" w:type="dxa"/>
            <w:vAlign w:val="bottom"/>
            <w:tcBorders>
              <w:bottom w:val="single" w:sz="8" w:color="1A3FD6"/>
            </w:tcBorders>
          </w:tcPr>
          <w:p>
            <w:pPr>
              <w:spacing w:after="0"/>
              <w:rPr>
                <w:sz w:val="2"/>
                <w:szCs w:val="2"/>
                <w:color w:val="auto"/>
              </w:rPr>
            </w:pPr>
          </w:p>
        </w:tc>
      </w:tr>
      <w:tr>
        <w:trPr>
          <w:trHeight w:val="263"/>
        </w:trPr>
        <w:tc>
          <w:tcPr>
            <w:tcW w:w="5640" w:type="dxa"/>
            <w:vAlign w:val="bottom"/>
            <w:tcBorders>
              <w:bottom w:val="single" w:sz="8" w:color="E6E7E8"/>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900" w:type="dxa"/>
            <w:vAlign w:val="bottom"/>
            <w:tcBorders>
              <w:bottom w:val="single" w:sz="8" w:color="E6E7E8"/>
            </w:tcBorders>
          </w:tcPr>
          <w:p>
            <w:pPr>
              <w:jc w:val="right"/>
              <w:ind w:right="181"/>
              <w:spacing w:after="0"/>
              <w:rPr>
                <w:sz w:val="20"/>
                <w:szCs w:val="20"/>
                <w:color w:val="auto"/>
              </w:rPr>
            </w:pPr>
            <w:r>
              <w:rPr>
                <w:rFonts w:ascii="Arial" w:cs="Arial" w:eastAsia="Arial" w:hAnsi="Arial"/>
                <w:sz w:val="16"/>
                <w:szCs w:val="16"/>
                <w:color w:val="auto"/>
              </w:rPr>
              <w:t>4,961</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4,315</w:t>
            </w:r>
          </w:p>
        </w:tc>
      </w:tr>
      <w:tr>
        <w:trPr>
          <w:trHeight w:val="264"/>
        </w:trPr>
        <w:tc>
          <w:tcPr>
            <w:tcW w:w="5640" w:type="dxa"/>
            <w:vAlign w:val="bottom"/>
            <w:tcBorders>
              <w:bottom w:val="single" w:sz="8" w:color="E6E7E8"/>
            </w:tcBorders>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900" w:type="dxa"/>
            <w:vAlign w:val="bottom"/>
            <w:tcBorders>
              <w:bottom w:val="single" w:sz="8" w:color="E6E7E8"/>
            </w:tcBorders>
          </w:tcPr>
          <w:p>
            <w:pPr>
              <w:jc w:val="right"/>
              <w:ind w:right="181"/>
              <w:spacing w:after="0"/>
              <w:rPr>
                <w:sz w:val="20"/>
                <w:szCs w:val="20"/>
                <w:color w:val="auto"/>
              </w:rPr>
            </w:pPr>
            <w:r>
              <w:rPr>
                <w:rFonts w:ascii="Arial" w:cs="Arial" w:eastAsia="Arial" w:hAnsi="Arial"/>
                <w:sz w:val="16"/>
                <w:szCs w:val="16"/>
                <w:color w:val="auto"/>
              </w:rPr>
              <w:t>585</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225</w:t>
            </w:r>
          </w:p>
        </w:tc>
      </w:tr>
      <w:tr>
        <w:trPr>
          <w:trHeight w:val="263"/>
        </w:trPr>
        <w:tc>
          <w:tcPr>
            <w:tcW w:w="5640" w:type="dxa"/>
            <w:vAlign w:val="bottom"/>
            <w:tcBorders>
              <w:bottom w:val="single" w:sz="8" w:color="E6E7E8"/>
            </w:tcBorders>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900" w:type="dxa"/>
            <w:vAlign w:val="bottom"/>
            <w:tcBorders>
              <w:bottom w:val="single" w:sz="8" w:color="E6E7E8"/>
            </w:tcBorders>
          </w:tcPr>
          <w:p>
            <w:pPr>
              <w:jc w:val="right"/>
              <w:ind w:right="181"/>
              <w:spacing w:after="0"/>
              <w:rPr>
                <w:sz w:val="20"/>
                <w:szCs w:val="20"/>
                <w:color w:val="auto"/>
              </w:rPr>
            </w:pPr>
            <w:r>
              <w:rPr>
                <w:rFonts w:ascii="Arial" w:cs="Arial" w:eastAsia="Arial" w:hAnsi="Arial"/>
                <w:sz w:val="16"/>
                <w:szCs w:val="16"/>
                <w:color w:val="auto"/>
              </w:rPr>
              <w:t>1,494</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1,197</w:t>
            </w:r>
          </w:p>
        </w:tc>
      </w:tr>
      <w:tr>
        <w:trPr>
          <w:trHeight w:val="263"/>
        </w:trPr>
        <w:tc>
          <w:tcPr>
            <w:tcW w:w="5640" w:type="dxa"/>
            <w:vAlign w:val="bottom"/>
            <w:tcBorders>
              <w:bottom w:val="single" w:sz="8" w:color="E6E7E8"/>
            </w:tcBorders>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900" w:type="dxa"/>
            <w:vAlign w:val="bottom"/>
            <w:tcBorders>
              <w:bottom w:val="single" w:sz="8" w:color="E6E7E8"/>
            </w:tcBorders>
          </w:tcPr>
          <w:p>
            <w:pPr>
              <w:jc w:val="right"/>
              <w:ind w:right="181"/>
              <w:spacing w:after="0"/>
              <w:rPr>
                <w:sz w:val="20"/>
                <w:szCs w:val="20"/>
                <w:color w:val="auto"/>
              </w:rPr>
            </w:pPr>
            <w:r>
              <w:rPr>
                <w:rFonts w:ascii="Arial" w:cs="Arial" w:eastAsia="Arial" w:hAnsi="Arial"/>
                <w:sz w:val="16"/>
                <w:szCs w:val="16"/>
                <w:color w:val="auto"/>
              </w:rPr>
              <w:t>2</w:t>
            </w:r>
          </w:p>
        </w:tc>
        <w:tc>
          <w:tcPr>
            <w:tcW w:w="70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4900" w:type="dxa"/>
            <w:vAlign w:val="bottom"/>
          </w:tcPr>
          <w:p>
            <w:pPr>
              <w:jc w:val="right"/>
              <w:ind w:right="181"/>
              <w:spacing w:after="0"/>
              <w:rPr>
                <w:sz w:val="20"/>
                <w:szCs w:val="20"/>
                <w:color w:val="auto"/>
              </w:rPr>
            </w:pPr>
            <w:r>
              <w:rPr>
                <w:rFonts w:ascii="Arial" w:cs="Arial" w:eastAsia="Arial" w:hAnsi="Arial"/>
                <w:sz w:val="16"/>
                <w:szCs w:val="16"/>
                <w:b w:val="1"/>
                <w:bCs w:val="1"/>
                <w:color w:val="auto"/>
              </w:rPr>
              <w:t>7,042</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5,739</w:t>
            </w:r>
          </w:p>
        </w:tc>
      </w:tr>
      <w:tr>
        <w:trPr>
          <w:trHeight w:val="34"/>
        </w:trPr>
        <w:tc>
          <w:tcPr>
            <w:tcW w:w="5640" w:type="dxa"/>
            <w:vAlign w:val="bottom"/>
            <w:tcBorders>
              <w:bottom w:val="single" w:sz="8" w:color="1A3FD6"/>
            </w:tcBorders>
          </w:tcPr>
          <w:p>
            <w:pPr>
              <w:spacing w:after="0"/>
              <w:rPr>
                <w:sz w:val="3"/>
                <w:szCs w:val="3"/>
                <w:color w:val="auto"/>
              </w:rPr>
            </w:pPr>
          </w:p>
        </w:tc>
        <w:tc>
          <w:tcPr>
            <w:tcW w:w="4900" w:type="dxa"/>
            <w:vAlign w:val="bottom"/>
            <w:tcBorders>
              <w:bottom w:val="single" w:sz="8" w:color="1A3FD6"/>
            </w:tcBorders>
          </w:tcPr>
          <w:p>
            <w:pPr>
              <w:spacing w:after="0"/>
              <w:rPr>
                <w:sz w:val="3"/>
                <w:szCs w:val="3"/>
                <w:color w:val="auto"/>
              </w:rPr>
            </w:pPr>
          </w:p>
        </w:tc>
        <w:tc>
          <w:tcPr>
            <w:tcW w:w="700" w:type="dxa"/>
            <w:vAlign w:val="bottom"/>
            <w:tcBorders>
              <w:bottom w:val="single" w:sz="8" w:color="1A3FD6"/>
            </w:tcBorders>
          </w:tcPr>
          <w:p>
            <w:pPr>
              <w:spacing w:after="0"/>
              <w:rPr>
                <w:sz w:val="3"/>
                <w:szCs w:val="3"/>
                <w:color w:val="auto"/>
              </w:rPr>
            </w:pPr>
          </w:p>
        </w:tc>
      </w:tr>
    </w:tbl>
    <w:p>
      <w:pPr>
        <w:spacing w:after="0" w:line="180" w:lineRule="exact"/>
        <w:rPr>
          <w:sz w:val="20"/>
          <w:szCs w:val="20"/>
          <w:color w:val="auto"/>
        </w:rPr>
      </w:pPr>
    </w:p>
    <w:p>
      <w:pPr>
        <w:ind w:left="260" w:right="160" w:hanging="252"/>
        <w:spacing w:after="0" w:line="282" w:lineRule="auto"/>
        <w:tabs>
          <w:tab w:leader="none" w:pos="264" w:val="left"/>
        </w:tabs>
        <w:numPr>
          <w:ilvl w:val="0"/>
          <w:numId w:val="122"/>
        </w:numPr>
        <w:rPr>
          <w:rFonts w:ascii="Arial" w:cs="Arial" w:eastAsia="Arial" w:hAnsi="Arial"/>
          <w:sz w:val="9"/>
          <w:szCs w:val="9"/>
          <w:color w:val="auto"/>
        </w:rPr>
      </w:pPr>
      <w:r>
        <w:rPr>
          <w:rFonts w:ascii="Arial" w:cs="Arial" w:eastAsia="Arial" w:hAnsi="Arial"/>
          <w:sz w:val="14"/>
          <w:szCs w:val="14"/>
          <w:color w:val="auto"/>
        </w:rPr>
        <w:t>Audit fees consisted of fees expensed for (i) audits of our consolidated financial statements included in our Annual Reports on Form 10-K and related services, (ii) reviews of the interim condensed consolidated financial statements included in our quarterly financial statements, (iii) audits of various entities for statutory and other reporting requirements, (iv) consents and other services related to SEC and other regulatory filings and (v) audits of our internal control over financial reporting (as required by Section 404 of the Sarbanes-Oxley Act of 2002).</w:t>
      </w:r>
    </w:p>
    <w:p>
      <w:pPr>
        <w:spacing w:after="0" w:line="39" w:lineRule="exact"/>
        <w:rPr>
          <w:rFonts w:ascii="Arial" w:cs="Arial" w:eastAsia="Arial" w:hAnsi="Arial"/>
          <w:sz w:val="9"/>
          <w:szCs w:val="9"/>
          <w:color w:val="auto"/>
        </w:rPr>
      </w:pPr>
    </w:p>
    <w:p>
      <w:pPr>
        <w:jc w:val="both"/>
        <w:ind w:left="260" w:right="160" w:hanging="252"/>
        <w:spacing w:after="0" w:line="231" w:lineRule="auto"/>
        <w:tabs>
          <w:tab w:leader="none" w:pos="250"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In 2025, Audit-related fees consisted of fees expensed for reports related to the assessment of internal controls. In 2024, Audit-related fees consisted of fees expensed for reports related to the assessment of compliance with professional standards in connection with a system implementation as well as other assurance and related services.</w:t>
      </w:r>
    </w:p>
    <w:p>
      <w:pPr>
        <w:spacing w:after="0" w:line="66" w:lineRule="exact"/>
        <w:rPr>
          <w:rFonts w:ascii="Arial" w:cs="Arial" w:eastAsia="Arial" w:hAnsi="Arial"/>
          <w:sz w:val="19"/>
          <w:szCs w:val="19"/>
          <w:color w:val="auto"/>
          <w:vertAlign w:val="superscript"/>
        </w:rPr>
      </w:pPr>
    </w:p>
    <w:p>
      <w:pPr>
        <w:ind w:left="260" w:right="220" w:hanging="252"/>
        <w:spacing w:after="0" w:line="249" w:lineRule="auto"/>
        <w:tabs>
          <w:tab w:leader="none" w:pos="250"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Tax fees in 2025 consisted of $850,002 related to tax compliance assistance and $644,469 tax consulting fees related to international and domestic tax matters, including international tax planning. Tax fees in 2024 consisted of $614,380 related to tax compliance assistance and $582,932 of tax consulting fees related to international and domestic tax matters, including international tax planning.</w:t>
      </w:r>
    </w:p>
    <w:p>
      <w:pPr>
        <w:spacing w:after="0" w:line="46"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22"/>
        </w:numPr>
        <w:rPr>
          <w:rFonts w:ascii="Arial" w:cs="Arial" w:eastAsia="Arial" w:hAnsi="Arial"/>
          <w:sz w:val="9"/>
          <w:szCs w:val="9"/>
          <w:color w:val="auto"/>
        </w:rPr>
      </w:pPr>
      <w:r>
        <w:rPr>
          <w:rFonts w:ascii="Arial" w:cs="Arial" w:eastAsia="Arial" w:hAnsi="Arial"/>
          <w:sz w:val="14"/>
          <w:szCs w:val="14"/>
          <w:color w:val="auto"/>
        </w:rPr>
        <w:t>In 2025 and 2024, all other fees consisted of fees related to disclosure software subscriptions.</w:t>
      </w:r>
    </w:p>
    <w:p>
      <w:pPr>
        <w:spacing w:after="0" w:line="300" w:lineRule="exact"/>
        <w:rPr>
          <w:sz w:val="20"/>
          <w:szCs w:val="20"/>
          <w:color w:val="auto"/>
        </w:rPr>
      </w:pPr>
    </w:p>
    <w:p>
      <w:pPr>
        <w:ind w:right="760"/>
        <w:spacing w:after="0" w:line="290" w:lineRule="auto"/>
        <w:rPr>
          <w:sz w:val="20"/>
          <w:szCs w:val="20"/>
          <w:color w:val="auto"/>
        </w:rPr>
      </w:pPr>
      <w:r>
        <w:rPr>
          <w:rFonts w:ascii="Arial" w:cs="Arial" w:eastAsia="Arial" w:hAnsi="Arial"/>
          <w:sz w:val="40"/>
          <w:szCs w:val="40"/>
          <w:b w:val="1"/>
          <w:bCs w:val="1"/>
          <w:color w:val="1A3FD6"/>
        </w:rPr>
        <w:t>Pre-Approval Policy of the Audit and Risk Committee of Services Performed by Independent Auditors</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Audit Committee has implemented pre-approval policies and procedures related to the provision of audit and non-audit services by the independent auditor to ensure that the independent auditor maintains independence with respect to MSCI. Under these procedures, the Audit Committee annually pre-approves specified categories of audit, audit-related and other services to be provided by the independent auditor and the estimated fees related to those services. During the pre-approval process, the Audit Committee considers the impact of the types of services and the related fees on the independence of the auditor. Any single engagement with estimated fees in excess of $750,000 generally requires separate pre-approval by the full Audit Committee. Tax advisory services also require separate Audit Committee pre-approval. The Audit Committee has delegated authority to the Chair of the Audit Committee to pre-approve certain engagements not requiring approval by the full Audit Committee and the authority to approve increases to pre-approved fee limits within pre-approved service categories, subject to certain thresholds. Each Chair pre-approval must be documented in writing and reported to the full Audit Committee at its next scheduled meeting. The services and fees must be deemed compatible with the maintenance of the auditor’s independence, including compliance with SEC rules and regulations. Management reports to the Audit Committee the actual fees versus pre-approved amounts periodically throughout the year by category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328930</wp:posOffset>
            </wp:positionV>
            <wp:extent cx="556895" cy="1454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color w:val="auto"/>
        </w:rPr>
        <w:t>Audit Matters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Audit and Risk Committee Report</w:t>
      </w:r>
    </w:p>
    <w:p>
      <w:pPr>
        <w:spacing w:after="0" w:line="181"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The Audit Committee operates under a written charter adopted by the Board, which is accessible through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 The Audit Committee is responsible for the oversight of the integrity of the Company’s consolidated financial statements, the Company’s system of internal control over financial reporting, the Company’s risk management, the qualifications and independence of the Company’s independent auditor, the performance of the Company’s internal and independent auditors and the Company’s compliance with legal and regulatory requirements. The Audit Committee has the sole authority and responsibility to appoint, compensate, evaluate and, when appropriate, replace the Company’s independent auditor. The Board has determined that all of the Audit Committee’s members are independent under the applicable independence standards of the NYSE and the Exchange Act.</w:t>
      </w:r>
    </w:p>
    <w:p>
      <w:pPr>
        <w:spacing w:after="0" w:line="107"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Audit Committee serves in an oversight capacity and is not part of the Company’s managerial or operational decision-making process. Management is responsible for the financial reporting process, including the system of internal controls, for the preparation of consolidated financial statements in accordance with accounting principles generally accepted in the United States and for the report on the Company’s internal control over financial reporting. The Company’s independent auditor for the year ended December 31, 2025, PwC, was responsible for auditing the consolidated financial statements included in the Company’s 2025 Annual Report on Form 10-K, expressing an opinion as to their conformity with accounting principles generally accepted in the United States of America and expressing an opinion on the effectiveness of the Company’s internal control over financial reporting, as well as reviewing the Company’s interim condensed consolidated financial statements included in its Quarterly Reports on Form 10-Q. The Audit Committee’s responsibility is to oversee the financial reporting process and to review and discuss management’s report on the Company’s internal control over financial reporting. The Audit Committee relies, without independent verification, on the information provided to us and on the representations made by management, the internal auditor and the independent auditor.</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held ten meetings during the year ended December 31, 2025, and among other things:</w:t>
      </w:r>
    </w:p>
    <w:p>
      <w:pPr>
        <w:spacing w:after="0" w:line="167" w:lineRule="exact"/>
        <w:rPr>
          <w:sz w:val="20"/>
          <w:szCs w:val="20"/>
          <w:color w:val="auto"/>
        </w:rPr>
      </w:pPr>
    </w:p>
    <w:p>
      <w:pPr>
        <w:ind w:left="160" w:hanging="152"/>
        <w:spacing w:after="0"/>
        <w:tabs>
          <w:tab w:leader="none" w:pos="160"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and discussed the Company’s quarterly and annual earnings releases;</w:t>
      </w:r>
    </w:p>
    <w:p>
      <w:pPr>
        <w:spacing w:after="0" w:line="99" w:lineRule="exact"/>
        <w:rPr>
          <w:rFonts w:ascii="Arial" w:cs="Arial" w:eastAsia="Arial" w:hAnsi="Arial"/>
          <w:sz w:val="16"/>
          <w:szCs w:val="16"/>
          <w:color w:val="00A798"/>
        </w:rPr>
      </w:pPr>
    </w:p>
    <w:p>
      <w:pPr>
        <w:ind w:left="200" w:right="180" w:hanging="192"/>
        <w:spacing w:after="0" w:line="304" w:lineRule="auto"/>
        <w:tabs>
          <w:tab w:leader="none" w:pos="157"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and discussed the (i) quarterly unaudited consolidated financial statements and related notes and (ii) audited consolidated financial statements and related notes to the consolidated financial statements for the year ended December 31, 2025 with management and PwC;</w:t>
      </w:r>
    </w:p>
    <w:p>
      <w:pPr>
        <w:spacing w:after="0" w:line="19" w:lineRule="exact"/>
        <w:rPr>
          <w:rFonts w:ascii="Arial" w:cs="Arial" w:eastAsia="Arial" w:hAnsi="Arial"/>
          <w:sz w:val="16"/>
          <w:szCs w:val="16"/>
          <w:color w:val="00A798"/>
        </w:rPr>
      </w:pPr>
    </w:p>
    <w:p>
      <w:pPr>
        <w:ind w:left="160" w:hanging="152"/>
        <w:spacing w:after="0"/>
        <w:tabs>
          <w:tab w:leader="none" w:pos="160"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and discussed the annual plan and scope of work of the independent auditor;</w:t>
      </w:r>
    </w:p>
    <w:p>
      <w:pPr>
        <w:spacing w:after="0" w:line="99" w:lineRule="exact"/>
        <w:rPr>
          <w:rFonts w:ascii="Arial" w:cs="Arial" w:eastAsia="Arial" w:hAnsi="Arial"/>
          <w:sz w:val="16"/>
          <w:szCs w:val="16"/>
          <w:color w:val="00A798"/>
        </w:rPr>
      </w:pPr>
    </w:p>
    <w:p>
      <w:pPr>
        <w:ind w:left="200" w:right="400" w:hanging="192"/>
        <w:spacing w:after="0" w:line="321" w:lineRule="auto"/>
        <w:tabs>
          <w:tab w:leader="none" w:pos="157"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and discussed the annual plan and scope of work of the internal auditor and summaries of significant reports to management by the internal auditor;</w:t>
      </w:r>
    </w:p>
    <w:p>
      <w:pPr>
        <w:spacing w:after="0" w:line="7" w:lineRule="exact"/>
        <w:rPr>
          <w:rFonts w:ascii="Arial" w:cs="Arial" w:eastAsia="Arial" w:hAnsi="Arial"/>
          <w:sz w:val="16"/>
          <w:szCs w:val="16"/>
          <w:color w:val="00A798"/>
        </w:rPr>
      </w:pPr>
    </w:p>
    <w:p>
      <w:pPr>
        <w:ind w:left="200" w:right="320" w:hanging="192"/>
        <w:spacing w:after="0" w:line="304" w:lineRule="auto"/>
        <w:tabs>
          <w:tab w:leader="none" w:pos="157"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met with PwC, the internal auditor and Company management in executive sessions to discuss the results of their examinations and evaluations of the Company’s internal controls, and the overall quality of the Company’s financial reporting and compliance programs;</w:t>
      </w:r>
    </w:p>
    <w:p>
      <w:pPr>
        <w:spacing w:after="0" w:line="19" w:lineRule="exact"/>
        <w:rPr>
          <w:rFonts w:ascii="Arial" w:cs="Arial" w:eastAsia="Arial" w:hAnsi="Arial"/>
          <w:sz w:val="16"/>
          <w:szCs w:val="16"/>
          <w:color w:val="00A798"/>
        </w:rPr>
      </w:pPr>
    </w:p>
    <w:p>
      <w:pPr>
        <w:ind w:left="200" w:right="640" w:hanging="192"/>
        <w:spacing w:after="0" w:line="321" w:lineRule="auto"/>
        <w:tabs>
          <w:tab w:leader="none" w:pos="157"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and discussed the critical accounting policies set forth in the Company’s Annual Report on Form 10-K and reviewed critical audit matters reported by PwC;</w:t>
      </w:r>
    </w:p>
    <w:p>
      <w:pPr>
        <w:spacing w:after="0" w:line="7" w:lineRule="exact"/>
        <w:rPr>
          <w:rFonts w:ascii="Arial" w:cs="Arial" w:eastAsia="Arial" w:hAnsi="Arial"/>
          <w:sz w:val="16"/>
          <w:szCs w:val="16"/>
          <w:color w:val="00A798"/>
        </w:rPr>
      </w:pPr>
    </w:p>
    <w:p>
      <w:pPr>
        <w:ind w:left="200" w:right="180" w:hanging="192"/>
        <w:spacing w:after="0" w:line="304" w:lineRule="auto"/>
        <w:tabs>
          <w:tab w:leader="none" w:pos="157"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business and financial market conditions, including periodic assessments of risks posed to MSCI’s operations and financial condition (including those related to technology and cybersecurity);</w:t>
      </w:r>
    </w:p>
    <w:p>
      <w:pPr>
        <w:spacing w:after="0" w:line="19" w:lineRule="exact"/>
        <w:rPr>
          <w:rFonts w:ascii="Arial" w:cs="Arial" w:eastAsia="Arial" w:hAnsi="Arial"/>
          <w:sz w:val="16"/>
          <w:szCs w:val="16"/>
          <w:color w:val="00A798"/>
        </w:rPr>
      </w:pPr>
    </w:p>
    <w:p>
      <w:pPr>
        <w:ind w:left="160" w:hanging="152"/>
        <w:spacing w:after="0"/>
        <w:tabs>
          <w:tab w:leader="none" w:pos="160"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reviewed and discussed reports from MSCI’s Disclosure Committee; and</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123"/>
        </w:numPr>
        <w:rPr>
          <w:rFonts w:ascii="Arial" w:cs="Arial" w:eastAsia="Arial" w:hAnsi="Arial"/>
          <w:sz w:val="16"/>
          <w:szCs w:val="16"/>
          <w:color w:val="00A798"/>
        </w:rPr>
      </w:pPr>
      <w:r>
        <w:rPr>
          <w:rFonts w:ascii="Arial" w:cs="Arial" w:eastAsia="Arial" w:hAnsi="Arial"/>
          <w:sz w:val="16"/>
          <w:szCs w:val="16"/>
          <w:color w:val="auto"/>
        </w:rPr>
        <w:t>evaluated the performance of PwC and approved their engagement as the Company’s independent auditor.</w:t>
      </w:r>
    </w:p>
    <w:p>
      <w:pPr>
        <w:spacing w:after="0" w:line="16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PwC also provided to the Audit Committee the written disclosures and the letters required by the applicable PCAOB requirements regarding PwC’s communications with the Audit Committee concerning independence, and represented that it is independent from the Company. We discussed with PwC their independence from the Company, and considered whether the services they provided to the Company beyond those rendered in connection with their integrated audit of the Company’s consolidated financial statements and internal control over financial reporting, and the reviews of the Company’s interim condensed consolidated financial statements included in its Quarterly Reports on Form 10-Q, were compatible with maintaining their independence.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000"/>
        <w:spacing w:after="0"/>
        <w:tabs>
          <w:tab w:leader="none" w:pos="1096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color w:val="auto"/>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Audit Committee is also responsible for reviewing and evaluating the senior members of the PwC team, particularly the lead audit partner and any other partners on the audit engagement teams, and ensuring required rotation of audit partners every five years, as required by SEC rules. One or more members of the Audit Committee also meet with candidates for the lead audit partner role, and the Audit Committee discusses the appointment before a rotation occurs.</w:t>
      </w:r>
    </w:p>
    <w:p>
      <w:pPr>
        <w:spacing w:after="0" w:line="30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During the year ended December 31, 2025, the Audit Committee also received regular updates on the amount of fees and scope of audit, audit-related and tax services provided. Pursuant to the pre-approval policies and procedures related to the provision of audit and non-audit services by the independent auditors as described above within “—Pre-Approval Policy of the Audit and Risk Committee of Services Performed by Independent Auditors,” the Audit Committee approved, among other things, fees related to the integrated audits, statutory audits, consultations and certain non-audit services. The Audit Committee also approved certain fees relating to tax services consisting of compliance and advisory services related to (i) tax consulting fees related to international and domestic tax matters, including international corporate restructurings, and (ii) tax compliance assistance.</w:t>
      </w:r>
    </w:p>
    <w:p>
      <w:pPr>
        <w:spacing w:after="0" w:line="107"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color w:val="auto"/>
        </w:rPr>
        <w:t>Based on our review and these meetings, discussions and reports described above, and subject to the limitations on our role and responsibilities referred to above and in the Audit Committee’s charter, we recommended to the Board that the Company’s audited consolidated financial statements be included in the Company’s 2025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 xml:space="preserve">Marcus L. Smith </w:t>
      </w:r>
      <w:r>
        <w:rPr>
          <w:rFonts w:ascii="Arial" w:cs="Arial" w:eastAsia="Arial" w:hAnsi="Arial"/>
          <w:sz w:val="16"/>
          <w:szCs w:val="16"/>
          <w:color w:val="000000"/>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Robert G. Ashe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Rajat Taneja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June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264795</wp:posOffset>
            </wp:positionV>
            <wp:extent cx="556895" cy="1454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09" w:name="page110"/>
    <w:bookmarkEnd w:id="109"/>
    <w:p>
      <w:pPr>
        <w:spacing w:after="0"/>
        <w:rPr>
          <w:sz w:val="20"/>
          <w:szCs w:val="20"/>
          <w:color w:val="auto"/>
        </w:rPr>
      </w:pPr>
      <w:r>
        <w:rPr>
          <w:rFonts w:ascii="Arial" w:cs="Arial" w:eastAsia="Arial" w:hAnsi="Arial"/>
          <w:sz w:val="47"/>
          <w:szCs w:val="47"/>
          <w:b w:val="1"/>
          <w:bCs w:val="1"/>
          <w:color w:val="1A3FD6"/>
        </w:rPr>
        <w:t>Beneficial Ownership of</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Stock Ownership of Executive Officers and Directors</w:t>
      </w:r>
    </w:p>
    <w:p>
      <w:pPr>
        <w:spacing w:after="0" w:line="18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require members of our Management Committee (which includes all of our executive officers) and our directors to comply with our stock ownership guidelines to further align their interests with the interests of our shareholders. As of the date of this Proxy Statement, all of the members of our Management Committee and our directors are in compliance with the applicable stock ownership guidelines. See “Compensation Matters—Compensation Discussion and Analysis—Stock Ownership Guidelines” on page 86 of this Proxy Statement and “Director Compensation and Stock Ownership Guidelines—Non-Employee Director Stock Ownership Guidelines” on page 55 of this Proxy Statement for additional information regarding our stock ownership guidelines for the members of our Management Committee and our directors, respectively.</w:t>
      </w:r>
    </w:p>
    <w:p>
      <w:pPr>
        <w:spacing w:after="0" w:line="107" w:lineRule="exact"/>
        <w:rPr>
          <w:sz w:val="20"/>
          <w:szCs w:val="20"/>
          <w:color w:val="auto"/>
        </w:rPr>
      </w:pPr>
    </w:p>
    <w:p>
      <w:pPr>
        <w:jc w:val="both"/>
        <w:ind w:right="260"/>
        <w:spacing w:after="0" w:line="289" w:lineRule="auto"/>
        <w:rPr>
          <w:sz w:val="20"/>
          <w:szCs w:val="20"/>
          <w:color w:val="auto"/>
        </w:rPr>
      </w:pPr>
      <w:r>
        <w:rPr>
          <w:rFonts w:ascii="Arial" w:cs="Arial" w:eastAsia="Arial" w:hAnsi="Arial"/>
          <w:sz w:val="16"/>
          <w:szCs w:val="16"/>
          <w:color w:val="auto"/>
        </w:rPr>
        <w:t>The following table sets forth the beneficial ownership of our common stock by each of our NEOs and directors, and by all of our directors and executive officers as of February 27, 2026 as a group. The address for each of our executive officers and directors is 7 World Trade Center, 250 Greenwich Street, 49th Floor, New York, New York 10007. Percentage of share ownership amounts are based on 73,120,206 shares of our common stock outstanding as of February 27,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Beneficial</w:t>
            </w:r>
          </w:p>
        </w:tc>
        <w:tc>
          <w:tcPr>
            <w:tcW w:w="1060" w:type="dxa"/>
            <w:vAlign w:val="bottom"/>
          </w:tcPr>
          <w:p>
            <w:pPr>
              <w:spacing w:after="0"/>
              <w:rPr>
                <w:sz w:val="16"/>
                <w:szCs w:val="16"/>
                <w:color w:val="auto"/>
              </w:rPr>
            </w:pPr>
          </w:p>
        </w:tc>
      </w:tr>
      <w:tr>
        <w:trPr>
          <w:trHeight w:val="187"/>
        </w:trPr>
        <w:tc>
          <w:tcPr>
            <w:tcW w:w="5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0" w:type="dxa"/>
            <w:vAlign w:val="bottom"/>
          </w:tcPr>
          <w:p>
            <w:pPr>
              <w:jc w:val="right"/>
              <w:ind w:right="180"/>
              <w:spacing w:after="0"/>
              <w:rPr>
                <w:sz w:val="20"/>
                <w:szCs w:val="20"/>
                <w:color w:val="auto"/>
              </w:rPr>
            </w:pPr>
            <w:r>
              <w:rPr>
                <w:rFonts w:ascii="Arial" w:cs="Arial" w:eastAsia="Arial" w:hAnsi="Arial"/>
                <w:sz w:val="14"/>
                <w:szCs w:val="14"/>
                <w:b w:val="1"/>
                <w:bCs w:val="1"/>
                <w:color w:val="auto"/>
              </w:rPr>
              <w:t>Right to</w:t>
            </w: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Ownership</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r>
      <w:tr>
        <w:trPr>
          <w:trHeight w:val="228"/>
        </w:trPr>
        <w:tc>
          <w:tcPr>
            <w:tcW w:w="59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Named Executive Officers</w:t>
            </w:r>
          </w:p>
        </w:tc>
        <w:tc>
          <w:tcPr>
            <w:tcW w:w="1720" w:type="dxa"/>
            <w:vAlign w:val="bottom"/>
            <w:tcBorders>
              <w:bottom w:val="single" w:sz="8" w:color="1A3FD6"/>
            </w:tcBorders>
          </w:tcPr>
          <w:p>
            <w:pPr>
              <w:jc w:val="right"/>
              <w:ind w:right="22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9"/>
                <w:szCs w:val="9"/>
                <w:b w:val="1"/>
                <w:bCs w:val="1"/>
                <w:color w:val="auto"/>
              </w:rPr>
              <w:t>(1)</w:t>
            </w:r>
          </w:p>
        </w:tc>
        <w:tc>
          <w:tcPr>
            <w:tcW w:w="1200" w:type="dxa"/>
            <w:vAlign w:val="bottom"/>
            <w:tcBorders>
              <w:bottom w:val="single" w:sz="8" w:color="1A3FD6"/>
            </w:tcBorders>
          </w:tcPr>
          <w:p>
            <w:pPr>
              <w:jc w:val="right"/>
              <w:ind w:right="180"/>
              <w:spacing w:after="0"/>
              <w:rPr>
                <w:sz w:val="20"/>
                <w:szCs w:val="20"/>
                <w:color w:val="auto"/>
              </w:rPr>
            </w:pPr>
            <w:r>
              <w:rPr>
                <w:rFonts w:ascii="Arial" w:cs="Arial" w:eastAsia="Arial" w:hAnsi="Arial"/>
                <w:sz w:val="14"/>
                <w:szCs w:val="14"/>
                <w:b w:val="1"/>
                <w:bCs w:val="1"/>
                <w:color w:val="auto"/>
              </w:rPr>
              <w:t>Acquire</w:t>
            </w:r>
            <w:r>
              <w:rPr>
                <w:rFonts w:ascii="Arial" w:cs="Arial" w:eastAsia="Arial" w:hAnsi="Arial"/>
                <w:sz w:val="18"/>
                <w:szCs w:val="18"/>
                <w:b w:val="1"/>
                <w:bCs w:val="1"/>
                <w:color w:val="auto"/>
                <w:vertAlign w:val="superscript"/>
              </w:rPr>
              <w:t>(2)</w:t>
            </w:r>
          </w:p>
        </w:tc>
        <w:tc>
          <w:tcPr>
            <w:tcW w:w="1340" w:type="dxa"/>
            <w:vAlign w:val="bottom"/>
            <w:tcBorders>
              <w:bottom w:val="single" w:sz="8" w:color="1A3FD6"/>
            </w:tcBorders>
          </w:tcPr>
          <w:p>
            <w:pPr>
              <w:jc w:val="right"/>
              <w:ind w:right="26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(3)</w:t>
            </w:r>
          </w:p>
        </w:tc>
        <w:tc>
          <w:tcPr>
            <w:tcW w:w="10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18"/>
                <w:szCs w:val="18"/>
                <w:b w:val="1"/>
                <w:bCs w:val="1"/>
                <w:color w:val="auto"/>
                <w:vertAlign w:val="superscript"/>
              </w:rPr>
              <w:t>(4)</w:t>
            </w:r>
          </w:p>
        </w:tc>
      </w:tr>
      <w:tr>
        <w:trPr>
          <w:trHeight w:val="263"/>
        </w:trPr>
        <w:tc>
          <w:tcPr>
            <w:tcW w:w="59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Henry A. Fernandez</w:t>
            </w:r>
            <w:r>
              <w:rPr>
                <w:rFonts w:ascii="Arial" w:cs="Arial" w:eastAsia="Arial" w:hAnsi="Arial"/>
                <w:sz w:val="21"/>
                <w:szCs w:val="21"/>
                <w:b w:val="1"/>
                <w:bCs w:val="1"/>
                <w:color w:val="1A3FD6"/>
                <w:vertAlign w:val="superscript"/>
              </w:rPr>
              <w:t>(5)</w:t>
            </w:r>
          </w:p>
        </w:tc>
        <w:tc>
          <w:tcPr>
            <w:tcW w:w="1720" w:type="dxa"/>
            <w:vAlign w:val="bottom"/>
            <w:tcBorders>
              <w:bottom w:val="single" w:sz="8" w:color="E6E7E8"/>
            </w:tcBorders>
          </w:tcPr>
          <w:p>
            <w:pPr>
              <w:jc w:val="right"/>
              <w:ind w:right="260"/>
              <w:spacing w:after="0"/>
              <w:rPr>
                <w:sz w:val="20"/>
                <w:szCs w:val="20"/>
                <w:color w:val="auto"/>
              </w:rPr>
            </w:pPr>
            <w:r>
              <w:rPr>
                <w:rFonts w:ascii="Arial" w:cs="Arial" w:eastAsia="Arial" w:hAnsi="Arial"/>
                <w:sz w:val="16"/>
                <w:szCs w:val="16"/>
                <w:color w:val="auto"/>
              </w:rPr>
              <w:t>2,184,937</w:t>
            </w:r>
          </w:p>
        </w:tc>
        <w:tc>
          <w:tcPr>
            <w:tcW w:w="1200" w:type="dxa"/>
            <w:vAlign w:val="bottom"/>
            <w:tcBorders>
              <w:bottom w:val="single" w:sz="8" w:color="E6E7E8"/>
            </w:tcBorders>
          </w:tcPr>
          <w:p>
            <w:pPr>
              <w:jc w:val="right"/>
              <w:ind w:right="220"/>
              <w:spacing w:after="0"/>
              <w:rPr>
                <w:sz w:val="20"/>
                <w:szCs w:val="20"/>
                <w:color w:val="auto"/>
              </w:rPr>
            </w:pPr>
            <w:r>
              <w:rPr>
                <w:rFonts w:ascii="Arial" w:cs="Arial" w:eastAsia="Arial" w:hAnsi="Arial"/>
                <w:sz w:val="16"/>
                <w:szCs w:val="16"/>
                <w:color w:val="auto"/>
              </w:rPr>
              <w:t>71,757</w:t>
            </w:r>
          </w:p>
        </w:tc>
        <w:tc>
          <w:tcPr>
            <w:tcW w:w="1340" w:type="dxa"/>
            <w:vAlign w:val="bottom"/>
            <w:tcBorders>
              <w:bottom w:val="single" w:sz="8" w:color="E6E7E8"/>
            </w:tcBorders>
          </w:tcPr>
          <w:p>
            <w:pPr>
              <w:jc w:val="right"/>
              <w:ind w:right="300"/>
              <w:spacing w:after="0"/>
              <w:rPr>
                <w:sz w:val="20"/>
                <w:szCs w:val="20"/>
                <w:color w:val="auto"/>
              </w:rPr>
            </w:pPr>
            <w:r>
              <w:rPr>
                <w:rFonts w:ascii="Arial" w:cs="Arial" w:eastAsia="Arial" w:hAnsi="Arial"/>
                <w:sz w:val="16"/>
                <w:szCs w:val="16"/>
                <w:color w:val="auto"/>
              </w:rPr>
              <w:t>2,256,694</w:t>
            </w:r>
          </w:p>
        </w:tc>
        <w:tc>
          <w:tcPr>
            <w:tcW w:w="10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3.08%</w:t>
            </w: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18,316</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8,330</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26,646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63"/>
        </w:trPr>
        <w:tc>
          <w:tcPr>
            <w:tcW w:w="59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C.D. Baer Pettit</w:t>
            </w:r>
            <w:r>
              <w:rPr>
                <w:rFonts w:ascii="Arial" w:cs="Arial" w:eastAsia="Arial" w:hAnsi="Arial"/>
                <w:sz w:val="21"/>
                <w:szCs w:val="21"/>
                <w:b w:val="1"/>
                <w:bCs w:val="1"/>
                <w:color w:val="1A3FD6"/>
                <w:vertAlign w:val="superscript"/>
              </w:rPr>
              <w:t>(6)</w:t>
            </w:r>
          </w:p>
        </w:tc>
        <w:tc>
          <w:tcPr>
            <w:tcW w:w="1720" w:type="dxa"/>
            <w:vAlign w:val="bottom"/>
            <w:tcBorders>
              <w:bottom w:val="single" w:sz="8" w:color="E6E7E8"/>
            </w:tcBorders>
          </w:tcPr>
          <w:p>
            <w:pPr>
              <w:jc w:val="right"/>
              <w:ind w:right="260"/>
              <w:spacing w:after="0"/>
              <w:rPr>
                <w:sz w:val="20"/>
                <w:szCs w:val="20"/>
                <w:color w:val="auto"/>
              </w:rPr>
            </w:pPr>
            <w:r>
              <w:rPr>
                <w:rFonts w:ascii="Arial" w:cs="Arial" w:eastAsia="Arial" w:hAnsi="Arial"/>
                <w:sz w:val="16"/>
                <w:szCs w:val="16"/>
                <w:color w:val="auto"/>
              </w:rPr>
              <w:t>284,787</w:t>
            </w:r>
          </w:p>
        </w:tc>
        <w:tc>
          <w:tcPr>
            <w:tcW w:w="1200" w:type="dxa"/>
            <w:vAlign w:val="bottom"/>
            <w:tcBorders>
              <w:bottom w:val="single" w:sz="8" w:color="E6E7E8"/>
            </w:tcBorders>
          </w:tcPr>
          <w:p>
            <w:pPr>
              <w:jc w:val="right"/>
              <w:ind w:right="220"/>
              <w:spacing w:after="0"/>
              <w:rPr>
                <w:sz w:val="20"/>
                <w:szCs w:val="20"/>
                <w:color w:val="auto"/>
              </w:rPr>
            </w:pPr>
            <w:r>
              <w:rPr>
                <w:rFonts w:ascii="Arial" w:cs="Arial" w:eastAsia="Arial" w:hAnsi="Arial"/>
                <w:sz w:val="16"/>
                <w:szCs w:val="16"/>
                <w:color w:val="auto"/>
              </w:rPr>
              <w:t>40,041</w:t>
            </w:r>
          </w:p>
        </w:tc>
        <w:tc>
          <w:tcPr>
            <w:tcW w:w="1340" w:type="dxa"/>
            <w:vAlign w:val="bottom"/>
            <w:tcBorders>
              <w:bottom w:val="single" w:sz="8" w:color="E6E7E8"/>
            </w:tcBorders>
          </w:tcPr>
          <w:p>
            <w:pPr>
              <w:jc w:val="right"/>
              <w:ind w:right="300"/>
              <w:spacing w:after="0"/>
              <w:rPr>
                <w:sz w:val="20"/>
                <w:szCs w:val="20"/>
                <w:color w:val="auto"/>
              </w:rPr>
            </w:pPr>
            <w:r>
              <w:rPr>
                <w:rFonts w:ascii="Arial" w:cs="Arial" w:eastAsia="Arial" w:hAnsi="Arial"/>
                <w:sz w:val="16"/>
                <w:szCs w:val="16"/>
                <w:color w:val="auto"/>
              </w:rPr>
              <w:t>324,828</w:t>
            </w:r>
          </w:p>
        </w:tc>
        <w:tc>
          <w:tcPr>
            <w:tcW w:w="10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59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Alvise J. Munari</w:t>
            </w:r>
            <w:r>
              <w:rPr>
                <w:rFonts w:ascii="Arial" w:cs="Arial" w:eastAsia="Arial" w:hAnsi="Arial"/>
                <w:sz w:val="21"/>
                <w:szCs w:val="21"/>
                <w:b w:val="1"/>
                <w:bCs w:val="1"/>
                <w:color w:val="1A3FD6"/>
                <w:vertAlign w:val="superscript"/>
              </w:rPr>
              <w:t>(7)</w:t>
            </w:r>
          </w:p>
        </w:tc>
        <w:tc>
          <w:tcPr>
            <w:tcW w:w="1720" w:type="dxa"/>
            <w:vAlign w:val="bottom"/>
            <w:tcBorders>
              <w:bottom w:val="single" w:sz="8" w:color="E6E7E8"/>
            </w:tcBorders>
          </w:tcPr>
          <w:p>
            <w:pPr>
              <w:jc w:val="right"/>
              <w:ind w:right="260"/>
              <w:spacing w:after="0"/>
              <w:rPr>
                <w:sz w:val="20"/>
                <w:szCs w:val="20"/>
                <w:color w:val="auto"/>
              </w:rPr>
            </w:pPr>
            <w:r>
              <w:rPr>
                <w:rFonts w:ascii="Arial" w:cs="Arial" w:eastAsia="Arial" w:hAnsi="Arial"/>
                <w:sz w:val="16"/>
                <w:szCs w:val="16"/>
                <w:color w:val="auto"/>
              </w:rPr>
              <w:t>27,638</w:t>
            </w:r>
          </w:p>
        </w:tc>
        <w:tc>
          <w:tcPr>
            <w:tcW w:w="1200" w:type="dxa"/>
            <w:vAlign w:val="bottom"/>
            <w:tcBorders>
              <w:bottom w:val="single" w:sz="8" w:color="E6E7E8"/>
            </w:tcBorders>
          </w:tcPr>
          <w:p>
            <w:pPr>
              <w:jc w:val="right"/>
              <w:ind w:right="220"/>
              <w:spacing w:after="0"/>
              <w:rPr>
                <w:sz w:val="20"/>
                <w:szCs w:val="20"/>
                <w:color w:val="auto"/>
              </w:rPr>
            </w:pPr>
            <w:r>
              <w:rPr>
                <w:rFonts w:ascii="Arial" w:cs="Arial" w:eastAsia="Arial" w:hAnsi="Arial"/>
                <w:sz w:val="16"/>
                <w:szCs w:val="16"/>
                <w:color w:val="auto"/>
              </w:rPr>
              <w:t>16,094</w:t>
            </w:r>
          </w:p>
        </w:tc>
        <w:tc>
          <w:tcPr>
            <w:tcW w:w="1340" w:type="dxa"/>
            <w:vAlign w:val="bottom"/>
            <w:tcBorders>
              <w:bottom w:val="single" w:sz="8" w:color="E6E7E8"/>
            </w:tcBorders>
          </w:tcPr>
          <w:p>
            <w:pPr>
              <w:jc w:val="right"/>
              <w:ind w:right="300"/>
              <w:spacing w:after="0"/>
              <w:rPr>
                <w:sz w:val="20"/>
                <w:szCs w:val="20"/>
                <w:color w:val="auto"/>
              </w:rPr>
            </w:pPr>
            <w:r>
              <w:rPr>
                <w:rFonts w:ascii="Arial" w:cs="Arial" w:eastAsia="Arial" w:hAnsi="Arial"/>
                <w:sz w:val="16"/>
                <w:szCs w:val="16"/>
                <w:color w:val="auto"/>
              </w:rPr>
              <w:t>43,732</w:t>
            </w:r>
          </w:p>
        </w:tc>
        <w:tc>
          <w:tcPr>
            <w:tcW w:w="10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Scott A. Crum</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13,128</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8,383</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21,511</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Directors</w:t>
            </w:r>
          </w:p>
        </w:tc>
        <w:tc>
          <w:tcPr>
            <w:tcW w:w="1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63"/>
        </w:trPr>
        <w:tc>
          <w:tcPr>
            <w:tcW w:w="5920" w:type="dxa"/>
            <w:vAlign w:val="bottom"/>
            <w:tcBorders>
              <w:bottom w:val="single" w:sz="8" w:color="E6E7E8"/>
            </w:tcBorders>
          </w:tcPr>
          <w:p>
            <w:pPr>
              <w:ind w:left="20"/>
              <w:spacing w:after="0"/>
              <w:rPr>
                <w:sz w:val="20"/>
                <w:szCs w:val="20"/>
                <w:color w:val="auto"/>
              </w:rPr>
            </w:pPr>
            <w:r>
              <w:rPr>
                <w:rFonts w:ascii="Arial" w:cs="Arial" w:eastAsia="Arial" w:hAnsi="Arial"/>
                <w:sz w:val="16"/>
                <w:szCs w:val="16"/>
                <w:b w:val="1"/>
                <w:bCs w:val="1"/>
                <w:color w:val="1A3FD6"/>
              </w:rPr>
              <w:t>Robert G. Ashe</w:t>
            </w:r>
            <w:r>
              <w:rPr>
                <w:rFonts w:ascii="Arial" w:cs="Arial" w:eastAsia="Arial" w:hAnsi="Arial"/>
                <w:sz w:val="21"/>
                <w:szCs w:val="21"/>
                <w:b w:val="1"/>
                <w:bCs w:val="1"/>
                <w:color w:val="1A3FD6"/>
                <w:vertAlign w:val="superscript"/>
              </w:rPr>
              <w:t>(8)</w:t>
            </w:r>
          </w:p>
        </w:tc>
        <w:tc>
          <w:tcPr>
            <w:tcW w:w="1720" w:type="dxa"/>
            <w:vAlign w:val="bottom"/>
            <w:tcBorders>
              <w:bottom w:val="single" w:sz="8" w:color="E6E7E8"/>
            </w:tcBorders>
          </w:tcPr>
          <w:p>
            <w:pPr>
              <w:jc w:val="right"/>
              <w:ind w:right="260"/>
              <w:spacing w:after="0"/>
              <w:rPr>
                <w:sz w:val="20"/>
                <w:szCs w:val="20"/>
                <w:color w:val="auto"/>
              </w:rPr>
            </w:pPr>
            <w:r>
              <w:rPr>
                <w:rFonts w:ascii="Arial" w:cs="Arial" w:eastAsia="Arial" w:hAnsi="Arial"/>
                <w:sz w:val="16"/>
                <w:szCs w:val="16"/>
                <w:color w:val="auto"/>
              </w:rPr>
              <w:t>22,290</w:t>
            </w:r>
          </w:p>
        </w:tc>
        <w:tc>
          <w:tcPr>
            <w:tcW w:w="1200" w:type="dxa"/>
            <w:vAlign w:val="bottom"/>
            <w:tcBorders>
              <w:bottom w:val="single" w:sz="8" w:color="E6E7E8"/>
            </w:tcBorders>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6E7E8"/>
            </w:tcBorders>
          </w:tcPr>
          <w:p>
            <w:pPr>
              <w:jc w:val="right"/>
              <w:ind w:right="300"/>
              <w:spacing w:after="0"/>
              <w:rPr>
                <w:sz w:val="20"/>
                <w:szCs w:val="20"/>
                <w:color w:val="auto"/>
              </w:rPr>
            </w:pPr>
            <w:r>
              <w:rPr>
                <w:rFonts w:ascii="Arial" w:cs="Arial" w:eastAsia="Arial" w:hAnsi="Arial"/>
                <w:sz w:val="16"/>
                <w:szCs w:val="16"/>
                <w:color w:val="auto"/>
              </w:rPr>
              <w:t>22,290</w:t>
            </w:r>
          </w:p>
        </w:tc>
        <w:tc>
          <w:tcPr>
            <w:tcW w:w="1060" w:type="dxa"/>
            <w:vAlign w:val="bottom"/>
            <w:tcBorders>
              <w:bottom w:val="single" w:sz="8" w:color="E6E7E8"/>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Robin Matlock</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1,252</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1,252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Jacques P. Perold</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5,499</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5,499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Sandy C. Rattray</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2,064</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2,064</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4"/>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Linda H. Riefler</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20,210</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20,210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Michelle Seitz</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286</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286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Marcus L. Smith</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4,683</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4,683</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4"/>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Rajat Taneja</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2,626</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2,626</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Paula Volent</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3,472</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3,472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5"/>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6"/>
                <w:szCs w:val="16"/>
                <w:b w:val="1"/>
                <w:bCs w:val="1"/>
                <w:color w:val="1A3FD6"/>
              </w:rPr>
              <w:t>June Yang</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129</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129</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4"/>
        </w:trPr>
        <w:tc>
          <w:tcPr>
            <w:tcW w:w="5920" w:type="dxa"/>
            <w:vAlign w:val="bottom"/>
            <w:tcBorders>
              <w:bottom w:val="single" w:sz="8" w:color="E6E7E8"/>
            </w:tcBorders>
          </w:tcPr>
          <w:p>
            <w:pPr>
              <w:spacing w:after="0"/>
              <w:rPr>
                <w:sz w:val="3"/>
                <w:szCs w:val="3"/>
                <w:color w:val="auto"/>
              </w:rPr>
            </w:pPr>
          </w:p>
        </w:tc>
        <w:tc>
          <w:tcPr>
            <w:tcW w:w="1720" w:type="dxa"/>
            <w:vAlign w:val="bottom"/>
            <w:tcBorders>
              <w:bottom w:val="single" w:sz="8" w:color="E6E7E8"/>
            </w:tcBorders>
          </w:tcPr>
          <w:p>
            <w:pPr>
              <w:spacing w:after="0"/>
              <w:rPr>
                <w:sz w:val="3"/>
                <w:szCs w:val="3"/>
                <w:color w:val="auto"/>
              </w:rPr>
            </w:pPr>
          </w:p>
        </w:tc>
        <w:tc>
          <w:tcPr>
            <w:tcW w:w="1200" w:type="dxa"/>
            <w:vAlign w:val="bottom"/>
            <w:tcBorders>
              <w:bottom w:val="single" w:sz="8" w:color="E6E7E8"/>
            </w:tcBorders>
          </w:tcPr>
          <w:p>
            <w:pPr>
              <w:spacing w:after="0"/>
              <w:rPr>
                <w:sz w:val="3"/>
                <w:szCs w:val="3"/>
                <w:color w:val="auto"/>
              </w:rPr>
            </w:pPr>
          </w:p>
        </w:tc>
        <w:tc>
          <w:tcPr>
            <w:tcW w:w="1340" w:type="dxa"/>
            <w:vAlign w:val="bottom"/>
            <w:tcBorders>
              <w:bottom w:val="single" w:sz="8" w:color="E6E7E8"/>
            </w:tcBorders>
          </w:tcPr>
          <w:p>
            <w:pPr>
              <w:spacing w:after="0"/>
              <w:rPr>
                <w:sz w:val="3"/>
                <w:szCs w:val="3"/>
                <w:color w:val="auto"/>
              </w:rPr>
            </w:pPr>
          </w:p>
        </w:tc>
        <w:tc>
          <w:tcPr>
            <w:tcW w:w="1060" w:type="dxa"/>
            <w:vAlign w:val="bottom"/>
            <w:tcBorders>
              <w:bottom w:val="single" w:sz="8" w:color="E6E7E8"/>
            </w:tcBorders>
          </w:tcPr>
          <w:p>
            <w:pPr>
              <w:spacing w:after="0"/>
              <w:rPr>
                <w:sz w:val="3"/>
                <w:szCs w:val="3"/>
                <w:color w:val="auto"/>
              </w:rPr>
            </w:pPr>
          </w:p>
        </w:tc>
      </w:tr>
      <w:tr>
        <w:trPr>
          <w:trHeight w:val="222"/>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All Current Executive Officers and Directors as of February 27, 2026</w:t>
            </w:r>
          </w:p>
        </w:tc>
        <w:tc>
          <w:tcPr>
            <w:tcW w:w="1720" w:type="dxa"/>
            <w:vAlign w:val="bottom"/>
          </w:tcPr>
          <w:p>
            <w:pPr>
              <w:jc w:val="right"/>
              <w:ind w:right="260"/>
              <w:spacing w:after="0"/>
              <w:rPr>
                <w:sz w:val="20"/>
                <w:szCs w:val="20"/>
                <w:color w:val="auto"/>
              </w:rPr>
            </w:pPr>
            <w:r>
              <w:rPr>
                <w:rFonts w:ascii="Arial" w:cs="Arial" w:eastAsia="Arial" w:hAnsi="Arial"/>
                <w:sz w:val="16"/>
                <w:szCs w:val="16"/>
                <w:color w:val="auto"/>
              </w:rPr>
              <w:t>2,605,074</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150,713</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2,755,787</w:t>
            </w:r>
          </w:p>
        </w:tc>
        <w:tc>
          <w:tcPr>
            <w:tcW w:w="106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44"/>
        </w:trPr>
        <w:tc>
          <w:tcPr>
            <w:tcW w:w="5920" w:type="dxa"/>
            <w:vAlign w:val="bottom"/>
            <w:tcBorders>
              <w:bottom w:val="single" w:sz="8" w:color="1A3FD6"/>
            </w:tcBorders>
          </w:tcPr>
          <w:p>
            <w:pPr>
              <w:ind w:left="20"/>
              <w:spacing w:after="0"/>
              <w:rPr>
                <w:sz w:val="20"/>
                <w:szCs w:val="20"/>
                <w:color w:val="auto"/>
              </w:rPr>
            </w:pPr>
            <w:r>
              <w:rPr>
                <w:rFonts w:ascii="Arial" w:cs="Arial" w:eastAsia="Arial" w:hAnsi="Arial"/>
                <w:sz w:val="16"/>
                <w:szCs w:val="16"/>
                <w:b w:val="1"/>
                <w:bCs w:val="1"/>
                <w:color w:val="auto"/>
              </w:rPr>
              <w:t>as a Group (16 Persons)</w:t>
            </w:r>
            <w:r>
              <w:rPr>
                <w:rFonts w:ascii="Arial" w:cs="Arial" w:eastAsia="Arial" w:hAnsi="Arial"/>
                <w:sz w:val="21"/>
                <w:szCs w:val="21"/>
                <w:b w:val="1"/>
                <w:bCs w:val="1"/>
                <w:color w:val="auto"/>
                <w:vertAlign w:val="superscript"/>
              </w:rPr>
              <w:t>(6)</w:t>
            </w:r>
          </w:p>
        </w:tc>
        <w:tc>
          <w:tcPr>
            <w:tcW w:w="1720" w:type="dxa"/>
            <w:vAlign w:val="bottom"/>
            <w:tcBorders>
              <w:bottom w:val="single" w:sz="8" w:color="1A3FD6"/>
            </w:tcBorders>
          </w:tcPr>
          <w:p>
            <w:pPr>
              <w:spacing w:after="0"/>
              <w:rPr>
                <w:sz w:val="21"/>
                <w:szCs w:val="21"/>
                <w:color w:val="auto"/>
              </w:rPr>
            </w:pPr>
          </w:p>
        </w:tc>
        <w:tc>
          <w:tcPr>
            <w:tcW w:w="1200" w:type="dxa"/>
            <w:vAlign w:val="bottom"/>
            <w:tcBorders>
              <w:bottom w:val="single" w:sz="8" w:color="1A3FD6"/>
            </w:tcBorders>
          </w:tcPr>
          <w:p>
            <w:pPr>
              <w:spacing w:after="0"/>
              <w:rPr>
                <w:sz w:val="21"/>
                <w:szCs w:val="21"/>
                <w:color w:val="auto"/>
              </w:rPr>
            </w:pPr>
          </w:p>
        </w:tc>
        <w:tc>
          <w:tcPr>
            <w:tcW w:w="1340" w:type="dxa"/>
            <w:vAlign w:val="bottom"/>
            <w:tcBorders>
              <w:bottom w:val="single" w:sz="8" w:color="1A3FD6"/>
            </w:tcBorders>
          </w:tcPr>
          <w:p>
            <w:pPr>
              <w:spacing w:after="0"/>
              <w:rPr>
                <w:sz w:val="21"/>
                <w:szCs w:val="21"/>
                <w:color w:val="auto"/>
              </w:rPr>
            </w:pPr>
          </w:p>
        </w:tc>
        <w:tc>
          <w:tcPr>
            <w:tcW w:w="1060" w:type="dxa"/>
            <w:vAlign w:val="bottom"/>
            <w:tcBorders>
              <w:bottom w:val="single" w:sz="8" w:color="1A3FD6"/>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000"/>
        <w:spacing w:after="0"/>
        <w:tabs>
          <w:tab w:leader="none" w:pos="1096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right="140" w:hanging="252"/>
        <w:spacing w:after="0" w:line="232" w:lineRule="auto"/>
        <w:tabs>
          <w:tab w:leader="none" w:pos="264"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Excludes shares of our common stock that may be acquired through the vesting of PSUs, PSOs and RSUs. Includes 1,252 shares of common stock for which Ms. Matlock has elected to defer receipt of such shares until the earlier of (i) June 1, 2033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1,665 shares of our common stock for which Ms. Riefler has elected to defer receipt of such shares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and 129 shares of our common stock for which Ms. Yang has elected to defer receipt of such shares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w:t>
      </w:r>
    </w:p>
    <w:p>
      <w:pPr>
        <w:spacing w:after="0" w:line="12" w:lineRule="exact"/>
        <w:rPr>
          <w:rFonts w:ascii="Arial" w:cs="Arial" w:eastAsia="Arial" w:hAnsi="Arial"/>
          <w:sz w:val="19"/>
          <w:szCs w:val="19"/>
          <w:color w:val="auto"/>
          <w:vertAlign w:val="superscript"/>
        </w:rPr>
      </w:pPr>
    </w:p>
    <w:p>
      <w:pPr>
        <w:ind w:left="260" w:hanging="252"/>
        <w:spacing w:after="0" w:line="263" w:lineRule="auto"/>
        <w:tabs>
          <w:tab w:leader="none" w:pos="25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Includes shares of our common stock that can be acquired through the exercise of stock options or the vesting of RSUs within 60 days of the date of this table (i.e., through April 28, 2026). See the “Outstanding Equity Awards at Fiscal Year-End” Table included herein for additional information regarding RSUs and stock options held by each NEO as of December 31, 2025. As of February 27, 2026, each of our NEOs had the following shares of our common stock issuable upon the exercise of stock options: Mr. Fernandez had 71,757 shares issuable upon the exercise of stock options, Mr. Wiechmann had 8,330 shares issuable upon the exercise of stock options, Mr. Pettit had 40,041 shares issuable upon the exercise of stock options, Mr. Munari had 16,094 shares issuable upon the exercise of stock options and Mr. Crum had 8,383 shares issuable upon the exercise of stock options. As of February 27, 2026, each of our non-employee directors had the following outstanding stock awards, all of which are in the form of RSUs scheduled to vest on May 1, 2026: Messrs. Perold, Rattray, Smith and Taneja and Mmes. Matlock, Riefler, Seitz, Volent and Yang each had 385 RSUs outstanding and Mr. Ashe had 476 RSUs outstanding. Ms. Matlock elected to defer receipt of such RSUs until the earlier of (i) June 1, 2033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Mmes. Riefler and Yang each elected to defer receipt of such RSUs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w:t>
      </w:r>
    </w:p>
    <w:p>
      <w:pPr>
        <w:spacing w:after="0" w:line="3" w:lineRule="exact"/>
        <w:rPr>
          <w:rFonts w:ascii="Arial" w:cs="Arial" w:eastAsia="Arial" w:hAnsi="Arial"/>
          <w:sz w:val="19"/>
          <w:szCs w:val="19"/>
          <w:color w:val="auto"/>
          <w:vertAlign w:val="superscript"/>
        </w:rPr>
      </w:pPr>
    </w:p>
    <w:p>
      <w:pPr>
        <w:ind w:left="260" w:right="40" w:hanging="252"/>
        <w:spacing w:after="0" w:line="257" w:lineRule="auto"/>
        <w:tabs>
          <w:tab w:leader="none" w:pos="25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Except as indicated in the footnotes to this table, to our knowledge each executive officer and director, as of February 27, 2026, had sole voting and investment power with respect to his or her shares of our common stock. Beneficial Ownership Totals may differ from those set forth in Statements of Changes in Beneficial Ownership reported on Form 4 filed with the SEC due to the exclusion herein of RSUs granted by the Company, as described in footnote (1) to this table.</w:t>
      </w:r>
    </w:p>
    <w:p>
      <w:pPr>
        <w:spacing w:after="0" w:line="55" w:lineRule="exact"/>
        <w:rPr>
          <w:rFonts w:ascii="Arial" w:cs="Arial" w:eastAsia="Arial" w:hAnsi="Arial"/>
          <w:sz w:val="19"/>
          <w:szCs w:val="19"/>
          <w:color w:val="auto"/>
          <w:vertAlign w:val="superscript"/>
        </w:rPr>
      </w:pPr>
    </w:p>
    <w:p>
      <w:pPr>
        <w:ind w:left="260" w:right="20" w:hanging="252"/>
        <w:spacing w:after="0" w:line="264" w:lineRule="auto"/>
        <w:tabs>
          <w:tab w:leader="none" w:pos="25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All executive officers and directors (other than Mr. Fernandez) each beneficially owned less than 1.0% of the shares of our outstanding common stock. Percentages for each beneficial owner are calculated in accordance with Rule 13d-3(d)(1) under the Exchange Act. Percentages for each NEO, executive officer and director as of February 27, 2026 and collectively as a group are calculated by dividing the number of shares beneficially owned by the sum of the number of our shares outstanding as of February 27, 2026 plus shares of our common stock that can be acquired through vesting of RSUs or through the exercise of stock options within 60 days of the date of this table (i.e., through April 28, 2026).</w:t>
      </w:r>
    </w:p>
    <w:p>
      <w:pPr>
        <w:spacing w:after="0" w:line="50" w:lineRule="exact"/>
        <w:rPr>
          <w:rFonts w:ascii="Arial" w:cs="Arial" w:eastAsia="Arial" w:hAnsi="Arial"/>
          <w:sz w:val="19"/>
          <w:szCs w:val="19"/>
          <w:color w:val="auto"/>
          <w:vertAlign w:val="superscript"/>
        </w:rPr>
      </w:pPr>
    </w:p>
    <w:p>
      <w:pPr>
        <w:ind w:left="260" w:right="200" w:hanging="252"/>
        <w:spacing w:after="0" w:line="303" w:lineRule="auto"/>
        <w:tabs>
          <w:tab w:leader="none" w:pos="250" w:val="left"/>
        </w:tabs>
        <w:numPr>
          <w:ilvl w:val="0"/>
          <w:numId w:val="124"/>
        </w:numPr>
        <w:rPr>
          <w:rFonts w:ascii="Arial" w:cs="Arial" w:eastAsia="Arial" w:hAnsi="Arial"/>
          <w:sz w:val="9"/>
          <w:szCs w:val="9"/>
          <w:color w:val="auto"/>
        </w:rPr>
      </w:pPr>
      <w:r>
        <w:rPr>
          <w:rFonts w:ascii="Arial" w:cs="Arial" w:eastAsia="Arial" w:hAnsi="Arial"/>
          <w:sz w:val="14"/>
          <w:szCs w:val="14"/>
          <w:color w:val="auto"/>
        </w:rPr>
        <w:t>Includes 335,069 shares of our common stock held by the Fernandez 2007 Children’s Trust of which the spouse of Mr. Fernandez is the trustee, 309,821 shares of our common stock held by the Henry Fernandez 2024 MSCI Annuity Trust of which Mr. Fernandez is the trustee, and 15,400 shares of our common stock held by each of Mr. Fernandez’s three children.</w:t>
      </w:r>
    </w:p>
    <w:p>
      <w:pPr>
        <w:spacing w:after="0" w:line="24" w:lineRule="exact"/>
        <w:rPr>
          <w:rFonts w:ascii="Arial" w:cs="Arial" w:eastAsia="Arial" w:hAnsi="Arial"/>
          <w:sz w:val="9"/>
          <w:szCs w:val="9"/>
          <w:color w:val="auto"/>
        </w:rPr>
      </w:pPr>
    </w:p>
    <w:p>
      <w:pPr>
        <w:ind w:left="260" w:hanging="252"/>
        <w:spacing w:after="0"/>
        <w:tabs>
          <w:tab w:leader="none" w:pos="260" w:val="left"/>
        </w:tabs>
        <w:numPr>
          <w:ilvl w:val="0"/>
          <w:numId w:val="124"/>
        </w:numPr>
        <w:rPr>
          <w:rFonts w:ascii="Arial" w:cs="Arial" w:eastAsia="Arial" w:hAnsi="Arial"/>
          <w:sz w:val="9"/>
          <w:szCs w:val="9"/>
          <w:color w:val="auto"/>
        </w:rPr>
      </w:pPr>
      <w:r>
        <w:rPr>
          <w:rFonts w:ascii="Arial" w:cs="Arial" w:eastAsia="Arial" w:hAnsi="Arial"/>
          <w:sz w:val="14"/>
          <w:szCs w:val="14"/>
          <w:color w:val="auto"/>
        </w:rPr>
        <w:t>Mr. Pettit ceased serving in his positions as President and a director, effective March 1, 2026.</w:t>
      </w:r>
    </w:p>
    <w:p>
      <w:pPr>
        <w:spacing w:after="0" w:line="95" w:lineRule="exact"/>
        <w:rPr>
          <w:rFonts w:ascii="Arial" w:cs="Arial" w:eastAsia="Arial" w:hAnsi="Arial"/>
          <w:sz w:val="9"/>
          <w:szCs w:val="9"/>
          <w:color w:val="auto"/>
        </w:rPr>
      </w:pPr>
    </w:p>
    <w:p>
      <w:pPr>
        <w:ind w:left="260" w:hanging="252"/>
        <w:spacing w:after="0"/>
        <w:tabs>
          <w:tab w:leader="none" w:pos="260" w:val="left"/>
        </w:tabs>
        <w:numPr>
          <w:ilvl w:val="0"/>
          <w:numId w:val="124"/>
        </w:numPr>
        <w:rPr>
          <w:rFonts w:ascii="Arial" w:cs="Arial" w:eastAsia="Arial" w:hAnsi="Arial"/>
          <w:sz w:val="9"/>
          <w:szCs w:val="9"/>
          <w:color w:val="auto"/>
        </w:rPr>
      </w:pPr>
      <w:r>
        <w:rPr>
          <w:rFonts w:ascii="Arial" w:cs="Arial" w:eastAsia="Arial" w:hAnsi="Arial"/>
          <w:sz w:val="14"/>
          <w:szCs w:val="14"/>
          <w:color w:val="auto"/>
        </w:rPr>
        <w:t>The Board appointed Mr. Munari, who has been serving as the Company’s Chief Product Officer, to serve as Head of Client Segments, effective as of November 17, 2025.</w:t>
      </w:r>
    </w:p>
    <w:p>
      <w:pPr>
        <w:spacing w:after="0" w:line="109" w:lineRule="exact"/>
        <w:rPr>
          <w:rFonts w:ascii="Arial" w:cs="Arial" w:eastAsia="Arial" w:hAnsi="Arial"/>
          <w:sz w:val="9"/>
          <w:szCs w:val="9"/>
          <w:color w:val="auto"/>
        </w:rPr>
      </w:pPr>
    </w:p>
    <w:p>
      <w:pPr>
        <w:ind w:left="260" w:right="120" w:hanging="252"/>
        <w:spacing w:after="0" w:line="249" w:lineRule="auto"/>
        <w:tabs>
          <w:tab w:leader="none" w:pos="25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Includes 22,290 shares of our common stock directly held by 1000396766 Ontario Inc., an entity over which Mr. Ashe retains sole investment and voting control. The common shares of 1000396766 Ontario Inc. are held by the Ashe (2022) Family Trust, a trust of which Mr. Ashe and his spouse are trustees and Mr. Ashe, his spouse and his children are beneficiaries.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04" w:lineRule="exact"/>
        <w:rPr>
          <w:sz w:val="20"/>
          <w:szCs w:val="20"/>
          <w:color w:val="auto"/>
        </w:rPr>
      </w:pPr>
    </w:p>
    <w:p>
      <w:pPr>
        <w:jc w:val="both"/>
        <w:ind w:right="300"/>
        <w:spacing w:after="0" w:line="289" w:lineRule="auto"/>
        <w:rPr>
          <w:sz w:val="20"/>
          <w:szCs w:val="20"/>
          <w:color w:val="auto"/>
        </w:rPr>
      </w:pPr>
      <w:r>
        <w:rPr>
          <w:rFonts w:ascii="Arial" w:cs="Arial" w:eastAsia="Arial" w:hAnsi="Arial"/>
          <w:sz w:val="16"/>
          <w:szCs w:val="16"/>
          <w:color w:val="auto"/>
        </w:rPr>
        <w:t>Section 16(a) of the Exchange Act requires the Company’s directors, executive officers and persons who beneficially own more than 10% of a registered class of the Company’s equity securities to file with the SEC reports on Forms 3, 4 and 5 concerning their ownership of, and transactions in, the common stock and other equity securities of the Company. As a practical matter, the Company assists its directors and executives by monitoring transactions and completing and filing reports on their behalf.</w:t>
      </w:r>
    </w:p>
    <w:p>
      <w:pPr>
        <w:spacing w:after="0" w:line="9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Based solely on the Company’s review of copies of such reports filed with the SEC and written representations that no other reports are required, the Company believes that all of its executive officers, directors and those greater-than-10% shareholders that filed any reports for the year ended December 31, 2025 reported all transactions on a timely basis, with the exception of a late Form 3 filed for Mr. Alvise J. Munari on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320040</wp:posOffset>
            </wp:positionV>
            <wp:extent cx="556895" cy="1460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Stock Ownership of Principal Shareholders</w:t>
      </w:r>
    </w:p>
    <w:p>
      <w:pPr>
        <w:spacing w:after="0" w:line="181"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The following table contains information regarding the only persons we know of that beneficially own more than 5% of our common stock. Percentage of class amounts are based on 73,120,206 shares of our common stock outstanding as of February 27, 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Pr>
          <w:p>
            <w:pPr>
              <w:spacing w:after="0"/>
              <w:rPr>
                <w:sz w:val="16"/>
                <w:szCs w:val="16"/>
                <w:color w:val="auto"/>
              </w:rPr>
            </w:pPr>
          </w:p>
        </w:tc>
        <w:tc>
          <w:tcPr>
            <w:tcW w:w="3080" w:type="dxa"/>
            <w:vAlign w:val="bottom"/>
            <w:gridSpan w:val="2"/>
          </w:tcPr>
          <w:p>
            <w:pPr>
              <w:jc w:val="right"/>
              <w:ind w:right="584"/>
              <w:spacing w:after="0"/>
              <w:rPr>
                <w:sz w:val="20"/>
                <w:szCs w:val="20"/>
                <w:color w:val="auto"/>
              </w:rPr>
            </w:pPr>
            <w:r>
              <w:rPr>
                <w:rFonts w:ascii="Arial" w:cs="Arial" w:eastAsia="Arial" w:hAnsi="Arial"/>
                <w:sz w:val="14"/>
                <w:szCs w:val="14"/>
                <w:b w:val="1"/>
                <w:bCs w:val="1"/>
                <w:color w:val="auto"/>
              </w:rPr>
              <w:t>Shares of Common Stock</w:t>
            </w:r>
          </w:p>
        </w:tc>
      </w:tr>
      <w:tr>
        <w:trPr>
          <w:trHeight w:val="196"/>
        </w:trPr>
        <w:tc>
          <w:tcPr>
            <w:tcW w:w="814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840" w:type="dxa"/>
            <w:vAlign w:val="bottom"/>
          </w:tcPr>
          <w:p>
            <w:pPr>
              <w:spacing w:after="0"/>
              <w:rPr>
                <w:sz w:val="17"/>
                <w:szCs w:val="17"/>
                <w:color w:val="auto"/>
              </w:rPr>
            </w:pPr>
          </w:p>
        </w:tc>
      </w:tr>
      <w:tr>
        <w:trPr>
          <w:trHeight w:val="29"/>
        </w:trPr>
        <w:tc>
          <w:tcPr>
            <w:tcW w:w="8140" w:type="dxa"/>
            <w:vAlign w:val="bottom"/>
          </w:tcPr>
          <w:p>
            <w:pPr>
              <w:spacing w:after="0"/>
              <w:rPr>
                <w:sz w:val="2"/>
                <w:szCs w:val="2"/>
                <w:color w:val="auto"/>
              </w:rPr>
            </w:pPr>
          </w:p>
        </w:tc>
        <w:tc>
          <w:tcPr>
            <w:tcW w:w="2240" w:type="dxa"/>
            <w:vAlign w:val="bottom"/>
            <w:tcBorders>
              <w:bottom w:val="single" w:sz="8" w:color="1A3FD6"/>
            </w:tcBorders>
          </w:tcPr>
          <w:p>
            <w:pPr>
              <w:spacing w:after="0"/>
              <w:rPr>
                <w:sz w:val="2"/>
                <w:szCs w:val="2"/>
                <w:color w:val="auto"/>
              </w:rPr>
            </w:pPr>
          </w:p>
        </w:tc>
        <w:tc>
          <w:tcPr>
            <w:tcW w:w="840" w:type="dxa"/>
            <w:vAlign w:val="bottom"/>
            <w:tcBorders>
              <w:bottom w:val="single" w:sz="8" w:color="1A3FD6"/>
            </w:tcBorders>
          </w:tcPr>
          <w:p>
            <w:pPr>
              <w:spacing w:after="0"/>
              <w:rPr>
                <w:sz w:val="2"/>
                <w:szCs w:val="2"/>
                <w:color w:val="auto"/>
              </w:rPr>
            </w:pPr>
          </w:p>
        </w:tc>
      </w:tr>
      <w:tr>
        <w:trPr>
          <w:trHeight w:val="198"/>
        </w:trPr>
        <w:tc>
          <w:tcPr>
            <w:tcW w:w="8140" w:type="dxa"/>
            <w:vAlign w:val="bottom"/>
          </w:tcPr>
          <w:p>
            <w:pPr>
              <w:spacing w:after="0"/>
              <w:rPr>
                <w:sz w:val="17"/>
                <w:szCs w:val="17"/>
                <w:color w:val="auto"/>
              </w:rPr>
            </w:pPr>
          </w:p>
        </w:tc>
        <w:tc>
          <w:tcPr>
            <w:tcW w:w="2240" w:type="dxa"/>
            <w:vAlign w:val="bottom"/>
          </w:tcPr>
          <w:p>
            <w:pPr>
              <w:jc w:val="right"/>
              <w:ind w:right="505"/>
              <w:spacing w:after="0"/>
              <w:rPr>
                <w:sz w:val="20"/>
                <w:szCs w:val="20"/>
                <w:color w:val="auto"/>
              </w:rPr>
            </w:pPr>
            <w:r>
              <w:rPr>
                <w:rFonts w:ascii="Arial" w:cs="Arial" w:eastAsia="Arial" w:hAnsi="Arial"/>
                <w:sz w:val="14"/>
                <w:szCs w:val="14"/>
                <w:b w:val="1"/>
                <w:bCs w:val="1"/>
                <w:color w:val="auto"/>
              </w:rPr>
              <w:t>Number of</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28"/>
        </w:trPr>
        <w:tc>
          <w:tcPr>
            <w:tcW w:w="814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2240" w:type="dxa"/>
            <w:vAlign w:val="bottom"/>
            <w:tcBorders>
              <w:bottom w:val="single" w:sz="8" w:color="1A3FD6"/>
            </w:tcBorders>
          </w:tcPr>
          <w:p>
            <w:pPr>
              <w:jc w:val="right"/>
              <w:ind w:right="505"/>
              <w:spacing w:after="0"/>
              <w:rPr>
                <w:sz w:val="20"/>
                <w:szCs w:val="20"/>
                <w:color w:val="auto"/>
              </w:rPr>
            </w:pPr>
            <w:r>
              <w:rPr>
                <w:rFonts w:ascii="Arial" w:cs="Arial" w:eastAsia="Arial" w:hAnsi="Arial"/>
                <w:sz w:val="14"/>
                <w:szCs w:val="14"/>
                <w:b w:val="1"/>
                <w:bCs w:val="1"/>
                <w:color w:val="auto"/>
              </w:rPr>
              <w:t>Shares</w:t>
            </w:r>
          </w:p>
        </w:tc>
        <w:tc>
          <w:tcPr>
            <w:tcW w:w="8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of Class</w:t>
            </w:r>
            <w:r>
              <w:rPr>
                <w:rFonts w:ascii="Arial" w:cs="Arial" w:eastAsia="Arial" w:hAnsi="Arial"/>
                <w:sz w:val="18"/>
                <w:szCs w:val="18"/>
                <w:b w:val="1"/>
                <w:bCs w:val="1"/>
                <w:color w:val="auto"/>
                <w:vertAlign w:val="superscript"/>
              </w:rPr>
              <w:t>(1)</w:t>
            </w:r>
          </w:p>
        </w:tc>
      </w:tr>
      <w:tr>
        <w:trPr>
          <w:trHeight w:val="222"/>
        </w:trPr>
        <w:tc>
          <w:tcPr>
            <w:tcW w:w="8140" w:type="dxa"/>
            <w:vAlign w:val="bottom"/>
          </w:tcPr>
          <w:p>
            <w:pPr>
              <w:ind w:left="20"/>
              <w:spacing w:after="0"/>
              <w:rPr>
                <w:sz w:val="20"/>
                <w:szCs w:val="20"/>
                <w:color w:val="auto"/>
              </w:rPr>
            </w:pPr>
            <w:r>
              <w:rPr>
                <w:rFonts w:ascii="Arial" w:cs="Arial" w:eastAsia="Arial" w:hAnsi="Arial"/>
                <w:sz w:val="16"/>
                <w:szCs w:val="16"/>
                <w:color w:val="auto"/>
              </w:rPr>
              <w:t>The Vanguard Group</w:t>
            </w:r>
          </w:p>
        </w:tc>
        <w:tc>
          <w:tcPr>
            <w:tcW w:w="2240" w:type="dxa"/>
            <w:vAlign w:val="bottom"/>
          </w:tcPr>
          <w:p>
            <w:pPr>
              <w:jc w:val="right"/>
              <w:ind w:right="705"/>
              <w:spacing w:after="0" w:line="223" w:lineRule="exact"/>
              <w:rPr>
                <w:sz w:val="20"/>
                <w:szCs w:val="20"/>
                <w:color w:val="auto"/>
              </w:rPr>
            </w:pPr>
            <w:r>
              <w:rPr>
                <w:rFonts w:ascii="Arial" w:cs="Arial" w:eastAsia="Arial" w:hAnsi="Arial"/>
                <w:sz w:val="16"/>
                <w:szCs w:val="16"/>
                <w:color w:val="auto"/>
              </w:rPr>
              <w:t xml:space="preserve">9,376,828 </w:t>
            </w:r>
            <w:r>
              <w:rPr>
                <w:rFonts w:ascii="Arial" w:cs="Arial" w:eastAsia="Arial" w:hAnsi="Arial"/>
                <w:sz w:val="21"/>
                <w:szCs w:val="21"/>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100 Vanguard Blvd.</w:t>
            </w:r>
          </w:p>
        </w:tc>
        <w:tc>
          <w:tcPr>
            <w:tcW w:w="2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Malvern, PA 19355</w:t>
            </w: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3"/>
        </w:trPr>
        <w:tc>
          <w:tcPr>
            <w:tcW w:w="8140" w:type="dxa"/>
            <w:vAlign w:val="bottom"/>
            <w:tcBorders>
              <w:bottom w:val="single" w:sz="8" w:color="E6E7E8"/>
            </w:tcBorders>
          </w:tcPr>
          <w:p>
            <w:pPr>
              <w:spacing w:after="0"/>
              <w:rPr>
                <w:sz w:val="3"/>
                <w:szCs w:val="3"/>
                <w:color w:val="auto"/>
              </w:rPr>
            </w:pPr>
          </w:p>
        </w:tc>
        <w:tc>
          <w:tcPr>
            <w:tcW w:w="2240" w:type="dxa"/>
            <w:vAlign w:val="bottom"/>
            <w:tcBorders>
              <w:bottom w:val="single" w:sz="8" w:color="E6E7E8"/>
            </w:tcBorders>
          </w:tcPr>
          <w:p>
            <w:pPr>
              <w:spacing w:after="0"/>
              <w:rPr>
                <w:sz w:val="3"/>
                <w:szCs w:val="3"/>
                <w:color w:val="auto"/>
              </w:rPr>
            </w:pPr>
          </w:p>
        </w:tc>
        <w:tc>
          <w:tcPr>
            <w:tcW w:w="840" w:type="dxa"/>
            <w:vAlign w:val="bottom"/>
            <w:tcBorders>
              <w:bottom w:val="single" w:sz="8" w:color="E6E7E8"/>
            </w:tcBorders>
          </w:tcPr>
          <w:p>
            <w:pPr>
              <w:spacing w:after="0"/>
              <w:rPr>
                <w:sz w:val="3"/>
                <w:szCs w:val="3"/>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2240" w:type="dxa"/>
            <w:vAlign w:val="bottom"/>
          </w:tcPr>
          <w:p>
            <w:pPr>
              <w:jc w:val="right"/>
              <w:ind w:right="705"/>
              <w:spacing w:after="0" w:line="223" w:lineRule="exact"/>
              <w:rPr>
                <w:sz w:val="20"/>
                <w:szCs w:val="20"/>
                <w:color w:val="auto"/>
              </w:rPr>
            </w:pPr>
            <w:r>
              <w:rPr>
                <w:rFonts w:ascii="Arial" w:cs="Arial" w:eastAsia="Arial" w:hAnsi="Arial"/>
                <w:sz w:val="16"/>
                <w:szCs w:val="16"/>
                <w:color w:val="auto"/>
              </w:rPr>
              <w:t xml:space="preserve">5,942,793 </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03"/>
        </w:trPr>
        <w:tc>
          <w:tcPr>
            <w:tcW w:w="8140" w:type="dxa"/>
            <w:vAlign w:val="bottom"/>
          </w:tcPr>
          <w:p>
            <w:pPr>
              <w:ind w:left="20"/>
              <w:spacing w:after="0"/>
              <w:rPr>
                <w:sz w:val="20"/>
                <w:szCs w:val="20"/>
                <w:color w:val="auto"/>
              </w:rPr>
            </w:pPr>
            <w:r>
              <w:rPr>
                <w:rFonts w:ascii="Arial" w:cs="Arial" w:eastAsia="Arial" w:hAnsi="Arial"/>
                <w:sz w:val="16"/>
                <w:szCs w:val="16"/>
                <w:color w:val="auto"/>
              </w:rPr>
              <w:t>50 Hudson Yards</w:t>
            </w:r>
          </w:p>
        </w:tc>
        <w:tc>
          <w:tcPr>
            <w:tcW w:w="2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New York, NY 10001</w:t>
            </w: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3"/>
        </w:trPr>
        <w:tc>
          <w:tcPr>
            <w:tcW w:w="8140" w:type="dxa"/>
            <w:vAlign w:val="bottom"/>
            <w:tcBorders>
              <w:bottom w:val="single" w:sz="8" w:color="1A3FD6"/>
            </w:tcBorders>
          </w:tcPr>
          <w:p>
            <w:pPr>
              <w:spacing w:after="0"/>
              <w:rPr>
                <w:sz w:val="3"/>
                <w:szCs w:val="3"/>
                <w:color w:val="auto"/>
              </w:rPr>
            </w:pPr>
          </w:p>
        </w:tc>
        <w:tc>
          <w:tcPr>
            <w:tcW w:w="2240" w:type="dxa"/>
            <w:vAlign w:val="bottom"/>
            <w:tcBorders>
              <w:bottom w:val="single" w:sz="8" w:color="1A3FD6"/>
            </w:tcBorders>
          </w:tcPr>
          <w:p>
            <w:pPr>
              <w:spacing w:after="0"/>
              <w:rPr>
                <w:sz w:val="3"/>
                <w:szCs w:val="3"/>
                <w:color w:val="auto"/>
              </w:rPr>
            </w:pPr>
          </w:p>
        </w:tc>
        <w:tc>
          <w:tcPr>
            <w:tcW w:w="840" w:type="dxa"/>
            <w:vAlign w:val="bottom"/>
            <w:tcBorders>
              <w:bottom w:val="single" w:sz="8" w:color="1A3FD6"/>
            </w:tcBorders>
          </w:tcPr>
          <w:p>
            <w:pPr>
              <w:spacing w:after="0"/>
              <w:rPr>
                <w:sz w:val="3"/>
                <w:szCs w:val="3"/>
                <w:color w:val="auto"/>
              </w:rPr>
            </w:pPr>
          </w:p>
        </w:tc>
      </w:tr>
    </w:tbl>
    <w:p>
      <w:pPr>
        <w:spacing w:after="0" w:line="193" w:lineRule="exact"/>
        <w:rPr>
          <w:sz w:val="20"/>
          <w:szCs w:val="20"/>
          <w:color w:val="auto"/>
        </w:rPr>
      </w:pPr>
    </w:p>
    <w:p>
      <w:pPr>
        <w:ind w:left="260" w:right="40" w:hanging="252"/>
        <w:spacing w:after="0" w:line="249" w:lineRule="auto"/>
        <w:tabs>
          <w:tab w:leader="none" w:pos="264" w:val="left"/>
        </w:tabs>
        <w:numPr>
          <w:ilvl w:val="0"/>
          <w:numId w:val="125"/>
        </w:numPr>
        <w:rPr>
          <w:rFonts w:ascii="Arial" w:cs="Arial" w:eastAsia="Arial" w:hAnsi="Arial"/>
          <w:sz w:val="19"/>
          <w:szCs w:val="19"/>
          <w:color w:val="auto"/>
          <w:vertAlign w:val="superscript"/>
        </w:rPr>
      </w:pPr>
      <w:r>
        <w:rPr>
          <w:rFonts w:ascii="Arial" w:cs="Arial" w:eastAsia="Arial" w:hAnsi="Arial"/>
          <w:sz w:val="14"/>
          <w:szCs w:val="14"/>
          <w:color w:val="auto"/>
        </w:rPr>
        <w:t>Because percentage of class ownership is based on the total number of shares of our common stock outstanding as of a date that differs from the date used by the principal shareholders to calculate the percentages for purposes of filing the applicable Schedule 13G or 13G/A, percentages of class ownership presented herein may differ from amounts reported in the applicable Schedule 13G or 13G/A filed with the SEC by the relevant principal shareholder.</w:t>
      </w:r>
    </w:p>
    <w:p>
      <w:pPr>
        <w:spacing w:after="0" w:line="73" w:lineRule="exact"/>
        <w:rPr>
          <w:rFonts w:ascii="Arial" w:cs="Arial" w:eastAsia="Arial" w:hAnsi="Arial"/>
          <w:sz w:val="19"/>
          <w:szCs w:val="19"/>
          <w:color w:val="auto"/>
          <w:vertAlign w:val="superscript"/>
        </w:rPr>
      </w:pPr>
    </w:p>
    <w:p>
      <w:pPr>
        <w:ind w:left="260" w:right="300" w:hanging="252"/>
        <w:spacing w:after="0" w:line="264" w:lineRule="auto"/>
        <w:tabs>
          <w:tab w:leader="none" w:pos="250" w:val="left"/>
        </w:tabs>
        <w:numPr>
          <w:ilvl w:val="0"/>
          <w:numId w:val="125"/>
        </w:numPr>
        <w:rPr>
          <w:rFonts w:ascii="Arial" w:cs="Arial" w:eastAsia="Arial" w:hAnsi="Arial"/>
          <w:sz w:val="19"/>
          <w:szCs w:val="19"/>
          <w:color w:val="auto"/>
          <w:vertAlign w:val="superscript"/>
        </w:rPr>
      </w:pPr>
      <w:r>
        <w:rPr>
          <w:rFonts w:ascii="Arial" w:cs="Arial" w:eastAsia="Arial" w:hAnsi="Arial"/>
          <w:sz w:val="14"/>
          <w:szCs w:val="14"/>
          <w:color w:val="auto"/>
        </w:rPr>
        <w:t>Based on information in a Schedule 13G/A (Amendment No. 12) filed with the SEC on April 30, 2025. The Schedule 13G/A discloses that The Vanguard Group had sole voting power as to 0 shares of our common stock, shared voting power as to 96,206 shares of our common stock, sole dispositive power as to 9,016,894 shares of our common stock and shared dispositive power as to 359,934 shares of our common stock. In addition, the Schedule 13G/A discloses that the person filing the report is an investment adviser in accordance with §240.13d-1(b)(1)(ii)(E) and the identification and classification of the subsidiaries which acquired the securities being reported on therein are set forth on Appendix A thereto.</w:t>
      </w:r>
    </w:p>
    <w:p>
      <w:pPr>
        <w:spacing w:after="0" w:line="50" w:lineRule="exact"/>
        <w:rPr>
          <w:rFonts w:ascii="Arial" w:cs="Arial" w:eastAsia="Arial" w:hAnsi="Arial"/>
          <w:sz w:val="19"/>
          <w:szCs w:val="19"/>
          <w:color w:val="auto"/>
          <w:vertAlign w:val="superscript"/>
        </w:rPr>
      </w:pPr>
    </w:p>
    <w:p>
      <w:pPr>
        <w:ind w:left="260" w:right="20" w:hanging="252"/>
        <w:spacing w:after="0" w:line="296" w:lineRule="auto"/>
        <w:tabs>
          <w:tab w:leader="none" w:pos="250" w:val="left"/>
        </w:tabs>
        <w:numPr>
          <w:ilvl w:val="0"/>
          <w:numId w:val="125"/>
        </w:numPr>
        <w:rPr>
          <w:rFonts w:ascii="Arial" w:cs="Arial" w:eastAsia="Arial" w:hAnsi="Arial"/>
          <w:sz w:val="9"/>
          <w:szCs w:val="9"/>
          <w:color w:val="auto"/>
        </w:rPr>
      </w:pPr>
      <w:r>
        <w:rPr>
          <w:rFonts w:ascii="Arial" w:cs="Arial" w:eastAsia="Arial" w:hAnsi="Arial"/>
          <w:sz w:val="14"/>
          <w:szCs w:val="14"/>
          <w:color w:val="auto"/>
        </w:rPr>
        <w:t>Based on information in a Schedule 13G/A (Amendment No. 13) filed with the SEC on February 5, 2025. The Schedule 13G/A discloses that BlackRock, Inc. had sole voting power as to 5,400,012 shares of our common stock and sole dispositive power as to 5,942,793 shares of our common stock. In addition, the Schedule 13G/A discloses that the person filing the report is a parent holding company or control person in accordance with §240.13d-1(b)(1)(ii)(G) and the identification and classification of the subsidiaries which acquired the securities being reported on therein are set forth on Exhibit 99 thereto.</w:t>
      </w:r>
    </w:p>
    <w:p>
      <w:pPr>
        <w:spacing w:after="0" w:line="200" w:lineRule="exact"/>
        <w:rPr>
          <w:sz w:val="20"/>
          <w:szCs w:val="20"/>
          <w:color w:val="auto"/>
        </w:rPr>
      </w:pPr>
    </w:p>
    <w:p>
      <w:pPr>
        <w:spacing w:after="0" w:line="356"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3"/>
          <w:szCs w:val="13"/>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sz w:val="20"/>
          <w:szCs w:val="20"/>
          <w:color w:val="auto"/>
        </w:rPr>
      </w:pPr>
      <w:r>
        <w:rPr>
          <w:rFonts w:ascii="Arial" w:cs="Arial" w:eastAsia="Arial" w:hAnsi="Arial"/>
          <w:sz w:val="47"/>
          <w:szCs w:val="47"/>
          <w:b w:val="1"/>
          <w:bCs w:val="1"/>
          <w:color w:val="1A3FD6"/>
        </w:rPr>
        <w:t>Other</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Matters</w:t>
      </w:r>
    </w:p>
    <w:p>
      <w:pPr>
        <w:spacing w:after="0" w:line="28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Additional Policies and Procedures</w:t>
      </w:r>
    </w:p>
    <w:p>
      <w:pPr>
        <w:spacing w:after="0" w:line="181"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MSCI has a corporate governance webpage that can be found under the “Corporate Governance” link under the “Investor Resources” tab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7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Corporate Governance Policies (including our Director Independence Standards), Code of Ethics and Business Conduct and committee charters are available electronically, without charge, on or through our website. To access these documents, click on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 These documents are also available, without charge, to any shareholder who requests them by writing to us at c/o Corporate Secretary, MSCI Inc., 7 World Trade Center, 250 Greenwich Street, 49th Floor, New York, New York 10007 or via email at investor.relations@msci.com.</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Our Code of Ethics and Business Conduct applies to our directors, executive officers and employees. Our Head of Compliance is principally responsible for administering compliance with our Code of Ethics and Business Conduct, with the support of a team of global professionals. The Head of Compliance reports directly to MSCI’s Deputy General Counsel. If we make any substantive amendment to, or grant a waiver to, a provision of the Code of Ethics and Business Conduct for our CEO, CFO, Principal Accounting Officer and Global Controller or persons performing similar functions, we will satisfy the applicable SEC disclosure requirement by promptly disclosing the nature of the amendment or waiver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31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maintain insider trading policies and procedures governing the purchase, sale and/or other dispositions of our securities by directors, officers and employees that we believe are reasonably designed to promote compliance with insider trading laws, rules and regulations, as well as NYSE listing standards. In addition, it is our policy to comply with applicable securities and state laws, including insider trading laws, when engaging in transactions in our securities. A copy of our insider trading policy is filed as Exhibit 19.1 to our Annual Report on Form 10-K for the fiscal year ending December 31, 2025.</w:t>
      </w:r>
    </w:p>
    <w:p>
      <w:pPr>
        <w:spacing w:after="0" w:line="228"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Certain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Transactions with Shareholders</w:t>
      </w:r>
    </w:p>
    <w:p>
      <w:pPr>
        <w:spacing w:after="0" w:line="11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From time to time, shareholders that own more than 5% of our common stock subscribe to, license or otherwise purchase, in the normal course of business, certain of our products and services. These transactions are negotiated on an arm’s-length basis and are subject to review under our Related Person Transactions Policy described below.</w:t>
      </w:r>
    </w:p>
    <w:p>
      <w:pPr>
        <w:spacing w:after="0" w:line="9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During 2025, BlackRock, Inc. and The Vanguard Group and/or their respective affiliates subscribed to, licensed or otherwise purchased in the normal course of business, certain of our products and services. For purposes of full disclosure, revenues recognized by us from subscriptions, licenses and other fees related to our products and services in 2025 from each of these shareholders and/or their respective affiliates are set forth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5380" w:type="dxa"/>
            <w:vAlign w:val="bottom"/>
          </w:tcPr>
          <w:p>
            <w:pPr>
              <w:jc w:val="right"/>
              <w:spacing w:after="0"/>
              <w:rPr>
                <w:sz w:val="20"/>
                <w:szCs w:val="20"/>
                <w:color w:val="auto"/>
              </w:rPr>
            </w:pPr>
            <w:r>
              <w:rPr>
                <w:rFonts w:ascii="Arial" w:cs="Arial" w:eastAsia="Arial" w:hAnsi="Arial"/>
                <w:sz w:val="14"/>
                <w:szCs w:val="14"/>
                <w:b w:val="1"/>
                <w:bCs w:val="1"/>
                <w:color w:val="auto"/>
              </w:rPr>
              <w:t>2025 Revenues</w:t>
            </w:r>
          </w:p>
        </w:tc>
      </w:tr>
      <w:tr>
        <w:trPr>
          <w:trHeight w:val="29"/>
        </w:trPr>
        <w:tc>
          <w:tcPr>
            <w:tcW w:w="5860" w:type="dxa"/>
            <w:vAlign w:val="bottom"/>
            <w:tcBorders>
              <w:bottom w:val="single" w:sz="8" w:color="1A3FD6"/>
            </w:tcBorders>
          </w:tcPr>
          <w:p>
            <w:pPr>
              <w:spacing w:after="0"/>
              <w:rPr>
                <w:sz w:val="2"/>
                <w:szCs w:val="2"/>
                <w:color w:val="auto"/>
              </w:rPr>
            </w:pPr>
          </w:p>
        </w:tc>
        <w:tc>
          <w:tcPr>
            <w:tcW w:w="5380" w:type="dxa"/>
            <w:vAlign w:val="bottom"/>
            <w:tcBorders>
              <w:bottom w:val="single" w:sz="8" w:color="1A3FD6"/>
            </w:tcBorders>
          </w:tcPr>
          <w:p>
            <w:pPr>
              <w:spacing w:after="0"/>
              <w:rPr>
                <w:sz w:val="2"/>
                <w:szCs w:val="2"/>
                <w:color w:val="auto"/>
              </w:rPr>
            </w:pPr>
          </w:p>
        </w:tc>
      </w:tr>
      <w:tr>
        <w:trPr>
          <w:trHeight w:val="221"/>
        </w:trPr>
        <w:tc>
          <w:tcPr>
            <w:tcW w:w="586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5380" w:type="dxa"/>
            <w:vAlign w:val="bottom"/>
          </w:tcPr>
          <w:p>
            <w:pPr>
              <w:jc w:val="right"/>
              <w:spacing w:after="0"/>
              <w:rPr>
                <w:sz w:val="20"/>
                <w:szCs w:val="20"/>
                <w:color w:val="auto"/>
              </w:rPr>
            </w:pPr>
            <w:r>
              <w:rPr>
                <w:rFonts w:ascii="Arial" w:cs="Arial" w:eastAsia="Arial" w:hAnsi="Arial"/>
                <w:sz w:val="16"/>
                <w:szCs w:val="16"/>
                <w:color w:val="auto"/>
              </w:rPr>
              <w:t>$339.0 million</w:t>
            </w:r>
          </w:p>
        </w:tc>
      </w:tr>
      <w:tr>
        <w:trPr>
          <w:trHeight w:val="43"/>
        </w:trPr>
        <w:tc>
          <w:tcPr>
            <w:tcW w:w="5860" w:type="dxa"/>
            <w:vAlign w:val="bottom"/>
            <w:tcBorders>
              <w:bottom w:val="single" w:sz="8" w:color="E6E7E8"/>
            </w:tcBorders>
          </w:tcPr>
          <w:p>
            <w:pPr>
              <w:spacing w:after="0"/>
              <w:rPr>
                <w:sz w:val="3"/>
                <w:szCs w:val="3"/>
                <w:color w:val="auto"/>
              </w:rPr>
            </w:pPr>
          </w:p>
        </w:tc>
        <w:tc>
          <w:tcPr>
            <w:tcW w:w="5380" w:type="dxa"/>
            <w:vAlign w:val="bottom"/>
            <w:tcBorders>
              <w:bottom w:val="single" w:sz="8" w:color="E6E7E8"/>
            </w:tcBorders>
          </w:tcPr>
          <w:p>
            <w:pPr>
              <w:spacing w:after="0"/>
              <w:rPr>
                <w:sz w:val="3"/>
                <w:szCs w:val="3"/>
                <w:color w:val="auto"/>
              </w:rPr>
            </w:pPr>
          </w:p>
        </w:tc>
      </w:tr>
      <w:tr>
        <w:trPr>
          <w:trHeight w:val="221"/>
        </w:trPr>
        <w:tc>
          <w:tcPr>
            <w:tcW w:w="5860" w:type="dxa"/>
            <w:vAlign w:val="bottom"/>
          </w:tcPr>
          <w:p>
            <w:pPr>
              <w:ind w:left="20"/>
              <w:spacing w:after="0"/>
              <w:rPr>
                <w:sz w:val="20"/>
                <w:szCs w:val="20"/>
                <w:color w:val="auto"/>
              </w:rPr>
            </w:pPr>
            <w:r>
              <w:rPr>
                <w:rFonts w:ascii="Arial" w:cs="Arial" w:eastAsia="Arial" w:hAnsi="Arial"/>
                <w:sz w:val="16"/>
                <w:szCs w:val="16"/>
                <w:color w:val="auto"/>
              </w:rPr>
              <w:t>The Vanguard Group</w:t>
            </w:r>
          </w:p>
        </w:tc>
        <w:tc>
          <w:tcPr>
            <w:tcW w:w="5380" w:type="dxa"/>
            <w:vAlign w:val="bottom"/>
          </w:tcPr>
          <w:p>
            <w:pPr>
              <w:jc w:val="right"/>
              <w:spacing w:after="0"/>
              <w:rPr>
                <w:sz w:val="20"/>
                <w:szCs w:val="20"/>
                <w:color w:val="auto"/>
              </w:rPr>
            </w:pPr>
            <w:r>
              <w:rPr>
                <w:rFonts w:ascii="Arial" w:cs="Arial" w:eastAsia="Arial" w:hAnsi="Arial"/>
                <w:sz w:val="16"/>
                <w:szCs w:val="16"/>
                <w:color w:val="auto"/>
              </w:rPr>
              <w:t>$23.3 million</w:t>
            </w:r>
          </w:p>
        </w:tc>
      </w:tr>
      <w:tr>
        <w:trPr>
          <w:trHeight w:val="43"/>
        </w:trPr>
        <w:tc>
          <w:tcPr>
            <w:tcW w:w="5860" w:type="dxa"/>
            <w:vAlign w:val="bottom"/>
            <w:tcBorders>
              <w:bottom w:val="single" w:sz="8" w:color="1A3FD6"/>
            </w:tcBorders>
          </w:tcPr>
          <w:p>
            <w:pPr>
              <w:spacing w:after="0"/>
              <w:rPr>
                <w:sz w:val="3"/>
                <w:szCs w:val="3"/>
                <w:color w:val="auto"/>
              </w:rPr>
            </w:pPr>
          </w:p>
        </w:tc>
        <w:tc>
          <w:tcPr>
            <w:tcW w:w="5380" w:type="dxa"/>
            <w:vAlign w:val="bottom"/>
            <w:tcBorders>
              <w:bottom w:val="single" w:sz="8" w:color="1A3FD6"/>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394335</wp:posOffset>
            </wp:positionV>
            <wp:extent cx="556895" cy="1454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Transactions with Directors and Related Entities</w:t>
      </w:r>
    </w:p>
    <w:p>
      <w:pPr>
        <w:spacing w:after="0" w:line="119"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During 2025, in the ordinary course of business, The Rockefeller University subscribed to, licensed or purchased certain MSCI products and services. The Company recognized approximately $0.3 million in revenue from these transactions. Paula Volent, one of our directors, has served as Vice President and Chief Investment Officer of The Rockefeller University since August 2021.</w:t>
      </w:r>
    </w:p>
    <w:p>
      <w:pPr>
        <w:spacing w:after="0" w:line="240"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Related Person Transactions Policy</w:t>
      </w:r>
    </w:p>
    <w:p>
      <w:pPr>
        <w:spacing w:after="0" w:line="19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Board recognizes that related party transactions can present a heightened risk of potential or actual conflicts of interest and may create the appearance that Company decisions are based on considerations other than the best interests of the Company and its shareholders. Accordingly, the Company maintains a written Related Person Transactions Policy (the “Policy”), which governs the approval of related person transactions to ensure that they are fair and in the best interests of the Company. The Governance Committee administers the Policy. It is the responsibility of each director, director nominee and executive officer to promptly notify the legal department of transactions in which he or she may be involved. The legal department also conducts diligence and maintains controls and procedures to identify and submit for review and approval any such transactions.</w:t>
      </w:r>
    </w:p>
    <w:p>
      <w:pPr>
        <w:spacing w:after="0" w:line="107"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Under the Policy, the legal department determines whether the proposed transaction constitutes a related person transaction requiring review under the Policy and/or disclosure. If the legal department determines that (i) the proposed transaction constitutes a related person transaction or (ii) it would be beneficial to further review the transaction under the Policy, then the legal department may review and approve certain transactions pursuant to delegation from the Governance Committee or refer the transactions to the Governance Committee. No director may participate in any discussion or approval of a transaction for which he or she or a member of his or her immediate family is a related person.</w:t>
      </w:r>
    </w:p>
    <w:p>
      <w:pPr>
        <w:spacing w:after="0" w:line="10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When evaluating a proposed Related Person Transaction, the legal department or the Governance Committee, as applicable, will consider all relevant facts and circumstances, including: (1) the dollar amount of the transaction, the commercial reasonableness of the terms and the purpose of the transaction, as well as the benefit to the Company; (2) the nature of the negotiations, including (i) whether negotiations were at arm’s length and the result of fair dealing and (ii) whether the related person was involved in the negotiations; (3) the terms and conditions of comparable or similar transactions; (4) whether the transaction is provided on terms that may be more favorable than those available to others; (5) the materiality and character of the related person’s interest in the transaction and whether there may be any conflicts of interest; (6) whether the transaction would be considered unusual for one or both of the parties and (7) whether the transaction may impact director independence if applicable. Related person transactions will not be approved if the legal department or the Governance Committee, as applicable, determines the transaction to be inconsistent with the interests of the Company and its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Other Business</w:t>
      </w:r>
    </w:p>
    <w:p>
      <w:pPr>
        <w:spacing w:after="0" w:line="194"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We do not know of any matters that may be presented for action at the meeting other than those described in this Proxy Statement. If any other matter is properly brought before the meeting, the proxy holders will vote on such matter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6083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97" w:lineRule="exact"/>
        <w:rPr>
          <w:sz w:val="20"/>
          <w:szCs w:val="20"/>
          <w:color w:val="auto"/>
        </w:rPr>
      </w:pPr>
    </w:p>
    <w:p>
      <w:pPr>
        <w:jc w:val="both"/>
        <w:ind w:left="220" w:right="340"/>
        <w:spacing w:after="0" w:line="266" w:lineRule="auto"/>
        <w:rPr>
          <w:sz w:val="20"/>
          <w:szCs w:val="20"/>
          <w:color w:val="auto"/>
        </w:rPr>
      </w:pPr>
      <w:r>
        <w:rPr>
          <w:rFonts w:ascii="Arial" w:cs="Arial" w:eastAsia="Arial" w:hAnsi="Arial"/>
          <w:sz w:val="16"/>
          <w:szCs w:val="16"/>
          <w:color w:val="auto"/>
        </w:rPr>
        <w:t xml:space="preserve">Important Notice Regarding the Availability of Proxy Materials for the Shareholder Meeting to be held on April 21, 2026. Our Proxy Statement and our Annual Report on Form 10-K for the fiscal year ended December 31, 2025 are available free of charge at </w:t>
      </w:r>
      <w:r>
        <w:rPr>
          <w:rFonts w:ascii="Arial" w:cs="Arial" w:eastAsia="Arial" w:hAnsi="Arial"/>
          <w:sz w:val="16"/>
          <w:szCs w:val="16"/>
          <w:color w:val="1A3FD6"/>
        </w:rPr>
        <w:t>www.proxyvote.com</w:t>
      </w:r>
      <w:r>
        <w:rPr>
          <w:rFonts w:ascii="Arial" w:cs="Arial" w:eastAsia="Arial" w:hAnsi="Arial"/>
          <w:sz w:val="16"/>
          <w:szCs w:val="16"/>
          <w:color w:val="auto"/>
        </w:rPr>
        <w:t>. Information contained on such website is not incorporated by reference into this Proxy Statement or any other report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3"/>
          <w:szCs w:val="13"/>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4" w:name="page115"/>
    <w:bookmarkEnd w:id="114"/>
    <w:p>
      <w:pPr>
        <w:spacing w:after="0"/>
        <w:rPr>
          <w:sz w:val="20"/>
          <w:szCs w:val="20"/>
          <w:color w:val="auto"/>
        </w:rPr>
      </w:pPr>
      <w:r>
        <w:rPr>
          <w:rFonts w:ascii="Arial" w:cs="Arial" w:eastAsia="Arial" w:hAnsi="Arial"/>
          <w:sz w:val="47"/>
          <w:szCs w:val="47"/>
          <w:b w:val="1"/>
          <w:bCs w:val="1"/>
          <w:color w:val="1A3FD6"/>
        </w:rPr>
        <w:t>Annex A: Frequently</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Asked Questions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we refer to MSCI Inc. in this Proxy Statement?</w:t>
      </w:r>
    </w:p>
    <w:p>
      <w:pPr>
        <w:spacing w:after="0" w:line="10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refer to MSCI Inc. as the “Company,” “MSCI,” “we,” “our” or “us” and the Board of Directors of MSCI Inc. as the “Board.” MSCI is incorporated in Delaware and its shares of common stock are listed on the New York Stock Exchange under the symbol MSCI. References to “Shares,” “shares” or “shares of our common stock” in this Proxy Statement refer to shares of our common stock, par value $0.01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date, time and place of the 2026 Annual Meeting?</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will hold the 2026 Annual Meeting on April 21, 2026 at 2:30 P.M. Eastern Time, via the internet at </w:t>
      </w:r>
      <w:r>
        <w:rPr>
          <w:rFonts w:ascii="Arial" w:cs="Arial" w:eastAsia="Arial" w:hAnsi="Arial"/>
          <w:sz w:val="16"/>
          <w:szCs w:val="16"/>
          <w:color w:val="1A3FD6"/>
        </w:rPr>
        <w:t>www.virtualshareholdermeeting.com/MSCI2026</w:t>
      </w:r>
      <w:r>
        <w:rPr>
          <w:rFonts w:ascii="Arial" w:cs="Arial" w:eastAsia="Arial" w:hAnsi="Arial"/>
          <w:sz w:val="16"/>
          <w:szCs w:val="16"/>
          <w:color w:val="auto"/>
        </w:rPr>
        <w:t>.</w:t>
      </w:r>
    </w:p>
    <w:p>
      <w:pPr>
        <w:spacing w:after="0" w:line="16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In order to access the virtual annual meeting, you will be asked to provide your 16-digit control number. Instructions on how to attend and participate via the internet, including how to demonstrate proof of share ownership, are posted at </w:t>
      </w:r>
      <w:r>
        <w:rPr>
          <w:rFonts w:ascii="Arial" w:cs="Arial" w:eastAsia="Arial" w:hAnsi="Arial"/>
          <w:sz w:val="16"/>
          <w:szCs w:val="16"/>
          <w:color w:val="1A3FD6"/>
        </w:rPr>
        <w:t>www.virtualshareholdermeeting.com/MSCI2026</w:t>
      </w:r>
      <w:r>
        <w:rPr>
          <w:rFonts w:ascii="Arial" w:cs="Arial" w:eastAsia="Arial" w:hAnsi="Arial"/>
          <w:sz w:val="16"/>
          <w:szCs w:val="16"/>
          <w:color w:val="auto"/>
        </w:rPr>
        <w:t>. Information contained on this website is not incorporated by reference into this Proxy Statement or any other report we file with the SEC.</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the 2026 Annual Meeting be webcast?</w:t>
      </w:r>
    </w:p>
    <w:p>
      <w:pPr>
        <w:spacing w:after="0" w:line="10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 xml:space="preserve">Yes. You may attend the annual meeting virtually at </w:t>
      </w:r>
      <w:r>
        <w:rPr>
          <w:rFonts w:ascii="Arial" w:cs="Arial" w:eastAsia="Arial" w:hAnsi="Arial"/>
          <w:sz w:val="16"/>
          <w:szCs w:val="16"/>
          <w:color w:val="1A3FD6"/>
        </w:rPr>
        <w:t>www.virtualshareholdermeeting.com/MSCI2026</w:t>
      </w:r>
      <w:r>
        <w:rPr>
          <w:rFonts w:ascii="Arial" w:cs="Arial" w:eastAsia="Arial" w:hAnsi="Arial"/>
          <w:sz w:val="16"/>
          <w:szCs w:val="16"/>
          <w:color w:val="auto"/>
        </w:rPr>
        <w:t xml:space="preserve">, where you will be able to vote electronically and submit questions during the meeting. A webcast replay of the 2026 Annual Meeting will also be archived on our Investor Relations website, </w:t>
      </w:r>
      <w:r>
        <w:rPr>
          <w:rFonts w:ascii="Arial" w:cs="Arial" w:eastAsia="Arial" w:hAnsi="Arial"/>
          <w:sz w:val="16"/>
          <w:szCs w:val="16"/>
          <w:color w:val="1A3FD6"/>
        </w:rPr>
        <w:t>https://ir.msci.com/events.cfm</w:t>
      </w:r>
      <w:r>
        <w:rPr>
          <w:rFonts w:ascii="Arial" w:cs="Arial" w:eastAsia="Arial" w:hAnsi="Arial"/>
          <w:sz w:val="16"/>
          <w:szCs w:val="16"/>
          <w:color w:val="000000"/>
        </w:rPr>
        <w:t>, until April 21, 2027.</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submit a question at the 2026 Annual Meeting?</w:t>
      </w:r>
    </w:p>
    <w:p>
      <w:pPr>
        <w:spacing w:after="0" w:line="10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To submit questions before the 2026 Annual Meeting, please email your question(s) to the Corporate Secretary at corporatesecretary@msci.com no later than April 20, 2026. Please include “Annual Meeting Questions” in the subject line and provide your name, 16-digit control number and, if applicable, indicate the proposal to which your question relates in the body of the email.</w:t>
      </w:r>
    </w:p>
    <w:p>
      <w:pPr>
        <w:spacing w:after="0" w:line="11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 xml:space="preserve">You may submit a question during the meeting via our virtual shareholder meeting website, </w:t>
      </w:r>
      <w:r>
        <w:rPr>
          <w:rFonts w:ascii="Arial" w:cs="Arial" w:eastAsia="Arial" w:hAnsi="Arial"/>
          <w:sz w:val="16"/>
          <w:szCs w:val="16"/>
          <w:color w:val="1A3FD6"/>
        </w:rPr>
        <w:t>www.virtualshareholdermeeting.com/MSCI2026</w:t>
      </w:r>
      <w:r>
        <w:rPr>
          <w:rFonts w:ascii="Arial" w:cs="Arial" w:eastAsia="Arial" w:hAnsi="Arial"/>
          <w:sz w:val="16"/>
          <w:szCs w:val="16"/>
          <w:color w:val="auto"/>
        </w:rPr>
        <w:t xml:space="preserve">. If your question is properly submitted during the relevant portion of the meeting agenda, our Chairman intends to respond to your question during the live webcast. Questions on similar topics may be combined and answered together. A webcast replay of the 2026 Annual Meeting, including the Q&amp;A session, will also be archived on our Investor Relations website, </w:t>
      </w:r>
      <w:r>
        <w:rPr>
          <w:rFonts w:ascii="Arial" w:cs="Arial" w:eastAsia="Arial" w:hAnsi="Arial"/>
          <w:sz w:val="16"/>
          <w:szCs w:val="16"/>
          <w:color w:val="1A3FD6"/>
        </w:rPr>
        <w:t>https://ir.msci.com/events.cfm</w:t>
      </w:r>
      <w:r>
        <w:rPr>
          <w:rFonts w:ascii="Arial" w:cs="Arial" w:eastAsia="Arial" w:hAnsi="Arial"/>
          <w:sz w:val="16"/>
          <w:szCs w:val="16"/>
          <w:color w:val="auto"/>
        </w:rPr>
        <w:t>, until April 21, 2027.</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the Company encounters technical difficulties during the 2026 Annual Meeting?</w:t>
      </w:r>
    </w:p>
    <w:p>
      <w:pPr>
        <w:spacing w:after="0" w:line="100"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 xml:space="preserve">If we experience technical difficulties during the meeting (e.g., a temporary or prolonged power outage), our Chairman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t>
      </w:r>
      <w:r>
        <w:rPr>
          <w:rFonts w:ascii="Arial" w:cs="Arial" w:eastAsia="Arial" w:hAnsi="Arial"/>
          <w:sz w:val="16"/>
          <w:szCs w:val="16"/>
          <w:color w:val="1A3FD6"/>
        </w:rPr>
        <w:t>www.virtualshareholdermeeting.com/MSCI2026</w:t>
      </w:r>
      <w:r>
        <w:rPr>
          <w:rFonts w:ascii="Arial" w:cs="Arial" w:eastAsia="Arial" w:hAnsi="Arial"/>
          <w:sz w:val="16"/>
          <w:szCs w:val="16"/>
          <w:color w:val="auto"/>
        </w:rPr>
        <w:t>.</w:t>
      </w:r>
    </w:p>
    <w:p>
      <w:pPr>
        <w:spacing w:after="0" w:line="11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If you encounter technical difficulties accessing our meeting or asking questions during the meeting, a support line will be available on the login page of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313055</wp:posOffset>
            </wp:positionV>
            <wp:extent cx="556895" cy="1454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color w:val="auto"/>
        </w:rPr>
        <w:t>Annex A: 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attend the 2026 Annual Meeting?</w:t>
      </w:r>
    </w:p>
    <w:p>
      <w:pPr>
        <w:spacing w:after="0" w:line="10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All shareholders as of February 27, 2026, or their duly appointed proxies, may attend the 2026 Annual Meeting. In order to attend the 2026 Annual Meeting, a shareholder must own MSCI common stock at the close of business on February 27, 2026. If your shares are held in the name of a broker, bank, custodian, nominee or other record holder (“street name”), you must obtain a proxy, executed in your favor, from the holder of record (that is, your broker, bank, custodian, or nominee) to be able to vote at the 2026 Annual Meeting.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 at the 2026 Annual Meeting?</w:t>
      </w:r>
    </w:p>
    <w:p>
      <w:pPr>
        <w:spacing w:after="0" w:line="100"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You can vote your shares of MSCI common stock at our 2026 Annual Meeting if you were a shareholder at the close of business on February 27, 2026 (the “record date”). As of February 27, 2026, there were 73,120,206 shares of MSCI common stock outstanding. Each share of MSCI common stock entitles you to one vote on each matter voted on at the annual meeting of shareholders.</w:t>
      </w:r>
    </w:p>
    <w:p>
      <w:pPr>
        <w:spacing w:after="0" w:line="98" w:lineRule="exact"/>
        <w:rPr>
          <w:sz w:val="20"/>
          <w:szCs w:val="20"/>
          <w:color w:val="auto"/>
        </w:rPr>
      </w:pPr>
    </w:p>
    <w:p>
      <w:pPr>
        <w:jc w:val="both"/>
        <w:ind w:right="280"/>
        <w:spacing w:after="0" w:line="292" w:lineRule="auto"/>
        <w:rPr>
          <w:sz w:val="20"/>
          <w:szCs w:val="20"/>
          <w:color w:val="auto"/>
        </w:rPr>
      </w:pPr>
      <w:r>
        <w:rPr>
          <w:rFonts w:ascii="Arial" w:cs="Arial" w:eastAsia="Arial" w:hAnsi="Arial"/>
          <w:sz w:val="16"/>
          <w:szCs w:val="16"/>
          <w:color w:val="auto"/>
        </w:rPr>
        <w:t>A majority of the shares of MSCI common stock outstanding at the close of business on the record date must be present in order to hold the meeting and conduct business. This is called a “quorum.” Your shares are counted as present at the 2026 Annual Meeting if you vote through the internet at the virtual annual meeting of shareholders or properly submit your proxy prior to the 2026 Annual Meeting.</w:t>
      </w:r>
    </w:p>
    <w:p>
      <w:pPr>
        <w:spacing w:after="0" w:line="246" w:lineRule="exact"/>
        <w:rPr>
          <w:sz w:val="20"/>
          <w:szCs w:val="20"/>
          <w:color w:val="auto"/>
        </w:rPr>
      </w:pPr>
    </w:p>
    <w:p>
      <w:pPr>
        <w:ind w:right="820"/>
        <w:spacing w:after="0" w:line="325" w:lineRule="auto"/>
        <w:rPr>
          <w:sz w:val="20"/>
          <w:szCs w:val="20"/>
          <w:color w:val="auto"/>
        </w:rPr>
      </w:pPr>
      <w:r>
        <w:rPr>
          <w:rFonts w:ascii="Arial" w:cs="Arial" w:eastAsia="Arial" w:hAnsi="Arial"/>
          <w:sz w:val="16"/>
          <w:szCs w:val="16"/>
          <w:b w:val="1"/>
          <w:bCs w:val="1"/>
          <w:color w:val="auto"/>
        </w:rPr>
        <w:t>Why did I receive a one-page notice in the mail regarding the internet availability of proxy materials instead of a full set of printed proxy materials?</w:t>
      </w:r>
    </w:p>
    <w:p>
      <w:pPr>
        <w:spacing w:after="0" w:line="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Pursuant to the “notice and access” rules adopted by the SEC, we are making this Proxy Statement and our 2025 Annual Report on Form 10-K (including any amendments thereto) available to our shareholders over the internet. As a result, unless you have previously requested electronic access to our proxy materials or the receipt of paper proxy materials, you will receive a Notice of Internet Availability of Proxy Materials containing instructions on how to access this Proxy Statement and our 2025 Annual Report on Form 10-K (including any amendments thereto) over the internet, how to request a free paper copy of these materials and how to vote via the internet. We will mail the Notice of Internet Availability of Proxy Materials on or about March 11, 2026. The Notice of Internet Availability of Proxy Materials is not a proxy card and cannot be used to vote your shares.</w:t>
      </w:r>
    </w:p>
    <w:p>
      <w:pPr>
        <w:spacing w:after="0" w:line="107" w:lineRule="exact"/>
        <w:rPr>
          <w:sz w:val="20"/>
          <w:szCs w:val="20"/>
          <w:color w:val="auto"/>
        </w:rPr>
      </w:pPr>
    </w:p>
    <w:p>
      <w:pPr>
        <w:ind w:right="380"/>
        <w:spacing w:after="0" w:line="282" w:lineRule="auto"/>
        <w:rPr>
          <w:sz w:val="20"/>
          <w:szCs w:val="20"/>
          <w:color w:val="auto"/>
        </w:rPr>
      </w:pPr>
      <w:r>
        <w:rPr>
          <w:rFonts w:ascii="Arial" w:cs="Arial" w:eastAsia="Arial" w:hAnsi="Arial"/>
          <w:sz w:val="16"/>
          <w:szCs w:val="16"/>
          <w:color w:val="auto"/>
        </w:rPr>
        <w:t>In addition, if you are voting online, you will be prompted to consent to receiving proxy materials electronically in future years. Choosing to receive your future proxy materials electronically will save us the cost of printing and mailing documents to you and will reduce the impact of our annual meetings of shareholders on the environment. If you choose to receive future proxy materials electronically, you will receive an email next year with instructions containing a link to those materials and a link to the proxy voting site. Your election to receive proxy materials electronically will remain in effect until you terminate it. See “How do I sign up for electronic delivery of proxy materials?” below for further information on electing to receive proxy materials electronically.</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difference between holding shares as a “record holder” and as a beneficial owner of shares held in “street name”?</w:t>
      </w:r>
    </w:p>
    <w:p>
      <w:pPr>
        <w:spacing w:after="0" w:line="10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i w:val="1"/>
          <w:iCs w:val="1"/>
          <w:color w:val="auto"/>
        </w:rPr>
        <w:t>Record Holder</w:t>
      </w:r>
      <w:r>
        <w:rPr>
          <w:rFonts w:ascii="Arial" w:cs="Arial" w:eastAsia="Arial" w:hAnsi="Arial"/>
          <w:sz w:val="16"/>
          <w:szCs w:val="16"/>
          <w:color w:val="auto"/>
        </w:rPr>
        <w:t>. If your shares are registered directly in your name with MSCI’s transfer agent, Broadridge Corporate Issuer Solutions, Inc.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“Broadridge”), you are considered a “record holder” with respect to those shares, and the Notice of Internet Availability of Proxy Materials will be sent directly to you.</w:t>
      </w:r>
    </w:p>
    <w:p>
      <w:pPr>
        <w:spacing w:after="0" w:line="9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Beneficial Owner of Shares Held in “Street Name</w:t>
      </w:r>
      <w:r>
        <w:rPr>
          <w:rFonts w:ascii="Arial" w:cs="Arial" w:eastAsia="Arial" w:hAnsi="Arial"/>
          <w:sz w:val="16"/>
          <w:szCs w:val="16"/>
          <w:color w:val="auto"/>
        </w:rPr>
        <w:t>.” If your shares are held in an account with a brokerage firm, bank, broker dealer, or other intermediary,</w:t>
      </w:r>
      <w:r>
        <w:rPr>
          <w:rFonts w:ascii="Arial" w:cs="Arial" w:eastAsia="Arial" w:hAnsi="Arial"/>
          <w:sz w:val="16"/>
          <w:szCs w:val="16"/>
          <w:i w:val="1"/>
          <w:iCs w:val="1"/>
          <w:color w:val="auto"/>
        </w:rPr>
        <w:t xml:space="preserve"> </w:t>
      </w:r>
      <w:r>
        <w:rPr>
          <w:rFonts w:ascii="Arial" w:cs="Arial" w:eastAsia="Arial" w:hAnsi="Arial"/>
          <w:sz w:val="16"/>
          <w:szCs w:val="16"/>
          <w:color w:val="auto"/>
        </w:rPr>
        <w:t>then you are considered a beneficial owner of shares held in “street name,” and the Notice of Internet Availability of Proxy Materials and other proxy materials will be forwarded to you by that intermediary. As a beneficial owner of shares held in “street name,” you have the right to direct that intermediary on how to vote the shares held in your account by following their instructions for voting and using their forms. If you do not provide your brokerage firm, bank, broker dealer or other intermediary with instructions on how to vote your shares, such intermediary or intermediary nominee will be able to vote your shares only with respect to the proposal related to the ratification of the appointment of PricewaterhouseCoopers LLP as our independent auditor for 2026.</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3"/>
          <w:szCs w:val="13"/>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color w:val="auto"/>
        </w:rPr>
        <w:t>Annex A: 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shares?</w:t>
      </w:r>
    </w:p>
    <w:p>
      <w:pPr>
        <w:spacing w:after="0" w:line="10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You may direct your vote by internet, telephone or mail. Your vote must be received by the deadline specified on the proxy card or voting instruction form, as applicable.</w:t>
      </w:r>
    </w:p>
    <w:p>
      <w:pPr>
        <w:spacing w:after="0" w:line="79"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If You are a Beneficial Holder of Shares Held</w:t>
      </w:r>
    </w:p>
    <w:p>
      <w:pPr>
        <w:spacing w:after="0" w:line="35" w:lineRule="exact"/>
        <w:rPr>
          <w:sz w:val="20"/>
          <w:szCs w:val="20"/>
          <w:color w:val="auto"/>
        </w:rPr>
      </w:pPr>
    </w:p>
    <w:p>
      <w:pPr>
        <w:ind w:left="2420"/>
        <w:spacing w:after="0"/>
        <w:tabs>
          <w:tab w:leader="none" w:pos="7120" w:val="left"/>
        </w:tabs>
        <w:rPr>
          <w:sz w:val="20"/>
          <w:szCs w:val="20"/>
          <w:color w:val="auto"/>
        </w:rPr>
      </w:pPr>
      <w:r>
        <w:rPr>
          <w:rFonts w:ascii="Arial" w:cs="Arial" w:eastAsia="Arial" w:hAnsi="Arial"/>
          <w:sz w:val="14"/>
          <w:szCs w:val="14"/>
          <w:b w:val="1"/>
          <w:bCs w:val="1"/>
          <w:color w:val="auto"/>
        </w:rPr>
        <w:t>If You are a Shareholder of Record</w:t>
      </w:r>
      <w:r>
        <w:rPr>
          <w:sz w:val="20"/>
          <w:szCs w:val="20"/>
          <w:color w:val="auto"/>
        </w:rPr>
        <w:tab/>
      </w:r>
      <w:r>
        <w:rPr>
          <w:rFonts w:ascii="Arial" w:cs="Arial" w:eastAsia="Arial" w:hAnsi="Arial"/>
          <w:sz w:val="14"/>
          <w:szCs w:val="14"/>
          <w:b w:val="1"/>
          <w:bCs w:val="1"/>
          <w:color w:val="auto"/>
        </w:rPr>
        <w:t>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83" w:lineRule="exact"/>
        <w:rPr>
          <w:sz w:val="20"/>
          <w:szCs w:val="20"/>
          <w:color w:val="auto"/>
        </w:rPr>
      </w:pPr>
    </w:p>
    <w:p>
      <w:pPr>
        <w:ind w:left="20"/>
        <w:spacing w:after="0" w:line="280" w:lineRule="auto"/>
        <w:rPr>
          <w:sz w:val="20"/>
          <w:szCs w:val="20"/>
          <w:color w:val="auto"/>
        </w:rPr>
      </w:pPr>
      <w:r>
        <w:rPr>
          <w:rFonts w:ascii="Arial" w:cs="Arial" w:eastAsia="Arial" w:hAnsi="Arial"/>
          <w:sz w:val="16"/>
          <w:szCs w:val="16"/>
          <w:color w:val="auto"/>
        </w:rPr>
        <w:t>By Internet Prior to the 2026 Annual Meeting*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(24 hours a day):</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tabs>
          <w:tab w:leader="none" w:pos="4700" w:val="left"/>
        </w:tabs>
        <w:rPr>
          <w:sz w:val="20"/>
          <w:szCs w:val="20"/>
          <w:color w:val="auto"/>
        </w:rPr>
      </w:pPr>
      <w:r>
        <w:rPr>
          <w:rFonts w:ascii="Arial" w:cs="Arial" w:eastAsia="Arial" w:hAnsi="Arial"/>
          <w:sz w:val="16"/>
          <w:szCs w:val="16"/>
          <w:color w:val="1A3FD6"/>
        </w:rPr>
        <w:t>www.proxyvote.com</w:t>
      </w:r>
      <w:r>
        <w:rPr>
          <w:sz w:val="20"/>
          <w:szCs w:val="20"/>
          <w:color w:val="auto"/>
        </w:rPr>
        <w:tab/>
      </w:r>
      <w:r>
        <w:rPr>
          <w:rFonts w:ascii="Arial" w:cs="Arial" w:eastAsia="Arial" w:hAnsi="Arial"/>
          <w:sz w:val="16"/>
          <w:szCs w:val="16"/>
          <w:color w:val="1A3FD6"/>
        </w:rPr>
        <w:t>www.proxyvote.com</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Use the internet to transmit your voting instructions and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electronic delivery of information up until 11:59 P.M. Eastern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Time on April 20, 2026. Have your proxy card in hand when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you access the website and follow the instructions to obtain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38735</wp:posOffset>
            </wp:positionV>
            <wp:extent cx="71323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2060" w:space="360"/>
            <w:col w:w="8820"/>
          </w:cols>
          <w:pgMar w:left="320" w:top="130"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By Internet During the 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Meeting*:</w:t>
      </w:r>
    </w:p>
    <w:p>
      <w:pPr>
        <w:spacing w:after="0" w:line="20" w:lineRule="exact"/>
        <w:rPr>
          <w:sz w:val="20"/>
          <w:szCs w:val="20"/>
          <w:color w:val="auto"/>
        </w:rPr>
      </w:pPr>
      <w:r>
        <w:rPr>
          <w:sz w:val="20"/>
          <w:szCs w:val="20"/>
          <w:color w:val="auto"/>
        </w:rPr>
        <w:br w:type="column"/>
      </w:r>
    </w:p>
    <w:p>
      <w:pPr>
        <w:spacing w:after="0"/>
        <w:tabs>
          <w:tab w:leader="none" w:pos="4700" w:val="left"/>
        </w:tabs>
        <w:rPr>
          <w:sz w:val="20"/>
          <w:szCs w:val="20"/>
          <w:color w:val="auto"/>
        </w:rPr>
      </w:pPr>
      <w:r>
        <w:rPr>
          <w:rFonts w:ascii="Arial" w:cs="Arial" w:eastAsia="Arial" w:hAnsi="Arial"/>
          <w:sz w:val="16"/>
          <w:szCs w:val="16"/>
          <w:color w:val="1A3FD6"/>
        </w:rPr>
        <w:t>www.virtualshareholdermeeting.com/MSCI2026</w:t>
      </w:r>
      <w:r>
        <w:rPr>
          <w:sz w:val="20"/>
          <w:szCs w:val="20"/>
          <w:color w:val="auto"/>
        </w:rPr>
        <w:tab/>
      </w:r>
      <w:r>
        <w:rPr>
          <w:rFonts w:ascii="Arial" w:cs="Arial" w:eastAsia="Arial" w:hAnsi="Arial"/>
          <w:sz w:val="16"/>
          <w:szCs w:val="16"/>
          <w:color w:val="1A3FD6"/>
        </w:rPr>
        <w:t>www.virtualshareholdermeeting.com/MSCI2026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You may attend the meeting via the internet and vote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meeting. Have your proxy card in hand when you access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website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38735</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2000" w:space="420"/>
            <w:col w:w="8820"/>
          </w:cols>
          <w:pgMar w:left="320" w:top="130" w:right="339" w:bottom="1440" w:gutter="0" w:footer="0" w:header="0"/>
          <w:type w:val="continuous"/>
        </w:sectPr>
      </w:pPr>
    </w:p>
    <w:p>
      <w:pPr>
        <w:ind w:left="20" w:right="440"/>
        <w:spacing w:after="0" w:line="321" w:lineRule="auto"/>
        <w:rPr>
          <w:sz w:val="20"/>
          <w:szCs w:val="20"/>
          <w:color w:val="auto"/>
        </w:rPr>
      </w:pPr>
      <w:r>
        <w:rPr>
          <w:rFonts w:ascii="Arial" w:cs="Arial" w:eastAsia="Arial" w:hAnsi="Arial"/>
          <w:sz w:val="16"/>
          <w:szCs w:val="16"/>
          <w:color w:val="auto"/>
        </w:rPr>
        <w:t>By Telephone* (24 hours a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1-800-690-6903</w:t>
      </w:r>
    </w:p>
    <w:p>
      <w:pPr>
        <w:spacing w:after="0" w:line="1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Use any touch-tone telephone to transmit your voting instructions up until 11:59 P.M. Eastern Time on April 20, 2026. Have your proxy card in hand when you call and then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-4445</wp:posOffset>
            </wp:positionV>
            <wp:extent cx="71323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92" w:lineRule="auto"/>
        <w:rPr>
          <w:sz w:val="20"/>
          <w:szCs w:val="20"/>
          <w:color w:val="auto"/>
        </w:rPr>
      </w:pPr>
      <w:r>
        <w:rPr>
          <w:rFonts w:ascii="Arial" w:cs="Arial" w:eastAsia="Arial" w:hAnsi="Arial"/>
          <w:sz w:val="16"/>
          <w:szCs w:val="16"/>
          <w:color w:val="auto"/>
        </w:rPr>
        <w:t>Follow the voting instructions you receive from your brokerage firm, bank, broker dealer or other intermediary.</w:t>
      </w:r>
    </w:p>
    <w:p>
      <w:pPr>
        <w:spacing w:after="0" w:line="516" w:lineRule="exact"/>
        <w:rPr>
          <w:sz w:val="20"/>
          <w:szCs w:val="20"/>
          <w:color w:val="auto"/>
        </w:rPr>
      </w:pPr>
    </w:p>
    <w:p>
      <w:pPr>
        <w:sectPr>
          <w:pgSz w:w="11900" w:h="16838" w:orient="portrait"/>
          <w:cols w:equalWidth="0" w:num="3">
            <w:col w:w="1700" w:space="720"/>
            <w:col w:w="4500" w:space="220"/>
            <w:col w:w="4100"/>
          </w:cols>
          <w:pgMar w:left="320" w:top="130" w:right="339" w:bottom="1440" w:gutter="0" w:footer="0" w:header="0"/>
          <w:type w:val="continuous"/>
        </w:sectPr>
      </w:pPr>
    </w:p>
    <w:p>
      <w:pPr>
        <w:ind w:left="20"/>
        <w:spacing w:after="0"/>
        <w:tabs>
          <w:tab w:leader="none" w:pos="2400" w:val="left"/>
        </w:tabs>
        <w:rPr>
          <w:sz w:val="20"/>
          <w:szCs w:val="20"/>
          <w:color w:val="auto"/>
        </w:rPr>
      </w:pPr>
      <w:r>
        <w:rPr>
          <w:rFonts w:ascii="Arial" w:cs="Arial" w:eastAsia="Arial" w:hAnsi="Arial"/>
          <w:sz w:val="16"/>
          <w:szCs w:val="16"/>
          <w:color w:val="auto"/>
        </w:rPr>
        <w:t>By Mail:</w:t>
      </w:r>
      <w:r>
        <w:rPr>
          <w:sz w:val="20"/>
          <w:szCs w:val="20"/>
          <w:color w:val="auto"/>
        </w:rPr>
        <w:tab/>
      </w:r>
      <w:r>
        <w:rPr>
          <w:rFonts w:ascii="Arial" w:cs="Arial" w:eastAsia="Arial" w:hAnsi="Arial"/>
          <w:sz w:val="16"/>
          <w:szCs w:val="16"/>
          <w:color w:val="auto"/>
        </w:rPr>
        <w:t>You can vote by mail by requesting a paper copy of the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materials, which will include a proxy card. Mark, sign and date</w:t>
      </w:r>
    </w:p>
    <w:p>
      <w:pPr>
        <w:spacing w:after="0" w:line="3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your proxy card and return it in the postage-paid envelope we</w:t>
      </w:r>
    </w:p>
    <w:p>
      <w:pPr>
        <w:spacing w:after="0" w:line="20" w:lineRule="exact"/>
        <w:rPr>
          <w:sz w:val="20"/>
          <w:szCs w:val="20"/>
          <w:color w:val="auto"/>
        </w:rPr>
      </w:pPr>
    </w:p>
    <w:p>
      <w:pPr>
        <w:ind w:left="2420" w:right="60"/>
        <w:spacing w:after="0" w:line="304" w:lineRule="auto"/>
        <w:rPr>
          <w:sz w:val="20"/>
          <w:szCs w:val="20"/>
          <w:color w:val="auto"/>
        </w:rPr>
      </w:pPr>
      <w:r>
        <w:rPr>
          <w:rFonts w:ascii="Arial" w:cs="Arial" w:eastAsia="Arial" w:hAnsi="Arial"/>
          <w:sz w:val="16"/>
          <w:szCs w:val="16"/>
          <w:color w:val="auto"/>
        </w:rPr>
        <w:t>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92" w:lineRule="auto"/>
        <w:rPr>
          <w:sz w:val="20"/>
          <w:szCs w:val="20"/>
          <w:color w:val="auto"/>
        </w:rPr>
      </w:pPr>
      <w:r>
        <w:rPr>
          <w:rFonts w:ascii="Arial" w:cs="Arial" w:eastAsia="Arial" w:hAnsi="Arial"/>
          <w:sz w:val="16"/>
          <w:szCs w:val="16"/>
          <w:color w:val="auto"/>
        </w:rPr>
        <w:t>Follow the voting instructions you receive from your brokerage firm, bank, broker dealer or other intermediary.</w:t>
      </w:r>
    </w:p>
    <w:p>
      <w:pPr>
        <w:spacing w:after="0" w:line="589" w:lineRule="exact"/>
        <w:rPr>
          <w:sz w:val="20"/>
          <w:szCs w:val="20"/>
          <w:color w:val="auto"/>
        </w:rPr>
      </w:pPr>
    </w:p>
    <w:p>
      <w:pPr>
        <w:sectPr>
          <w:pgSz w:w="11900" w:h="16838" w:orient="portrait"/>
          <w:cols w:equalWidth="0" w:num="2">
            <w:col w:w="6860" w:space="280"/>
            <w:col w:w="4100"/>
          </w:cols>
          <w:pgMar w:left="320" w:top="130" w:right="339" w:bottom="1440" w:gutter="0" w:footer="0" w:header="0"/>
          <w:type w:val="continuous"/>
        </w:sectPr>
      </w:pPr>
    </w:p>
    <w:p>
      <w:pPr>
        <w:ind w:left="260" w:right="200" w:hanging="252"/>
        <w:spacing w:after="0" w:line="325" w:lineRule="auto"/>
        <w:tabs>
          <w:tab w:leader="none" w:pos="21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While MSCI and Broadridge do not charge any fees for voting by internet or telephone, there may be related costs from other parties, such as usage charges from internet access providers and telephone companies, for which you are responsible.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Board recommend that I vote and what vote is required for adoption or approval of each matter to be voted 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Proposal No.</w:t>
            </w:r>
          </w:p>
        </w:tc>
        <w:tc>
          <w:tcPr>
            <w:tcW w:w="2360" w:type="dxa"/>
            <w:vAlign w:val="bottom"/>
          </w:tcPr>
          <w:p>
            <w:pPr>
              <w:ind w:left="180"/>
              <w:spacing w:after="0"/>
              <w:rPr>
                <w:sz w:val="20"/>
                <w:szCs w:val="20"/>
                <w:color w:val="auto"/>
              </w:rPr>
            </w:pPr>
            <w:r>
              <w:rPr>
                <w:rFonts w:ascii="Arial" w:cs="Arial" w:eastAsia="Arial" w:hAnsi="Arial"/>
                <w:sz w:val="14"/>
                <w:szCs w:val="14"/>
                <w:b w:val="1"/>
                <w:bCs w:val="1"/>
                <w:color w:val="auto"/>
              </w:rPr>
              <w:t>Proposal</w:t>
            </w:r>
          </w:p>
        </w:tc>
        <w:tc>
          <w:tcPr>
            <w:tcW w:w="4700" w:type="dxa"/>
            <w:vAlign w:val="bottom"/>
          </w:tcPr>
          <w:p>
            <w:pPr>
              <w:ind w:left="820"/>
              <w:spacing w:after="0"/>
              <w:rPr>
                <w:sz w:val="20"/>
                <w:szCs w:val="20"/>
                <w:color w:val="auto"/>
              </w:rPr>
            </w:pPr>
            <w:r>
              <w:rPr>
                <w:rFonts w:ascii="Arial" w:cs="Arial" w:eastAsia="Arial" w:hAnsi="Arial"/>
                <w:sz w:val="14"/>
                <w:szCs w:val="14"/>
                <w:b w:val="1"/>
                <w:bCs w:val="1"/>
                <w:color w:val="auto"/>
              </w:rPr>
              <w:t>Vote Required</w:t>
            </w:r>
          </w:p>
        </w:tc>
        <w:tc>
          <w:tcPr>
            <w:tcW w:w="3080" w:type="dxa"/>
            <w:vAlign w:val="bottom"/>
          </w:tcPr>
          <w:p>
            <w:pPr>
              <w:ind w:left="240"/>
              <w:spacing w:after="0"/>
              <w:rPr>
                <w:sz w:val="20"/>
                <w:szCs w:val="20"/>
                <w:color w:val="auto"/>
              </w:rPr>
            </w:pPr>
            <w:r>
              <w:rPr>
                <w:rFonts w:ascii="Arial" w:cs="Arial" w:eastAsia="Arial" w:hAnsi="Arial"/>
                <w:sz w:val="14"/>
                <w:szCs w:val="14"/>
                <w:b w:val="1"/>
                <w:bCs w:val="1"/>
                <w:color w:val="auto"/>
              </w:rPr>
              <w:t>Directors’ Recommendation</w:t>
            </w:r>
          </w:p>
        </w:tc>
      </w:tr>
      <w:tr>
        <w:trPr>
          <w:trHeight w:val="29"/>
        </w:trPr>
        <w:tc>
          <w:tcPr>
            <w:tcW w:w="1100" w:type="dxa"/>
            <w:vAlign w:val="bottom"/>
            <w:tcBorders>
              <w:bottom w:val="single" w:sz="8" w:color="1A3FD6"/>
            </w:tcBorders>
          </w:tcPr>
          <w:p>
            <w:pPr>
              <w:spacing w:after="0"/>
              <w:rPr>
                <w:sz w:val="2"/>
                <w:szCs w:val="2"/>
                <w:color w:val="auto"/>
              </w:rPr>
            </w:pPr>
          </w:p>
        </w:tc>
        <w:tc>
          <w:tcPr>
            <w:tcW w:w="2360" w:type="dxa"/>
            <w:vAlign w:val="bottom"/>
            <w:tcBorders>
              <w:bottom w:val="single" w:sz="8" w:color="1A3FD6"/>
            </w:tcBorders>
          </w:tcPr>
          <w:p>
            <w:pPr>
              <w:spacing w:after="0"/>
              <w:rPr>
                <w:sz w:val="2"/>
                <w:szCs w:val="2"/>
                <w:color w:val="auto"/>
              </w:rPr>
            </w:pPr>
          </w:p>
        </w:tc>
        <w:tc>
          <w:tcPr>
            <w:tcW w:w="4700" w:type="dxa"/>
            <w:vAlign w:val="bottom"/>
            <w:tcBorders>
              <w:bottom w:val="single" w:sz="8" w:color="1A3FD6"/>
            </w:tcBorders>
          </w:tcPr>
          <w:p>
            <w:pPr>
              <w:spacing w:after="0"/>
              <w:rPr>
                <w:sz w:val="2"/>
                <w:szCs w:val="2"/>
                <w:color w:val="auto"/>
              </w:rPr>
            </w:pPr>
          </w:p>
        </w:tc>
        <w:tc>
          <w:tcPr>
            <w:tcW w:w="3080" w:type="dxa"/>
            <w:vAlign w:val="bottom"/>
            <w:tcBorders>
              <w:bottom w:val="single" w:sz="8" w:color="1A3FD6"/>
            </w:tcBorders>
          </w:tcPr>
          <w:p>
            <w:pPr>
              <w:spacing w:after="0"/>
              <w:rPr>
                <w:sz w:val="2"/>
                <w:szCs w:val="2"/>
                <w:color w:val="auto"/>
              </w:rPr>
            </w:pPr>
          </w:p>
        </w:tc>
      </w:tr>
      <w:tr>
        <w:trPr>
          <w:trHeight w:val="206"/>
        </w:trPr>
        <w:tc>
          <w:tcPr>
            <w:tcW w:w="1100" w:type="dxa"/>
            <w:vAlign w:val="bottom"/>
          </w:tcPr>
          <w:p>
            <w:pPr>
              <w:ind w:left="20"/>
              <w:spacing w:after="0"/>
              <w:rPr>
                <w:sz w:val="20"/>
                <w:szCs w:val="20"/>
                <w:color w:val="auto"/>
              </w:rPr>
            </w:pPr>
            <w:r>
              <w:rPr>
                <w:rFonts w:ascii="Arial" w:cs="Arial" w:eastAsia="Arial" w:hAnsi="Arial"/>
                <w:sz w:val="15"/>
                <w:szCs w:val="15"/>
                <w:color w:val="auto"/>
              </w:rPr>
              <w:t>1</w:t>
            </w:r>
          </w:p>
        </w:tc>
        <w:tc>
          <w:tcPr>
            <w:tcW w:w="2360" w:type="dxa"/>
            <w:vAlign w:val="bottom"/>
          </w:tcPr>
          <w:p>
            <w:pPr>
              <w:ind w:left="180"/>
              <w:spacing w:after="0"/>
              <w:rPr>
                <w:sz w:val="20"/>
                <w:szCs w:val="20"/>
                <w:color w:val="auto"/>
              </w:rPr>
            </w:pPr>
            <w:r>
              <w:rPr>
                <w:rFonts w:ascii="Arial" w:cs="Arial" w:eastAsia="Arial" w:hAnsi="Arial"/>
                <w:sz w:val="15"/>
                <w:szCs w:val="15"/>
                <w:color w:val="auto"/>
              </w:rPr>
              <w:t>Election of Directors</w:t>
            </w:r>
          </w:p>
        </w:tc>
        <w:tc>
          <w:tcPr>
            <w:tcW w:w="4700" w:type="dxa"/>
            <w:vAlign w:val="bottom"/>
          </w:tcPr>
          <w:p>
            <w:pPr>
              <w:ind w:left="820"/>
              <w:spacing w:after="0"/>
              <w:rPr>
                <w:sz w:val="20"/>
                <w:szCs w:val="20"/>
                <w:color w:val="auto"/>
              </w:rPr>
            </w:pPr>
            <w:r>
              <w:rPr>
                <w:rFonts w:ascii="Arial" w:cs="Arial" w:eastAsia="Arial" w:hAnsi="Arial"/>
                <w:sz w:val="15"/>
                <w:szCs w:val="15"/>
                <w:color w:val="auto"/>
              </w:rPr>
              <w:t>Number of votes cast “FOR” exceeds number of votes</w:t>
            </w:r>
          </w:p>
        </w:tc>
        <w:tc>
          <w:tcPr>
            <w:tcW w:w="3080" w:type="dxa"/>
            <w:vAlign w:val="bottom"/>
          </w:tcPr>
          <w:p>
            <w:pPr>
              <w:ind w:left="24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all nominees</w:t>
            </w:r>
          </w:p>
        </w:tc>
      </w:tr>
      <w:tr>
        <w:trPr>
          <w:trHeight w:val="200"/>
        </w:trPr>
        <w:tc>
          <w:tcPr>
            <w:tcW w:w="1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700" w:type="dxa"/>
            <w:vAlign w:val="bottom"/>
          </w:tcPr>
          <w:p>
            <w:pPr>
              <w:ind w:left="820"/>
              <w:spacing w:after="0"/>
              <w:rPr>
                <w:sz w:val="20"/>
                <w:szCs w:val="20"/>
                <w:color w:val="auto"/>
              </w:rPr>
            </w:pPr>
            <w:r>
              <w:rPr>
                <w:rFonts w:ascii="Arial" w:cs="Arial" w:eastAsia="Arial" w:hAnsi="Arial"/>
                <w:sz w:val="15"/>
                <w:szCs w:val="15"/>
                <w:color w:val="auto"/>
              </w:rPr>
              <w:t>cast “AGAINST” for each director</w:t>
            </w:r>
          </w:p>
        </w:tc>
        <w:tc>
          <w:tcPr>
            <w:tcW w:w="30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70" w:lineRule="exact"/>
        <w:rPr>
          <w:sz w:val="20"/>
          <w:szCs w:val="20"/>
          <w:color w:val="auto"/>
        </w:rPr>
      </w:pPr>
    </w:p>
    <w:p>
      <w:pPr>
        <w:ind w:left="1280" w:hanging="1254"/>
        <w:spacing w:after="0" w:line="301" w:lineRule="auto"/>
        <w:tabs>
          <w:tab w:leader="none" w:pos="12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Advisory Vote to Approve Executive Compensation (Say-on-Pay)</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Majority of the total votes cast by holders of shares present through the virtual meeting or represented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-635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500"/>
        <w:spacing w:after="0" w:line="304" w:lineRule="auto"/>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of the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of our NEOs</w:t>
      </w:r>
    </w:p>
    <w:p>
      <w:pPr>
        <w:spacing w:after="0" w:line="224" w:lineRule="exact"/>
        <w:rPr>
          <w:sz w:val="20"/>
          <w:szCs w:val="20"/>
          <w:color w:val="auto"/>
        </w:rPr>
      </w:pPr>
    </w:p>
    <w:p>
      <w:pPr>
        <w:sectPr>
          <w:pgSz w:w="11900" w:h="16838" w:orient="portrait"/>
          <w:cols w:equalWidth="0" w:num="3">
            <w:col w:w="3700" w:space="580"/>
            <w:col w:w="3600" w:space="520"/>
            <w:col w:w="28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760" w:type="dxa"/>
            <w:vAlign w:val="bottom"/>
          </w:tcPr>
          <w:p>
            <w:pPr>
              <w:ind w:left="20"/>
              <w:spacing w:after="0"/>
              <w:rPr>
                <w:sz w:val="20"/>
                <w:szCs w:val="20"/>
                <w:color w:val="auto"/>
              </w:rPr>
            </w:pPr>
            <w:r>
              <w:rPr>
                <w:rFonts w:ascii="Arial" w:cs="Arial" w:eastAsia="Arial" w:hAnsi="Arial"/>
                <w:sz w:val="15"/>
                <w:szCs w:val="15"/>
                <w:color w:val="auto"/>
              </w:rPr>
              <w:t>3</w:t>
            </w:r>
          </w:p>
        </w:tc>
        <w:tc>
          <w:tcPr>
            <w:tcW w:w="3420" w:type="dxa"/>
            <w:vAlign w:val="bottom"/>
          </w:tcPr>
          <w:p>
            <w:pPr>
              <w:ind w:left="520"/>
              <w:spacing w:after="0"/>
              <w:rPr>
                <w:sz w:val="20"/>
                <w:szCs w:val="20"/>
                <w:color w:val="auto"/>
              </w:rPr>
            </w:pPr>
            <w:r>
              <w:rPr>
                <w:rFonts w:ascii="Arial" w:cs="Arial" w:eastAsia="Arial" w:hAnsi="Arial"/>
                <w:sz w:val="15"/>
                <w:szCs w:val="15"/>
                <w:color w:val="auto"/>
              </w:rPr>
              <w:t>Ratification of the Appointment of MSCI’s</w:t>
            </w:r>
          </w:p>
        </w:tc>
        <w:tc>
          <w:tcPr>
            <w:tcW w:w="4160" w:type="dxa"/>
            <w:vAlign w:val="bottom"/>
          </w:tcPr>
          <w:p>
            <w:pPr>
              <w:ind w:left="100"/>
              <w:spacing w:after="0"/>
              <w:rPr>
                <w:sz w:val="20"/>
                <w:szCs w:val="20"/>
                <w:color w:val="auto"/>
              </w:rPr>
            </w:pPr>
            <w:r>
              <w:rPr>
                <w:rFonts w:ascii="Arial" w:cs="Arial" w:eastAsia="Arial" w:hAnsi="Arial"/>
                <w:sz w:val="15"/>
                <w:szCs w:val="15"/>
                <w:color w:val="auto"/>
              </w:rPr>
              <w:t>Majority of the total votes cast by holders of shares present</w:t>
            </w:r>
          </w:p>
        </w:tc>
        <w:tc>
          <w:tcPr>
            <w:tcW w:w="2900" w:type="dxa"/>
            <w:vAlign w:val="bottom"/>
          </w:tcPr>
          <w:p>
            <w:pPr>
              <w:ind w:left="6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the appointment of</w:t>
            </w:r>
          </w:p>
        </w:tc>
      </w:tr>
      <w:tr>
        <w:trPr>
          <w:trHeight w:val="200"/>
        </w:trPr>
        <w:tc>
          <w:tcPr>
            <w:tcW w:w="760" w:type="dxa"/>
            <w:vAlign w:val="bottom"/>
          </w:tcPr>
          <w:p>
            <w:pPr>
              <w:spacing w:after="0"/>
              <w:rPr>
                <w:sz w:val="17"/>
                <w:szCs w:val="17"/>
                <w:color w:val="auto"/>
              </w:rPr>
            </w:pPr>
          </w:p>
        </w:tc>
        <w:tc>
          <w:tcPr>
            <w:tcW w:w="3420" w:type="dxa"/>
            <w:vAlign w:val="bottom"/>
          </w:tcPr>
          <w:p>
            <w:pPr>
              <w:ind w:left="520"/>
              <w:spacing w:after="0"/>
              <w:rPr>
                <w:sz w:val="20"/>
                <w:szCs w:val="20"/>
                <w:color w:val="auto"/>
              </w:rPr>
            </w:pPr>
            <w:r>
              <w:rPr>
                <w:rFonts w:ascii="Arial" w:cs="Arial" w:eastAsia="Arial" w:hAnsi="Arial"/>
                <w:sz w:val="15"/>
                <w:szCs w:val="15"/>
                <w:color w:val="auto"/>
              </w:rPr>
              <w:t>Independent Auditor</w:t>
            </w:r>
          </w:p>
        </w:tc>
        <w:tc>
          <w:tcPr>
            <w:tcW w:w="4160" w:type="dxa"/>
            <w:vAlign w:val="bottom"/>
          </w:tcPr>
          <w:p>
            <w:pPr>
              <w:ind w:left="100"/>
              <w:spacing w:after="0"/>
              <w:rPr>
                <w:sz w:val="20"/>
                <w:szCs w:val="20"/>
                <w:color w:val="auto"/>
              </w:rPr>
            </w:pPr>
            <w:r>
              <w:rPr>
                <w:rFonts w:ascii="Arial" w:cs="Arial" w:eastAsia="Arial" w:hAnsi="Arial"/>
                <w:sz w:val="15"/>
                <w:szCs w:val="15"/>
                <w:color w:val="auto"/>
              </w:rPr>
              <w:t>through the virtual meeting or represented by proxy</w:t>
            </w:r>
          </w:p>
        </w:tc>
        <w:tc>
          <w:tcPr>
            <w:tcW w:w="2900" w:type="dxa"/>
            <w:vAlign w:val="bottom"/>
          </w:tcPr>
          <w:p>
            <w:pPr>
              <w:ind w:left="60"/>
              <w:spacing w:after="0"/>
              <w:rPr>
                <w:sz w:val="20"/>
                <w:szCs w:val="20"/>
                <w:color w:val="auto"/>
              </w:rPr>
            </w:pPr>
            <w:r>
              <w:rPr>
                <w:rFonts w:ascii="Arial" w:cs="Arial" w:eastAsia="Arial" w:hAnsi="Arial"/>
                <w:sz w:val="15"/>
                <w:szCs w:val="15"/>
                <w:color w:val="auto"/>
              </w:rPr>
              <w:t>PricewaterhouseCoopers LLP</w:t>
            </w:r>
          </w:p>
        </w:tc>
      </w:tr>
      <w:tr>
        <w:trPr>
          <w:trHeight w:val="33"/>
        </w:trPr>
        <w:tc>
          <w:tcPr>
            <w:tcW w:w="760" w:type="dxa"/>
            <w:vAlign w:val="bottom"/>
            <w:tcBorders>
              <w:bottom w:val="single" w:sz="8" w:color="1A3FD6"/>
            </w:tcBorders>
          </w:tcPr>
          <w:p>
            <w:pPr>
              <w:spacing w:after="0"/>
              <w:rPr>
                <w:sz w:val="2"/>
                <w:szCs w:val="2"/>
                <w:color w:val="auto"/>
              </w:rPr>
            </w:pPr>
          </w:p>
        </w:tc>
        <w:tc>
          <w:tcPr>
            <w:tcW w:w="3420" w:type="dxa"/>
            <w:vAlign w:val="bottom"/>
            <w:tcBorders>
              <w:bottom w:val="single" w:sz="8" w:color="1A3FD6"/>
            </w:tcBorders>
          </w:tcPr>
          <w:p>
            <w:pPr>
              <w:spacing w:after="0"/>
              <w:rPr>
                <w:sz w:val="2"/>
                <w:szCs w:val="2"/>
                <w:color w:val="auto"/>
              </w:rPr>
            </w:pPr>
          </w:p>
        </w:tc>
        <w:tc>
          <w:tcPr>
            <w:tcW w:w="4160" w:type="dxa"/>
            <w:vAlign w:val="bottom"/>
            <w:tcBorders>
              <w:bottom w:val="single" w:sz="8" w:color="1A3FD6"/>
            </w:tcBorders>
          </w:tcPr>
          <w:p>
            <w:pPr>
              <w:spacing w:after="0"/>
              <w:rPr>
                <w:sz w:val="2"/>
                <w:szCs w:val="2"/>
                <w:color w:val="auto"/>
              </w:rPr>
            </w:pPr>
          </w:p>
        </w:tc>
        <w:tc>
          <w:tcPr>
            <w:tcW w:w="2900" w:type="dxa"/>
            <w:vAlign w:val="bottom"/>
            <w:tcBorders>
              <w:bottom w:val="single" w:sz="8" w:color="1A3FD6"/>
            </w:tcBorders>
          </w:tcPr>
          <w:p>
            <w:pPr>
              <w:spacing w:after="0"/>
              <w:rPr>
                <w:sz w:val="2"/>
                <w:szCs w:val="2"/>
                <w:color w:val="auto"/>
              </w:rPr>
            </w:pPr>
          </w:p>
        </w:tc>
      </w:tr>
      <w:tr>
        <w:trPr>
          <w:trHeight w:val="869"/>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116</w:t>
            </w:r>
          </w:p>
        </w:tc>
        <w:tc>
          <w:tcPr>
            <w:tcW w:w="3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41"/>
        </w:trPr>
        <w:tc>
          <w:tcPr>
            <w:tcW w:w="7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-454025</wp:posOffset>
            </wp:positionV>
            <wp:extent cx="556895" cy="146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4"/>
          <w:szCs w:val="14"/>
          <w:color w:val="auto"/>
        </w:rPr>
        <w:t>Annex A: 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will my shares be voted if I do not give specific voting instructions and what are broker non-votes?</w:t>
      </w:r>
    </w:p>
    <w:p>
      <w:pPr>
        <w:spacing w:after="0" w:line="10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i w:val="1"/>
          <w:iCs w:val="1"/>
          <w:color w:val="auto"/>
        </w:rPr>
        <w:t>Record Holders</w:t>
      </w:r>
      <w:r>
        <w:rPr>
          <w:rFonts w:ascii="Arial" w:cs="Arial" w:eastAsia="Arial" w:hAnsi="Arial"/>
          <w:sz w:val="16"/>
          <w:szCs w:val="16"/>
          <w:color w:val="auto"/>
        </w:rPr>
        <w:t>. If you indicate that you wish to vote as recommended by our Board or if you sign, date and return a proxy card but do not give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instructions, then the proxy holders will vote your shares in the manner recommended by our Board on all matters presented in this Proxy Statement (e.g., “FOR” for Proposal No. 1, No. 2 and No. 3) and in their discretion regarding any other matters properly presented for a vote at our 2026 Annual Meeting. As of the date of this Proxy Statement, we did not know of any proposals or matters to be raised at the 2026 Annual Meeting other than those presented in this Proxy Statement.</w:t>
      </w:r>
    </w:p>
    <w:p>
      <w:pPr>
        <w:spacing w:after="0" w:line="121"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i w:val="1"/>
          <w:iCs w:val="1"/>
          <w:color w:val="auto"/>
        </w:rPr>
        <w:t xml:space="preserve">Beneficial Owners of Shares Held in “Street Name.” </w:t>
      </w:r>
      <w:r>
        <w:rPr>
          <w:rFonts w:ascii="Arial" w:cs="Arial" w:eastAsia="Arial" w:hAnsi="Arial"/>
          <w:sz w:val="16"/>
          <w:szCs w:val="16"/>
          <w:color w:val="auto"/>
        </w:rPr>
        <w:t>Broker non-votes occur when your brokerage firm, bank, broker dealer or other intermediary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specific voting instructions from you with respect to shares held in “street name” and the broker does not have discretionary voting authority with respect to a proposal. If you are the beneficial owner of shares held in “street name” and you do not give instructions as to how to vote, your broker may have authority to vote your shares only on discretionary items but not on non-discretionary items, as determined by the NYSE.</w:t>
      </w:r>
    </w:p>
    <w:p>
      <w:pPr>
        <w:spacing w:after="0" w:line="118" w:lineRule="exact"/>
        <w:rPr>
          <w:sz w:val="20"/>
          <w:szCs w:val="20"/>
          <w:color w:val="auto"/>
        </w:rPr>
      </w:pPr>
    </w:p>
    <w:p>
      <w:pPr>
        <w:ind w:left="200" w:right="160" w:hanging="192"/>
        <w:spacing w:after="0" w:line="304" w:lineRule="auto"/>
        <w:tabs>
          <w:tab w:leader="none" w:pos="157" w:val="left"/>
        </w:tabs>
        <w:numPr>
          <w:ilvl w:val="0"/>
          <w:numId w:val="128"/>
        </w:numPr>
        <w:rPr>
          <w:rFonts w:ascii="Arial" w:cs="Arial" w:eastAsia="Arial" w:hAnsi="Arial"/>
          <w:sz w:val="16"/>
          <w:szCs w:val="16"/>
          <w:color w:val="00A798"/>
        </w:rPr>
      </w:pPr>
      <w:r>
        <w:rPr>
          <w:rFonts w:ascii="Arial" w:cs="Arial" w:eastAsia="Arial" w:hAnsi="Arial"/>
          <w:sz w:val="16"/>
          <w:szCs w:val="16"/>
          <w:b w:val="1"/>
          <w:bCs w:val="1"/>
          <w:color w:val="auto"/>
        </w:rPr>
        <w:t xml:space="preserve">Non-discretionary items. </w:t>
      </w:r>
      <w:r>
        <w:rPr>
          <w:rFonts w:ascii="Arial" w:cs="Arial" w:eastAsia="Arial" w:hAnsi="Arial"/>
          <w:sz w:val="16"/>
          <w:szCs w:val="16"/>
          <w:color w:val="auto"/>
        </w:rPr>
        <w:t>The following proposals are considered “non-discretionary” items: Proposal No. 1—election of directors and Proposal No. 2—</w:t>
      </w:r>
      <w:r>
        <w:rPr>
          <w:rFonts w:ascii="Arial" w:cs="Arial" w:eastAsia="Arial" w:hAnsi="Arial"/>
          <w:sz w:val="16"/>
          <w:szCs w:val="16"/>
          <w:b w:val="1"/>
          <w:bCs w:val="1"/>
          <w:color w:val="auto"/>
        </w:rPr>
        <w:t xml:space="preserve"> </w:t>
      </w:r>
      <w:r>
        <w:rPr>
          <w:rFonts w:ascii="Arial" w:cs="Arial" w:eastAsia="Arial" w:hAnsi="Arial"/>
          <w:sz w:val="16"/>
          <w:szCs w:val="16"/>
          <w:color w:val="auto"/>
        </w:rPr>
        <w:t>approve, by non-binding vote, our executive compensation.</w:t>
      </w:r>
    </w:p>
    <w:p>
      <w:pPr>
        <w:spacing w:after="0" w:line="19" w:lineRule="exact"/>
        <w:rPr>
          <w:rFonts w:ascii="Arial" w:cs="Arial" w:eastAsia="Arial" w:hAnsi="Arial"/>
          <w:sz w:val="16"/>
          <w:szCs w:val="16"/>
          <w:color w:val="00A798"/>
        </w:rPr>
      </w:pPr>
    </w:p>
    <w:p>
      <w:pPr>
        <w:ind w:left="200" w:right="60" w:hanging="192"/>
        <w:spacing w:after="0" w:line="292" w:lineRule="auto"/>
        <w:tabs>
          <w:tab w:leader="none" w:pos="157" w:val="left"/>
        </w:tabs>
        <w:numPr>
          <w:ilvl w:val="0"/>
          <w:numId w:val="128"/>
        </w:numPr>
        <w:rPr>
          <w:rFonts w:ascii="Arial" w:cs="Arial" w:eastAsia="Arial" w:hAnsi="Arial"/>
          <w:sz w:val="16"/>
          <w:szCs w:val="16"/>
          <w:color w:val="00A798"/>
        </w:rPr>
      </w:pPr>
      <w:r>
        <w:rPr>
          <w:rFonts w:ascii="Arial" w:cs="Arial" w:eastAsia="Arial" w:hAnsi="Arial"/>
          <w:sz w:val="16"/>
          <w:szCs w:val="16"/>
          <w:b w:val="1"/>
          <w:bCs w:val="1"/>
          <w:color w:val="auto"/>
        </w:rPr>
        <w:t xml:space="preserve">Discretionary item. </w:t>
      </w:r>
      <w:r>
        <w:rPr>
          <w:rFonts w:ascii="Arial" w:cs="Arial" w:eastAsia="Arial" w:hAnsi="Arial"/>
          <w:sz w:val="16"/>
          <w:szCs w:val="16"/>
          <w:color w:val="auto"/>
        </w:rPr>
        <w:t>Proposal No. 3—the ratification of the appointment of PricewaterhouseCoopers LLP as the Company’s independent auditor for 2026</w:t>
      </w:r>
      <w:r>
        <w:rPr>
          <w:rFonts w:ascii="Arial" w:cs="Arial" w:eastAsia="Arial" w:hAnsi="Arial"/>
          <w:sz w:val="16"/>
          <w:szCs w:val="16"/>
          <w:b w:val="1"/>
          <w:bCs w:val="1"/>
          <w:color w:val="auto"/>
        </w:rPr>
        <w:t xml:space="preserve"> </w:t>
      </w:r>
      <w:r>
        <w:rPr>
          <w:rFonts w:ascii="Arial" w:cs="Arial" w:eastAsia="Arial" w:hAnsi="Arial"/>
          <w:sz w:val="16"/>
          <w:szCs w:val="16"/>
          <w:color w:val="auto"/>
        </w:rPr>
        <w:t>is a “discretionary” item. NYSE member brokers that do not receive voting instructions from beneficial owners of shares held in “street name” may vote on this proposal in their discretion, subject to any voting policies adopted by the broker holding your shares.</w:t>
      </w:r>
    </w:p>
    <w:p>
      <w:pPr>
        <w:spacing w:after="0" w:line="11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Broker non-votes are counted as present for purposes of determining the presence or absence of a quorum for the transaction of business. However, broker non-votes are not counted for purposes of Proposal Nos. 1, 2 and 3 and will therefore have no effect on the outcome of these proposals. Therefore, if you hold your shares in an account with a brokerage firm, bank, a broker dealer or other intermediary, it is critically important that you submit your voting instructions if you want your shares to count for the non-discretionary items listed above.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abstentions treated?</w:t>
      </w:r>
    </w:p>
    <w:p>
      <w:pPr>
        <w:spacing w:after="0" w:line="100"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Abstentions are also counted as present for purposes of determining the presence or absence of a quorum for the transaction of business. Abstentions have no effect on the determination of whether a nominee or any of the proposals have received the vote of a majority of all votes cast.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my choices for casting my vote on each matter to be voted 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20" w:type="dxa"/>
            <w:vAlign w:val="bottom"/>
          </w:tcPr>
          <w:p>
            <w:pPr>
              <w:ind w:left="20"/>
              <w:spacing w:after="0"/>
              <w:rPr>
                <w:sz w:val="20"/>
                <w:szCs w:val="20"/>
                <w:color w:val="auto"/>
              </w:rPr>
            </w:pPr>
            <w:r>
              <w:rPr>
                <w:rFonts w:ascii="Arial" w:cs="Arial" w:eastAsia="Arial" w:hAnsi="Arial"/>
                <w:sz w:val="14"/>
                <w:szCs w:val="14"/>
                <w:b w:val="1"/>
                <w:bCs w:val="1"/>
                <w:color w:val="auto"/>
              </w:rPr>
              <w:t>Proposal No.</w:t>
            </w:r>
          </w:p>
        </w:tc>
        <w:tc>
          <w:tcPr>
            <w:tcW w:w="2920" w:type="dxa"/>
            <w:vAlign w:val="bottom"/>
          </w:tcPr>
          <w:p>
            <w:pPr>
              <w:ind w:left="200"/>
              <w:spacing w:after="0"/>
              <w:rPr>
                <w:sz w:val="20"/>
                <w:szCs w:val="20"/>
                <w:color w:val="auto"/>
              </w:rPr>
            </w:pPr>
            <w:r>
              <w:rPr>
                <w:rFonts w:ascii="Arial" w:cs="Arial" w:eastAsia="Arial" w:hAnsi="Arial"/>
                <w:sz w:val="14"/>
                <w:szCs w:val="14"/>
                <w:b w:val="1"/>
                <w:bCs w:val="1"/>
                <w:color w:val="auto"/>
              </w:rPr>
              <w:t>Proposal</w:t>
            </w:r>
          </w:p>
        </w:tc>
        <w:tc>
          <w:tcPr>
            <w:tcW w:w="3200" w:type="dxa"/>
            <w:vAlign w:val="bottom"/>
          </w:tcPr>
          <w:p>
            <w:pPr>
              <w:ind w:left="140"/>
              <w:spacing w:after="0"/>
              <w:rPr>
                <w:sz w:val="20"/>
                <w:szCs w:val="20"/>
                <w:color w:val="auto"/>
              </w:rPr>
            </w:pPr>
            <w:r>
              <w:rPr>
                <w:rFonts w:ascii="Arial" w:cs="Arial" w:eastAsia="Arial" w:hAnsi="Arial"/>
                <w:sz w:val="14"/>
                <w:szCs w:val="14"/>
                <w:b w:val="1"/>
                <w:bCs w:val="1"/>
                <w:color w:val="auto"/>
              </w:rPr>
              <w:t>Voting Options</w:t>
            </w:r>
          </w:p>
        </w:tc>
        <w:tc>
          <w:tcPr>
            <w:tcW w:w="4000" w:type="dxa"/>
            <w:vAlign w:val="bottom"/>
          </w:tcPr>
          <w:p>
            <w:pPr>
              <w:ind w:left="980"/>
              <w:spacing w:after="0"/>
              <w:rPr>
                <w:sz w:val="20"/>
                <w:szCs w:val="20"/>
                <w:color w:val="auto"/>
              </w:rPr>
            </w:pPr>
            <w:r>
              <w:rPr>
                <w:rFonts w:ascii="Arial" w:cs="Arial" w:eastAsia="Arial" w:hAnsi="Arial"/>
                <w:sz w:val="14"/>
                <w:szCs w:val="14"/>
                <w:b w:val="1"/>
                <w:bCs w:val="1"/>
                <w:color w:val="auto"/>
              </w:rPr>
              <w:t>Effect of Abstentions</w:t>
            </w:r>
          </w:p>
        </w:tc>
      </w:tr>
      <w:tr>
        <w:trPr>
          <w:trHeight w:val="29"/>
        </w:trPr>
        <w:tc>
          <w:tcPr>
            <w:tcW w:w="1120" w:type="dxa"/>
            <w:vAlign w:val="bottom"/>
            <w:tcBorders>
              <w:bottom w:val="single" w:sz="8" w:color="1A3FD6"/>
            </w:tcBorders>
          </w:tcPr>
          <w:p>
            <w:pPr>
              <w:spacing w:after="0"/>
              <w:rPr>
                <w:sz w:val="2"/>
                <w:szCs w:val="2"/>
                <w:color w:val="auto"/>
              </w:rPr>
            </w:pPr>
          </w:p>
        </w:tc>
        <w:tc>
          <w:tcPr>
            <w:tcW w:w="2920" w:type="dxa"/>
            <w:vAlign w:val="bottom"/>
            <w:tcBorders>
              <w:bottom w:val="single" w:sz="8" w:color="1A3FD6"/>
            </w:tcBorders>
          </w:tcPr>
          <w:p>
            <w:pPr>
              <w:spacing w:after="0"/>
              <w:rPr>
                <w:sz w:val="2"/>
                <w:szCs w:val="2"/>
                <w:color w:val="auto"/>
              </w:rPr>
            </w:pPr>
          </w:p>
        </w:tc>
        <w:tc>
          <w:tcPr>
            <w:tcW w:w="3200" w:type="dxa"/>
            <w:vAlign w:val="bottom"/>
            <w:tcBorders>
              <w:bottom w:val="single" w:sz="8" w:color="1A3FD6"/>
            </w:tcBorders>
          </w:tcPr>
          <w:p>
            <w:pPr>
              <w:spacing w:after="0"/>
              <w:rPr>
                <w:sz w:val="2"/>
                <w:szCs w:val="2"/>
                <w:color w:val="auto"/>
              </w:rPr>
            </w:pPr>
          </w:p>
        </w:tc>
        <w:tc>
          <w:tcPr>
            <w:tcW w:w="4000" w:type="dxa"/>
            <w:vAlign w:val="bottom"/>
            <w:tcBorders>
              <w:bottom w:val="single" w:sz="8" w:color="1A3FD6"/>
            </w:tcBorders>
          </w:tcPr>
          <w:p>
            <w:pPr>
              <w:spacing w:after="0"/>
              <w:rPr>
                <w:sz w:val="2"/>
                <w:szCs w:val="2"/>
                <w:color w:val="auto"/>
              </w:rPr>
            </w:pPr>
          </w:p>
        </w:tc>
      </w:tr>
      <w:tr>
        <w:trPr>
          <w:trHeight w:val="221"/>
        </w:trPr>
        <w:tc>
          <w:tcPr>
            <w:tcW w:w="1120" w:type="dxa"/>
            <w:vAlign w:val="bottom"/>
          </w:tcPr>
          <w:p>
            <w:pPr>
              <w:ind w:left="20"/>
              <w:spacing w:after="0"/>
              <w:rPr>
                <w:sz w:val="20"/>
                <w:szCs w:val="20"/>
                <w:color w:val="auto"/>
              </w:rPr>
            </w:pPr>
            <w:r>
              <w:rPr>
                <w:rFonts w:ascii="Arial" w:cs="Arial" w:eastAsia="Arial" w:hAnsi="Arial"/>
                <w:sz w:val="16"/>
                <w:szCs w:val="16"/>
                <w:color w:val="auto"/>
              </w:rPr>
              <w:t>1</w:t>
            </w:r>
          </w:p>
        </w:tc>
        <w:tc>
          <w:tcPr>
            <w:tcW w:w="2920" w:type="dxa"/>
            <w:vAlign w:val="bottom"/>
          </w:tcPr>
          <w:p>
            <w:pPr>
              <w:ind w:left="200"/>
              <w:spacing w:after="0"/>
              <w:rPr>
                <w:sz w:val="20"/>
                <w:szCs w:val="20"/>
                <w:color w:val="auto"/>
              </w:rPr>
            </w:pPr>
            <w:r>
              <w:rPr>
                <w:rFonts w:ascii="Arial" w:cs="Arial" w:eastAsia="Arial" w:hAnsi="Arial"/>
                <w:sz w:val="16"/>
                <w:szCs w:val="16"/>
                <w:color w:val="auto"/>
              </w:rPr>
              <w:t>Election of Directors</w:t>
            </w:r>
          </w:p>
        </w:tc>
        <w:tc>
          <w:tcPr>
            <w:tcW w:w="3200" w:type="dxa"/>
            <w:vAlign w:val="bottom"/>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216"/>
        </w:trPr>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6"/>
                <w:szCs w:val="16"/>
                <w:color w:val="auto"/>
              </w:rPr>
              <w:t>(for each director nominee)</w:t>
            </w:r>
          </w:p>
        </w:tc>
        <w:tc>
          <w:tcPr>
            <w:tcW w:w="4000" w:type="dxa"/>
            <w:vAlign w:val="bottom"/>
          </w:tcPr>
          <w:p>
            <w:pPr>
              <w:spacing w:after="0"/>
              <w:rPr>
                <w:sz w:val="18"/>
                <w:szCs w:val="18"/>
                <w:color w:val="auto"/>
              </w:rPr>
            </w:pPr>
          </w:p>
        </w:tc>
      </w:tr>
      <w:tr>
        <w:trPr>
          <w:trHeight w:val="29"/>
        </w:trPr>
        <w:tc>
          <w:tcPr>
            <w:tcW w:w="1120" w:type="dxa"/>
            <w:vAlign w:val="bottom"/>
            <w:tcBorders>
              <w:bottom w:val="single" w:sz="8" w:color="E6E7E8"/>
            </w:tcBorders>
          </w:tcPr>
          <w:p>
            <w:pPr>
              <w:spacing w:after="0"/>
              <w:rPr>
                <w:sz w:val="2"/>
                <w:szCs w:val="2"/>
                <w:color w:val="auto"/>
              </w:rPr>
            </w:pPr>
          </w:p>
        </w:tc>
        <w:tc>
          <w:tcPr>
            <w:tcW w:w="2920" w:type="dxa"/>
            <w:vAlign w:val="bottom"/>
            <w:tcBorders>
              <w:bottom w:val="single" w:sz="8" w:color="E6E7E8"/>
            </w:tcBorders>
          </w:tcPr>
          <w:p>
            <w:pPr>
              <w:spacing w:after="0"/>
              <w:rPr>
                <w:sz w:val="2"/>
                <w:szCs w:val="2"/>
                <w:color w:val="auto"/>
              </w:rPr>
            </w:pPr>
          </w:p>
        </w:tc>
        <w:tc>
          <w:tcPr>
            <w:tcW w:w="3200" w:type="dxa"/>
            <w:vAlign w:val="bottom"/>
            <w:tcBorders>
              <w:bottom w:val="single" w:sz="8" w:color="E6E7E8"/>
            </w:tcBorders>
          </w:tcPr>
          <w:p>
            <w:pPr>
              <w:spacing w:after="0"/>
              <w:rPr>
                <w:sz w:val="2"/>
                <w:szCs w:val="2"/>
                <w:color w:val="auto"/>
              </w:rPr>
            </w:pPr>
          </w:p>
        </w:tc>
        <w:tc>
          <w:tcPr>
            <w:tcW w:w="4000" w:type="dxa"/>
            <w:vAlign w:val="bottom"/>
            <w:tcBorders>
              <w:bottom w:val="single" w:sz="8" w:color="E6E7E8"/>
            </w:tcBorders>
          </w:tcPr>
          <w:p>
            <w:pPr>
              <w:spacing w:after="0"/>
              <w:rPr>
                <w:sz w:val="2"/>
                <w:szCs w:val="2"/>
                <w:color w:val="auto"/>
              </w:rPr>
            </w:pPr>
          </w:p>
        </w:tc>
      </w:tr>
      <w:tr>
        <w:trPr>
          <w:trHeight w:val="221"/>
        </w:trPr>
        <w:tc>
          <w:tcPr>
            <w:tcW w:w="1120" w:type="dxa"/>
            <w:vAlign w:val="bottom"/>
          </w:tcPr>
          <w:p>
            <w:pPr>
              <w:ind w:left="20"/>
              <w:spacing w:after="0"/>
              <w:rPr>
                <w:sz w:val="20"/>
                <w:szCs w:val="20"/>
                <w:color w:val="auto"/>
              </w:rPr>
            </w:pPr>
            <w:r>
              <w:rPr>
                <w:rFonts w:ascii="Arial" w:cs="Arial" w:eastAsia="Arial" w:hAnsi="Arial"/>
                <w:sz w:val="16"/>
                <w:szCs w:val="16"/>
                <w:color w:val="auto"/>
              </w:rPr>
              <w:t>2</w:t>
            </w:r>
          </w:p>
        </w:tc>
        <w:tc>
          <w:tcPr>
            <w:tcW w:w="2920" w:type="dxa"/>
            <w:vAlign w:val="bottom"/>
          </w:tcPr>
          <w:p>
            <w:pPr>
              <w:ind w:left="200"/>
              <w:spacing w:after="0"/>
              <w:rPr>
                <w:sz w:val="20"/>
                <w:szCs w:val="20"/>
                <w:color w:val="auto"/>
              </w:rPr>
            </w:pPr>
            <w:r>
              <w:rPr>
                <w:rFonts w:ascii="Arial" w:cs="Arial" w:eastAsia="Arial" w:hAnsi="Arial"/>
                <w:sz w:val="16"/>
                <w:szCs w:val="16"/>
                <w:color w:val="auto"/>
              </w:rPr>
              <w:t>Advisory Vote to Approve Executive</w:t>
            </w:r>
          </w:p>
        </w:tc>
        <w:tc>
          <w:tcPr>
            <w:tcW w:w="3200" w:type="dxa"/>
            <w:vAlign w:val="bottom"/>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216"/>
        </w:trPr>
        <w:tc>
          <w:tcPr>
            <w:tcW w:w="11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Compensation (Say-on-Pay)</w:t>
            </w:r>
          </w:p>
        </w:tc>
        <w:tc>
          <w:tcPr>
            <w:tcW w:w="32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9"/>
        </w:trPr>
        <w:tc>
          <w:tcPr>
            <w:tcW w:w="1120" w:type="dxa"/>
            <w:vAlign w:val="bottom"/>
            <w:tcBorders>
              <w:bottom w:val="single" w:sz="8" w:color="E6E7E8"/>
            </w:tcBorders>
          </w:tcPr>
          <w:p>
            <w:pPr>
              <w:spacing w:after="0"/>
              <w:rPr>
                <w:sz w:val="2"/>
                <w:szCs w:val="2"/>
                <w:color w:val="auto"/>
              </w:rPr>
            </w:pPr>
          </w:p>
        </w:tc>
        <w:tc>
          <w:tcPr>
            <w:tcW w:w="2920" w:type="dxa"/>
            <w:vAlign w:val="bottom"/>
            <w:tcBorders>
              <w:bottom w:val="single" w:sz="8" w:color="E6E7E8"/>
            </w:tcBorders>
          </w:tcPr>
          <w:p>
            <w:pPr>
              <w:spacing w:after="0"/>
              <w:rPr>
                <w:sz w:val="2"/>
                <w:szCs w:val="2"/>
                <w:color w:val="auto"/>
              </w:rPr>
            </w:pPr>
          </w:p>
        </w:tc>
        <w:tc>
          <w:tcPr>
            <w:tcW w:w="3200" w:type="dxa"/>
            <w:vAlign w:val="bottom"/>
            <w:tcBorders>
              <w:bottom w:val="single" w:sz="8" w:color="E6E7E8"/>
            </w:tcBorders>
          </w:tcPr>
          <w:p>
            <w:pPr>
              <w:spacing w:after="0"/>
              <w:rPr>
                <w:sz w:val="2"/>
                <w:szCs w:val="2"/>
                <w:color w:val="auto"/>
              </w:rPr>
            </w:pPr>
          </w:p>
        </w:tc>
        <w:tc>
          <w:tcPr>
            <w:tcW w:w="4000" w:type="dxa"/>
            <w:vAlign w:val="bottom"/>
            <w:tcBorders>
              <w:bottom w:val="single" w:sz="8" w:color="E6E7E8"/>
            </w:tcBorders>
          </w:tcPr>
          <w:p>
            <w:pPr>
              <w:spacing w:after="0"/>
              <w:rPr>
                <w:sz w:val="2"/>
                <w:szCs w:val="2"/>
                <w:color w:val="auto"/>
              </w:rPr>
            </w:pPr>
          </w:p>
        </w:tc>
      </w:tr>
      <w:tr>
        <w:trPr>
          <w:trHeight w:val="221"/>
        </w:trPr>
        <w:tc>
          <w:tcPr>
            <w:tcW w:w="1120" w:type="dxa"/>
            <w:vAlign w:val="bottom"/>
          </w:tcPr>
          <w:p>
            <w:pPr>
              <w:ind w:left="20"/>
              <w:spacing w:after="0"/>
              <w:rPr>
                <w:sz w:val="20"/>
                <w:szCs w:val="20"/>
                <w:color w:val="auto"/>
              </w:rPr>
            </w:pPr>
            <w:r>
              <w:rPr>
                <w:rFonts w:ascii="Arial" w:cs="Arial" w:eastAsia="Arial" w:hAnsi="Arial"/>
                <w:sz w:val="16"/>
                <w:szCs w:val="16"/>
                <w:color w:val="auto"/>
              </w:rPr>
              <w:t>3</w:t>
            </w:r>
          </w:p>
        </w:tc>
        <w:tc>
          <w:tcPr>
            <w:tcW w:w="2920" w:type="dxa"/>
            <w:vAlign w:val="bottom"/>
          </w:tcPr>
          <w:p>
            <w:pPr>
              <w:ind w:left="200"/>
              <w:spacing w:after="0"/>
              <w:rPr>
                <w:sz w:val="20"/>
                <w:szCs w:val="20"/>
                <w:color w:val="auto"/>
              </w:rPr>
            </w:pPr>
            <w:r>
              <w:rPr>
                <w:rFonts w:ascii="Arial" w:cs="Arial" w:eastAsia="Arial" w:hAnsi="Arial"/>
                <w:sz w:val="16"/>
                <w:szCs w:val="16"/>
                <w:color w:val="auto"/>
              </w:rPr>
              <w:t>Ratification of the Appointment of</w:t>
            </w:r>
          </w:p>
        </w:tc>
        <w:tc>
          <w:tcPr>
            <w:tcW w:w="3200" w:type="dxa"/>
            <w:vAlign w:val="bottom"/>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216"/>
        </w:trPr>
        <w:tc>
          <w:tcPr>
            <w:tcW w:w="11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MSCI’s Independent Auditor</w:t>
            </w:r>
          </w:p>
        </w:tc>
        <w:tc>
          <w:tcPr>
            <w:tcW w:w="32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9"/>
        </w:trPr>
        <w:tc>
          <w:tcPr>
            <w:tcW w:w="1120" w:type="dxa"/>
            <w:vAlign w:val="bottom"/>
            <w:tcBorders>
              <w:bottom w:val="single" w:sz="8" w:color="1A3FD6"/>
            </w:tcBorders>
          </w:tcPr>
          <w:p>
            <w:pPr>
              <w:spacing w:after="0"/>
              <w:rPr>
                <w:sz w:val="2"/>
                <w:szCs w:val="2"/>
                <w:color w:val="auto"/>
              </w:rPr>
            </w:pPr>
          </w:p>
        </w:tc>
        <w:tc>
          <w:tcPr>
            <w:tcW w:w="2920" w:type="dxa"/>
            <w:vAlign w:val="bottom"/>
            <w:tcBorders>
              <w:bottom w:val="single" w:sz="8" w:color="1A3FD6"/>
            </w:tcBorders>
          </w:tcPr>
          <w:p>
            <w:pPr>
              <w:spacing w:after="0"/>
              <w:rPr>
                <w:sz w:val="2"/>
                <w:szCs w:val="2"/>
                <w:color w:val="auto"/>
              </w:rPr>
            </w:pPr>
          </w:p>
        </w:tc>
        <w:tc>
          <w:tcPr>
            <w:tcW w:w="3200" w:type="dxa"/>
            <w:vAlign w:val="bottom"/>
            <w:tcBorders>
              <w:bottom w:val="single" w:sz="8" w:color="1A3FD6"/>
            </w:tcBorders>
          </w:tcPr>
          <w:p>
            <w:pPr>
              <w:spacing w:after="0"/>
              <w:rPr>
                <w:sz w:val="2"/>
                <w:szCs w:val="2"/>
                <w:color w:val="auto"/>
              </w:rPr>
            </w:pPr>
          </w:p>
        </w:tc>
        <w:tc>
          <w:tcPr>
            <w:tcW w:w="4000" w:type="dxa"/>
            <w:vAlign w:val="bottom"/>
            <w:tcBorders>
              <w:bottom w:val="single" w:sz="8" w:color="1A3FD6"/>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to elect directors and adopt proposals?</w:t>
      </w:r>
    </w:p>
    <w:p>
      <w:pPr>
        <w:spacing w:after="0" w:line="10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election of each director and the ratification of the appointment of PwC as MSCI’s independent auditor require the affirmative vote of a majority of all votes cast. For purposes of the election of directors, a majority of votes cast shall mean that the number of votes cast “for” a director’s election exceeds the number of votes cast “against” the director’s election. The approval of a resolution regarding the compensation of our NEOs as disclosed in this Proxy Statement is a non-binding advisory vote; however, we value the opinions of our shareholders and will take into account the outcome of this vote in considering future compensation arrangements. A majority of the shares entitled to vote on a matter, whether present virtually or by proxy, will constitute a quorum at the meeting.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3"/>
          <w:szCs w:val="13"/>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Annex A: 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a director does not receive a majority of the votes required for his or her re-election?</w:t>
      </w:r>
    </w:p>
    <w:p>
      <w:pPr>
        <w:spacing w:after="0" w:line="10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the laws of Delaware (our state of incorporation), if the director is not elected at the annual meeting, the director will continue to serve on the Board as a “holdover director.” However, our Bylaws provide that, in order for an incumbent director to become a nominee of the Board, the director must submit an irrevocable resignation as director that becomes effective if (i) he or she does not receive a majority of the votes cast in an uncontested election and (ii) the Board accepts the resignation. If a director does not receive a majority of the votes cast in an uncontested election, the Governance Committee will consider the director’s resignation and recommend to the Board whether to accept or reject the resignation. The Board will decide whether to accept or reject the resignation and publicly disclose its decision within 90 days after the election results are certified.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revoke or change my proxy?</w:t>
      </w:r>
    </w:p>
    <w:p>
      <w:pPr>
        <w:spacing w:after="0" w:line="10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If you are a “record holder,” you can revoke or change your proxy at any time before your shares are voted, subject to the voting deadlines that are described on the proxy card or voting instruction form, as applicable, by:</w:t>
      </w:r>
    </w:p>
    <w:p>
      <w:pPr>
        <w:spacing w:after="0" w:line="101" w:lineRule="exact"/>
        <w:rPr>
          <w:sz w:val="20"/>
          <w:szCs w:val="20"/>
          <w:color w:val="auto"/>
        </w:rPr>
      </w:pPr>
    </w:p>
    <w:p>
      <w:pPr>
        <w:ind w:left="160" w:hanging="152"/>
        <w:spacing w:after="0"/>
        <w:tabs>
          <w:tab w:leader="none" w:pos="160" w:val="left"/>
        </w:tabs>
        <w:numPr>
          <w:ilvl w:val="0"/>
          <w:numId w:val="129"/>
        </w:numPr>
        <w:rPr>
          <w:rFonts w:ascii="Arial" w:cs="Arial" w:eastAsia="Arial" w:hAnsi="Arial"/>
          <w:sz w:val="16"/>
          <w:szCs w:val="16"/>
          <w:color w:val="00A798"/>
        </w:rPr>
      </w:pPr>
      <w:r>
        <w:rPr>
          <w:rFonts w:ascii="Arial" w:cs="Arial" w:eastAsia="Arial" w:hAnsi="Arial"/>
          <w:sz w:val="16"/>
          <w:szCs w:val="16"/>
          <w:color w:val="auto"/>
        </w:rPr>
        <w:t>Voting again by internet or by telephone (only your last internet or telephone proxy submitted prior to the meeting will be counted);</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129"/>
        </w:numPr>
        <w:rPr>
          <w:rFonts w:ascii="Arial" w:cs="Arial" w:eastAsia="Arial" w:hAnsi="Arial"/>
          <w:sz w:val="16"/>
          <w:szCs w:val="16"/>
          <w:color w:val="00A798"/>
        </w:rPr>
      </w:pPr>
      <w:r>
        <w:rPr>
          <w:rFonts w:ascii="Arial" w:cs="Arial" w:eastAsia="Arial" w:hAnsi="Arial"/>
          <w:sz w:val="16"/>
          <w:szCs w:val="16"/>
          <w:color w:val="auto"/>
        </w:rPr>
        <w:t>Signing and returning a new proxy card with a later date; or</w:t>
      </w:r>
    </w:p>
    <w:p>
      <w:pPr>
        <w:spacing w:after="0" w:line="86" w:lineRule="exact"/>
        <w:rPr>
          <w:rFonts w:ascii="Arial" w:cs="Arial" w:eastAsia="Arial" w:hAnsi="Arial"/>
          <w:sz w:val="16"/>
          <w:szCs w:val="16"/>
          <w:color w:val="00A798"/>
        </w:rPr>
      </w:pPr>
    </w:p>
    <w:p>
      <w:pPr>
        <w:ind w:left="200" w:right="420" w:hanging="192"/>
        <w:spacing w:after="0" w:line="321" w:lineRule="auto"/>
        <w:tabs>
          <w:tab w:leader="none" w:pos="157" w:val="left"/>
        </w:tabs>
        <w:numPr>
          <w:ilvl w:val="0"/>
          <w:numId w:val="129"/>
        </w:numPr>
        <w:rPr>
          <w:rFonts w:ascii="Arial" w:cs="Arial" w:eastAsia="Arial" w:hAnsi="Arial"/>
          <w:sz w:val="16"/>
          <w:szCs w:val="16"/>
          <w:color w:val="00A798"/>
        </w:rPr>
      </w:pPr>
      <w:r>
        <w:rPr>
          <w:rFonts w:ascii="Arial" w:cs="Arial" w:eastAsia="Arial" w:hAnsi="Arial"/>
          <w:sz w:val="16"/>
          <w:szCs w:val="16"/>
          <w:color w:val="auto"/>
        </w:rPr>
        <w:t>Voting by internet while attending the virtual annual meeting (attending the annual meeting by internet does not revoke your proxy unless you vote by internet during the virtual annual meeting).</w:t>
      </w:r>
    </w:p>
    <w:p>
      <w:pPr>
        <w:spacing w:after="0" w:line="75" w:lineRule="exact"/>
        <w:rPr>
          <w:sz w:val="20"/>
          <w:szCs w:val="20"/>
          <w:color w:val="auto"/>
        </w:rPr>
      </w:pPr>
    </w:p>
    <w:p>
      <w:pPr>
        <w:jc w:val="both"/>
        <w:ind w:right="420"/>
        <w:spacing w:after="0" w:line="321" w:lineRule="auto"/>
        <w:rPr>
          <w:sz w:val="20"/>
          <w:szCs w:val="20"/>
          <w:color w:val="auto"/>
        </w:rPr>
      </w:pPr>
      <w:r>
        <w:rPr>
          <w:rFonts w:ascii="Arial" w:cs="Arial" w:eastAsia="Arial" w:hAnsi="Arial"/>
          <w:sz w:val="16"/>
          <w:szCs w:val="16"/>
          <w:color w:val="auto"/>
        </w:rPr>
        <w:t>If you are a “record holder,” you may also revoke your proxy by giving written notice of revocation to c/o Corporate Secretary, MSCI Inc., 7 World Trade Center, 250 Greenwich Street, 49th Floor, New York, New York 10007, which must be received no later than 5:00 P.M. Eastern Time, on April 20, 2026.</w:t>
      </w:r>
    </w:p>
    <w:p>
      <w:pPr>
        <w:spacing w:after="0" w:line="75"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If you are a beneficial owner of shares held in “street name,” you may revoke your proxy by following the instructions your brokerage firm, bank, broker dealer or other intermediary provides.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my vote be confidential?</w:t>
      </w:r>
    </w:p>
    <w:p>
      <w:pPr>
        <w:spacing w:after="0" w:line="10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Our Bylaws provide that your individual vote is confidential and will not be disclosed to any officer, director or employee of MSCI, except as required by law and in certain limited circumstances such as when you request or consent to disclosure, or make a request or comment on the proxy card.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counts the votes cast at the 2026 Annual Meeting?</w:t>
      </w:r>
    </w:p>
    <w:p>
      <w:pPr>
        <w:spacing w:after="0" w:line="100"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Representatives of Broadridge will tabulate the votes cast at the 2026 Annual Meeting, and American Election Services, LLC will act as the independent inspector of elections.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2026 Annual Meeting?</w:t>
      </w:r>
    </w:p>
    <w:p>
      <w:pPr>
        <w:spacing w:after="0" w:line="8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expect to announce the preliminary voting results at the 2026 Annual Meeting. The final voting results will be tallied by representatives of Broadridge, our inspector of elections, and will be subsequently published by us by the filing of a Current Report on Form 8-K with the SEC within four business days after the 2026 Annual Meeting.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pay for the cost of the proxy solicitation?</w:t>
      </w:r>
    </w:p>
    <w:p>
      <w:pPr>
        <w:spacing w:after="0" w:line="8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pay the expenses of the preparation of proxy materials and the solicitation of proxies for our 2026 Annual Meeting. Proxies may be solicited on our behalf by directors, officers, employees or agents in person or by telephone, electronic transmission and facsimile transmission. Our directors, officers and employees will receive no additional compensation for any such solicitation.</w:t>
      </w:r>
    </w:p>
    <w:p>
      <w:pPr>
        <w:spacing w:after="0" w:line="91"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We have also hired D.F. King &amp; Co., Inc. (“D.F. King”), 28 Liberty Street, 53rd Floor, New York, NY 10005, to assist in the distribution and solicitation of proxies. We will pay D.F. King a fee of $21,000, plus reasonable expenses, for these services. We will reimburse brokers and other similar institutions for costs incurred by them in mailing proxy materials to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414020</wp:posOffset>
            </wp:positionV>
            <wp:extent cx="556895" cy="145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55689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color w:val="auto"/>
        </w:rPr>
        <w:t>Annex A: Frequently Asked Questions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sign up for electronic delivery of proxy materials?</w:t>
      </w:r>
    </w:p>
    <w:p>
      <w:pPr>
        <w:spacing w:after="0" w:line="8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Shareholders can access this Proxy Statement and our 2025 Annual Report on Form 10-K via the internet at </w:t>
      </w:r>
      <w:r>
        <w:rPr>
          <w:rFonts w:ascii="Arial" w:cs="Arial" w:eastAsia="Arial" w:hAnsi="Arial"/>
          <w:sz w:val="16"/>
          <w:szCs w:val="16"/>
          <w:color w:val="1A3FD6"/>
        </w:rPr>
        <w:t>www.proxyvote.com</w:t>
      </w:r>
      <w:r>
        <w:rPr>
          <w:rFonts w:ascii="Arial" w:cs="Arial" w:eastAsia="Arial" w:hAnsi="Arial"/>
          <w:sz w:val="16"/>
          <w:szCs w:val="16"/>
          <w:color w:val="auto"/>
        </w:rPr>
        <w:t xml:space="preserve"> by following the instructions outlined on the secure website. For future annual meetings of shareholders, shareholders can consent to accessing our proxy materials, including the Notice of Internet Availability of Proxy Materials, our 2025 Annual Report on Form 10-K and the Proxy Statement, electronically in lieu of receiving hard copies by mail. To receive our proxy materials electronically, you will need access to a computer and an email account. If you vote through the internet at </w:t>
      </w:r>
      <w:r>
        <w:rPr>
          <w:rFonts w:ascii="Arial" w:cs="Arial" w:eastAsia="Arial" w:hAnsi="Arial"/>
          <w:sz w:val="16"/>
          <w:szCs w:val="16"/>
          <w:color w:val="1A3FD6"/>
        </w:rPr>
        <w:t>www.proxyvote.com</w:t>
      </w:r>
      <w:r>
        <w:rPr>
          <w:rFonts w:ascii="Arial" w:cs="Arial" w:eastAsia="Arial" w:hAnsi="Arial"/>
          <w:sz w:val="16"/>
          <w:szCs w:val="16"/>
          <w:color w:val="auto"/>
        </w:rPr>
        <w:t>, you will be prompted to consent to receiving proxy materials electronically in future years. To consent to electronic delivery, when prompted, you must indicate that you agree to receive such materials electronically in future years.</w:t>
      </w:r>
    </w:p>
    <w:p>
      <w:pPr>
        <w:spacing w:after="0" w:line="112"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Shareholders that wish to revoke their request for electronic delivery may do so at any time without charge, by contacting us in writing at c/o Corporate Secretary, MSCI Inc., 7 World Trade Center, 250 Greenwich Street, 49th Floor, New York, New York 10007 or by telephone at (212) 981-7465.</w:t>
      </w:r>
    </w:p>
    <w:p>
      <w:pPr>
        <w:spacing w:after="0" w:line="74"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If you hold your shares through a brokerage firm, bank, broker dealer or other intermediary and you have not already done so, you can choose electronic delivery of our proxy materials by contacting such intermediary. You may also update your email address by contacting such intermediary.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householding?</w:t>
      </w:r>
    </w:p>
    <w:p>
      <w:pPr>
        <w:spacing w:after="0" w:line="8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Consistent with notices sent to shareholders of record sharing a single address, we will send only one copy of each of the Notice of Internet Availability of Proxy Materials, our 2025 Annual Report on Form 10-K and this Proxy Statement to that address unless we have received contrary instructions from any shareholder at that address. This “householding” practice reduces our printing and postage costs. Shareholders may request or discontinue householding, or may request a separate copy of each of the Notice of Internet Availability of Proxy Materials, our 2025 Annual Report on Form 10-K or this Proxy Statement as follows:</w:t>
      </w:r>
    </w:p>
    <w:p>
      <w:pPr>
        <w:spacing w:after="0" w:line="111" w:lineRule="exact"/>
        <w:rPr>
          <w:sz w:val="20"/>
          <w:szCs w:val="20"/>
          <w:color w:val="auto"/>
        </w:rPr>
      </w:pPr>
    </w:p>
    <w:p>
      <w:pPr>
        <w:ind w:left="200" w:right="260" w:hanging="192"/>
        <w:spacing w:after="0" w:line="304" w:lineRule="auto"/>
        <w:tabs>
          <w:tab w:leader="none" w:pos="157" w:val="left"/>
        </w:tabs>
        <w:numPr>
          <w:ilvl w:val="0"/>
          <w:numId w:val="130"/>
        </w:numPr>
        <w:rPr>
          <w:rFonts w:ascii="Arial" w:cs="Arial" w:eastAsia="Arial" w:hAnsi="Arial"/>
          <w:sz w:val="16"/>
          <w:szCs w:val="16"/>
          <w:color w:val="00A798"/>
        </w:rPr>
      </w:pPr>
      <w:r>
        <w:rPr>
          <w:rFonts w:ascii="Arial" w:cs="Arial" w:eastAsia="Arial" w:hAnsi="Arial"/>
          <w:sz w:val="16"/>
          <w:szCs w:val="16"/>
          <w:color w:val="auto"/>
        </w:rPr>
        <w:t>Shareholders wishing to discontinue or begin householding, should contact us in writing at c/o Corporate Secretary at MSCI Inc., 7 World Trade Center, 250 Greenwich Street, 49th Floor, New York, New York 10007 or by telephone at (212) 981-7465.</w:t>
      </w:r>
    </w:p>
    <w:p>
      <w:pPr>
        <w:spacing w:after="0" w:line="6" w:lineRule="exact"/>
        <w:rPr>
          <w:rFonts w:ascii="Arial" w:cs="Arial" w:eastAsia="Arial" w:hAnsi="Arial"/>
          <w:sz w:val="16"/>
          <w:szCs w:val="16"/>
          <w:color w:val="00A798"/>
        </w:rPr>
      </w:pPr>
    </w:p>
    <w:p>
      <w:pPr>
        <w:ind w:left="200" w:right="280" w:hanging="192"/>
        <w:spacing w:after="0" w:line="304" w:lineRule="auto"/>
        <w:tabs>
          <w:tab w:leader="none" w:pos="157" w:val="left"/>
        </w:tabs>
        <w:numPr>
          <w:ilvl w:val="0"/>
          <w:numId w:val="130"/>
        </w:numPr>
        <w:rPr>
          <w:rFonts w:ascii="Arial" w:cs="Arial" w:eastAsia="Arial" w:hAnsi="Arial"/>
          <w:sz w:val="16"/>
          <w:szCs w:val="16"/>
          <w:color w:val="00A798"/>
        </w:rPr>
      </w:pPr>
      <w:r>
        <w:rPr>
          <w:rFonts w:ascii="Arial" w:cs="Arial" w:eastAsia="Arial" w:hAnsi="Arial"/>
          <w:sz w:val="16"/>
          <w:szCs w:val="16"/>
          <w:color w:val="auto"/>
        </w:rPr>
        <w:t>Shareholders owning their shares through a bank, broker or other holder of record who wish to either discontinue or begin householding should contact their record holder.</w:t>
      </w:r>
    </w:p>
    <w:p>
      <w:pPr>
        <w:spacing w:after="0" w:line="6" w:lineRule="exact"/>
        <w:rPr>
          <w:rFonts w:ascii="Arial" w:cs="Arial" w:eastAsia="Arial" w:hAnsi="Arial"/>
          <w:sz w:val="16"/>
          <w:szCs w:val="16"/>
          <w:color w:val="00A798"/>
        </w:rPr>
      </w:pPr>
    </w:p>
    <w:p>
      <w:pPr>
        <w:ind w:left="200" w:right="360" w:hanging="192"/>
        <w:spacing w:after="0" w:line="277" w:lineRule="auto"/>
        <w:tabs>
          <w:tab w:leader="none" w:pos="157" w:val="left"/>
        </w:tabs>
        <w:numPr>
          <w:ilvl w:val="0"/>
          <w:numId w:val="130"/>
        </w:numPr>
        <w:rPr>
          <w:rFonts w:ascii="Arial" w:cs="Arial" w:eastAsia="Arial" w:hAnsi="Arial"/>
          <w:sz w:val="16"/>
          <w:szCs w:val="16"/>
          <w:color w:val="00A798"/>
        </w:rPr>
      </w:pPr>
      <w:r>
        <w:rPr>
          <w:rFonts w:ascii="Arial" w:cs="Arial" w:eastAsia="Arial" w:hAnsi="Arial"/>
          <w:sz w:val="16"/>
          <w:szCs w:val="16"/>
          <w:color w:val="auto"/>
        </w:rPr>
        <w:t>Any householded shareholder may request prompt delivery of a copy of each of the Notice of Internet Availability of Proxy Materials, our 2025 Annual Report on Form 10-K or the Proxy Statement, as applicable, by contacting us at (212) 981-7465 or by writing to us at Investor Relations, MSCI Inc., 7 World Trade Center, 250 Greenwich Street, 49th Floor, New York, New York 10007 or via email at investor.relations@msci.com. Instructions for requesting such materials are also included in the Notice of Internet Availability of Proxy Materials.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submit a recommendation for a director candidate?</w:t>
      </w:r>
    </w:p>
    <w:p>
      <w:pPr>
        <w:spacing w:after="0" w:line="86"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Governance Committee oversees searches for and identifies qualified individuals for membership on MSCI’s Board. Please see page 21 of this Proxy Statement for additional information on director qualifications.</w:t>
      </w:r>
    </w:p>
    <w:p>
      <w:pPr>
        <w:spacing w:after="0" w:line="74"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Shareholders may make recommendations for consideration by the Governance Committee at any time. To recommend a director candidate for consideration by the Governance Committee, a shareholder must submit a written notice which demonstrates that it is being submitted by a shareholder of MSCI and include information about each proposed director candidate, including name, age, business address, principal occupation, principal qualifications and other relevant biographical information. In addition, the shareholder must confirm his or her candidate’s consent to serve as a director. There is no difference in the manner in which the Governance Committee evaluates nominees proposed by shareholders and those identified by the Governance Committee. Shareholders must send recommendations to the Governance and Corporate Responsibility Committee, c/o Corporate Secretary, MSCI Inc., 7 World Trade Center, 250 Greenwich Street, 49th Floor, New York, New York 10007.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sz w:val="20"/>
          <w:szCs w:val="20"/>
          <w:color w:val="auto"/>
        </w:rPr>
        <w:tab/>
      </w:r>
      <w:r>
        <w:rPr>
          <w:rFonts w:ascii="Arial" w:cs="Arial" w:eastAsia="Arial" w:hAnsi="Arial"/>
          <w:sz w:val="13"/>
          <w:szCs w:val="13"/>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color w:val="auto"/>
        </w:rPr>
        <w:t>Annex A: 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submit nominees (such as through proxy access) or a shareholder proposal at the 2027 annual meeting of shareholders?</w:t>
      </w:r>
    </w:p>
    <w:p>
      <w:pPr>
        <w:spacing w:after="0" w:line="10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Shareholders who wish to submit a “proxy access” nomination for inclusion in our proxy statement in connection with our 2027 annual meeting of shareholders may do so by submitting a nomination notice, in compliance with the procedures and along with the other information required by our Bylaws, in writing at c/o Corporate Secretary, MSCI Inc., 7 World Trade Center, 250 Greenwich Street, 49th Floor, New York, New York 10007 or by email to corporatesecretary@msci.com, no earlier than October 12, 2026 and no later than November 11, 2026.</w:t>
      </w:r>
    </w:p>
    <w:p>
      <w:pPr>
        <w:spacing w:after="0" w:line="9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Shareholders intending to present a proposal at the 2027 annual meeting of shareholders under SEC Rule 14a-8 to request that the proposal be included in next year’s Proxy Statement must submit the proposal to us in writing at c/o Corporate Secretary, MSCI Inc., 7 World Trade Center, 250 Greenwich Street, 49th Floor, New York, New York 10007 or by email to corporatesecretary@msci.com. We must receive the proposal by no later than November 11, 2026. If we hold our 2027 annual meeting of shareholders more than 30 days before or after April 21, 2027 (the one-year anniversary date of the 2026 Annual Meeting), we will disclose the new deadline by which shareholder proposals must be received under Item 5 of Part II of our earliest possible Quarterly Report on Form 10-Q or, if impracticable, by any means reasonably determined to inform shareholders. In addition, shareholder proposals must otherwise comply with the requirements of Rule 14a-8 under the Exchange Act and with the SEC regulations under Rule 14a-8 regarding the inclusion of shareholder proposals in company-sponsored proxy materials.</w:t>
      </w:r>
    </w:p>
    <w:p>
      <w:pPr>
        <w:spacing w:after="0" w:line="11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Shareholders intending to present a proposal at the 2027 annual meeting of shareholders, but not for inclusion of the proposal in our Proxy Statement, or to nominate a person for election as a director, must comply with the requirements set forth in our Bylaws. Our Bylaws require, among other things, that our Corporate Secretary receive written notice from the shareholder of record of intent to present such proposal or nomination no more than 120 days and no less than 90 days prior to the first anniversary of the preceding year’s annual meeting of shareholders. Therefore, the Company must receive notice of such a proposal or nomination for the 2027 annual meeting of shareholders no earlier than December 22, 2026 and no later than January 21, 2027. If the date of the 2027 annual meeting of shareholders is advanced by more than 30 days, or delayed by more than 90 days, from the first anniversary of the preceding year’s annual meeting of shareholders, notice by the shareholders to be timely must be so delivered to, and received by, our Corporate Secretary not earlier than the close of business on the 120th day prior to such annual meeting of shareholders and not later than the close of business on the later of the 90th day prior to such annual meeting or the 10th day following the day on which public announcement of the date of such meeting is first made by the Company. The notice must contain the information required by our Bylaws, a copy of which is available upon request to us in writing at c/o Corporate Secretary, MSCI Inc., 7 World Trade Center, 250 Greenwich Street, 49th Floor, New York, New York 10007.</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communicate with individual directors or the Board as a group?</w:t>
      </w:r>
    </w:p>
    <w:p>
      <w:pPr>
        <w:spacing w:after="0" w:line="10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Shareholders and other interested parties may contact any member (or all members) of the Board by mail. To communicate with the Board, any individual director or any group or committee of directors, correspondence should be addressed to the Board or any such individual director or group or committee of directors by either name or title. All such correspondence should be sent to the Board of Directors at c/o Corporate Secretary, MSCI Inc., 7 World Trade Center, 250 Greenwich Street, 49th Floor, New York, New York 10007. Correspondence that is unrelated to the duties and responsibilities of the Board such as spam, junk mail and mass mailings, product complaints, personal employee complaints, product inquiries, new product suggestions, resumes and other forms of job inquiries, surveys, business solicitations or advertisements will not be forwarded to the Board.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report issues regarding accounting, internal controls and other auditing matters?</w:t>
      </w:r>
    </w:p>
    <w:p>
      <w:pPr>
        <w:spacing w:after="0" w:line="10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Any interested parties may report potential issues regarding accounting, internal accounting controls and other auditing matters. The communication should be marked “Personal and Confidential” and sent to MSCI Inc., 7 World Trade Center, 250 Greenwich Street, 49th Floor, New York, New York 10007, Attention: Chair of the Audit and Risk Committee of MSCI Inc., in the care of the General Counsel. Our Procedures for Submission of Accounting Related Complaints are available on our website. To access this document, click on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325755</wp:posOffset>
            </wp:positionV>
            <wp:extent cx="556895" cy="146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1" w:name="page122"/>
    <w:bookmarkEnd w:id="121"/>
    <w:p>
      <w:pPr>
        <w:spacing w:after="0"/>
        <w:rPr>
          <w:sz w:val="20"/>
          <w:szCs w:val="20"/>
          <w:color w:val="auto"/>
        </w:rPr>
      </w:pPr>
      <w:r>
        <w:rPr>
          <w:rFonts w:ascii="Arial" w:cs="Arial" w:eastAsia="Arial" w:hAnsi="Arial"/>
          <w:sz w:val="47"/>
          <w:szCs w:val="47"/>
          <w:b w:val="1"/>
          <w:bCs w:val="1"/>
          <w:color w:val="1A3FD6"/>
        </w:rPr>
        <w:t>Annex B: Supplemental</w:t>
      </w:r>
    </w:p>
    <w:p>
      <w:pPr>
        <w:spacing w:after="0" w:line="21" w:lineRule="exact"/>
        <w:rPr>
          <w:sz w:val="20"/>
          <w:szCs w:val="20"/>
          <w:color w:val="auto"/>
        </w:rPr>
      </w:pPr>
    </w:p>
    <w:p>
      <w:pPr>
        <w:spacing w:after="0"/>
        <w:rPr>
          <w:sz w:val="20"/>
          <w:szCs w:val="20"/>
          <w:color w:val="auto"/>
        </w:rPr>
      </w:pPr>
      <w:r>
        <w:rPr>
          <w:rFonts w:ascii="Arial" w:cs="Arial" w:eastAsia="Arial" w:hAnsi="Arial"/>
          <w:sz w:val="47"/>
          <w:szCs w:val="47"/>
          <w:b w:val="1"/>
          <w:bCs w:val="1"/>
          <w:color w:val="7188EF"/>
        </w:rPr>
        <w:t>Financial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Non-GAAP Financial Measures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Reconciliation of Net Income to Adjusted EBITDA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00"/>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
        </w:trPr>
        <w:tc>
          <w:tcPr>
            <w:tcW w:w="7040" w:type="dxa"/>
            <w:vAlign w:val="bottom"/>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220" w:type="dxa"/>
            <w:vAlign w:val="bottom"/>
            <w:tcBorders>
              <w:bottom w:val="single" w:sz="8" w:color="1A3FD6"/>
            </w:tcBorders>
          </w:tcPr>
          <w:p>
            <w:pPr>
              <w:spacing w:after="0"/>
              <w:rPr>
                <w:sz w:val="2"/>
                <w:szCs w:val="2"/>
                <w:color w:val="auto"/>
              </w:rPr>
            </w:pPr>
          </w:p>
        </w:tc>
        <w:tc>
          <w:tcPr>
            <w:tcW w:w="30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r>
      <w:tr>
        <w:trPr>
          <w:trHeight w:val="207"/>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 31, 2025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 31, 2024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 31, 2023</w:t>
            </w:r>
          </w:p>
        </w:tc>
      </w:tr>
      <w:tr>
        <w:trPr>
          <w:trHeight w:val="29"/>
        </w:trPr>
        <w:tc>
          <w:tcPr>
            <w:tcW w:w="7040" w:type="dxa"/>
            <w:vAlign w:val="bottom"/>
            <w:tcBorders>
              <w:bottom w:val="single" w:sz="8" w:color="1A3FD6"/>
            </w:tcBorders>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220" w:type="dxa"/>
            <w:vAlign w:val="bottom"/>
            <w:tcBorders>
              <w:bottom w:val="single" w:sz="8" w:color="1A3FD6"/>
            </w:tcBorders>
          </w:tcPr>
          <w:p>
            <w:pPr>
              <w:spacing w:after="0"/>
              <w:rPr>
                <w:sz w:val="2"/>
                <w:szCs w:val="2"/>
                <w:color w:val="auto"/>
              </w:rPr>
            </w:pPr>
          </w:p>
        </w:tc>
        <w:tc>
          <w:tcPr>
            <w:tcW w:w="30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1,202,305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1,109,128</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1,148,592</w:t>
            </w:r>
          </w:p>
        </w:tc>
      </w:tr>
      <w:tr>
        <w:trPr>
          <w:trHeight w:val="35"/>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291,951</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247,040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220,469</w:t>
            </w:r>
          </w:p>
        </w:tc>
      </w:tr>
      <w:tr>
        <w:trPr>
          <w:trHeight w:val="43"/>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219,311</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172,350</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15,548</w:t>
            </w:r>
          </w:p>
        </w:tc>
      </w:tr>
      <w:tr>
        <w:trPr>
          <w:trHeight w:val="43"/>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1,713,567</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1,528,518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1,384,609</w:t>
            </w:r>
          </w:p>
        </w:tc>
      </w:tr>
      <w:tr>
        <w:trPr>
          <w:trHeight w:val="34"/>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169,480</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164,037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114,429</w:t>
            </w:r>
          </w:p>
        </w:tc>
      </w:tr>
      <w:tr>
        <w:trPr>
          <w:trHeight w:val="43"/>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Depreciation and amortization of property, equipment and leasehold improvements</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23,405</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16,978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21,009</w:t>
            </w:r>
          </w:p>
        </w:tc>
      </w:tr>
      <w:tr>
        <w:trPr>
          <w:trHeight w:val="43"/>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Impairment related to sublease of leased property</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43"/>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63"/>
        </w:trPr>
        <w:tc>
          <w:tcPr>
            <w:tcW w:w="7040" w:type="dxa"/>
            <w:vAlign w:val="bottom"/>
            <w:tcBorders>
              <w:bottom w:val="single" w:sz="8" w:color="1A3FD6"/>
            </w:tcBorders>
          </w:tcPr>
          <w:p>
            <w:pPr>
              <w:ind w:left="20"/>
              <w:spacing w:after="0"/>
              <w:rPr>
                <w:sz w:val="20"/>
                <w:szCs w:val="20"/>
                <w:color w:val="auto"/>
              </w:rPr>
            </w:pPr>
            <w:r>
              <w:rPr>
                <w:rFonts w:ascii="Arial" w:cs="Arial" w:eastAsia="Arial" w:hAnsi="Arial"/>
                <w:sz w:val="16"/>
                <w:szCs w:val="16"/>
                <w:color w:val="auto"/>
              </w:rPr>
              <w:t>Acquisition-related integration and transaction costs</w:t>
            </w:r>
            <w:r>
              <w:rPr>
                <w:rFonts w:ascii="Arial" w:cs="Arial" w:eastAsia="Arial" w:hAnsi="Arial"/>
                <w:sz w:val="21"/>
                <w:szCs w:val="21"/>
                <w:color w:val="auto"/>
                <w:vertAlign w:val="superscript"/>
              </w:rPr>
              <w:t>(1)</w:t>
            </w:r>
          </w:p>
        </w:tc>
        <w:tc>
          <w:tcPr>
            <w:tcW w:w="260" w:type="dxa"/>
            <w:vAlign w:val="bottom"/>
            <w:tcBorders>
              <w:bottom w:val="single" w:sz="8" w:color="1A3FD6"/>
            </w:tcBorders>
          </w:tcPr>
          <w:p>
            <w:pPr>
              <w:spacing w:after="0"/>
              <w:rPr>
                <w:sz w:val="22"/>
                <w:szCs w:val="22"/>
                <w:color w:val="auto"/>
              </w:rPr>
            </w:pPr>
          </w:p>
        </w:tc>
        <w:tc>
          <w:tcPr>
            <w:tcW w:w="1120" w:type="dxa"/>
            <w:vAlign w:val="bottom"/>
            <w:tcBorders>
              <w:bottom w:val="single" w:sz="8" w:color="1A3FD6"/>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1A3FD6"/>
            </w:tcBorders>
          </w:tcPr>
          <w:p>
            <w:pPr>
              <w:spacing w:after="0"/>
              <w:rPr>
                <w:sz w:val="22"/>
                <w:szCs w:val="22"/>
                <w:color w:val="auto"/>
              </w:rPr>
            </w:pPr>
          </w:p>
        </w:tc>
        <w:tc>
          <w:tcPr>
            <w:tcW w:w="1220" w:type="dxa"/>
            <w:vAlign w:val="bottom"/>
            <w:tcBorders>
              <w:bottom w:val="single" w:sz="8" w:color="1A3FD6"/>
            </w:tcBorders>
          </w:tcPr>
          <w:p>
            <w:pPr>
              <w:jc w:val="right"/>
              <w:ind w:right="40"/>
              <w:spacing w:after="0"/>
              <w:rPr>
                <w:sz w:val="20"/>
                <w:szCs w:val="20"/>
                <w:color w:val="auto"/>
              </w:rPr>
            </w:pPr>
            <w:r>
              <w:rPr>
                <w:rFonts w:ascii="Arial" w:cs="Arial" w:eastAsia="Arial" w:hAnsi="Arial"/>
                <w:sz w:val="16"/>
                <w:szCs w:val="16"/>
                <w:color w:val="auto"/>
              </w:rPr>
              <w:t>6,951</w:t>
            </w:r>
          </w:p>
        </w:tc>
        <w:tc>
          <w:tcPr>
            <w:tcW w:w="300" w:type="dxa"/>
            <w:vAlign w:val="bottom"/>
            <w:tcBorders>
              <w:bottom w:val="single" w:sz="8" w:color="1A3FD6"/>
            </w:tcBorders>
          </w:tcPr>
          <w:p>
            <w:pPr>
              <w:spacing w:after="0"/>
              <w:rPr>
                <w:sz w:val="22"/>
                <w:szCs w:val="22"/>
                <w:color w:val="auto"/>
              </w:rPr>
            </w:pPr>
          </w:p>
        </w:tc>
        <w:tc>
          <w:tcPr>
            <w:tcW w:w="108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2,427</w:t>
            </w: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1,906,452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1,716,484</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1,522,951</w:t>
            </w:r>
          </w:p>
        </w:tc>
      </w:tr>
      <w:tr>
        <w:trPr>
          <w:trHeight w:val="34"/>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r>
        <w:trPr>
          <w:trHeight w:val="142"/>
        </w:trPr>
        <w:tc>
          <w:tcPr>
            <w:tcW w:w="7040" w:type="dxa"/>
            <w:vAlign w:val="bottom"/>
            <w:tcBorders>
              <w:bottom w:val="single" w:sz="8" w:color="E6E7E8"/>
            </w:tcBorders>
          </w:tcPr>
          <w:p>
            <w:pPr>
              <w:spacing w:after="0"/>
              <w:rPr>
                <w:sz w:val="12"/>
                <w:szCs w:val="12"/>
                <w:color w:val="auto"/>
              </w:rPr>
            </w:pPr>
          </w:p>
        </w:tc>
        <w:tc>
          <w:tcPr>
            <w:tcW w:w="260" w:type="dxa"/>
            <w:vAlign w:val="bottom"/>
            <w:tcBorders>
              <w:bottom w:val="single" w:sz="8" w:color="E6E7E8"/>
            </w:tcBorders>
          </w:tcPr>
          <w:p>
            <w:pPr>
              <w:spacing w:after="0"/>
              <w:rPr>
                <w:sz w:val="12"/>
                <w:szCs w:val="12"/>
                <w:color w:val="auto"/>
              </w:rPr>
            </w:pPr>
          </w:p>
        </w:tc>
        <w:tc>
          <w:tcPr>
            <w:tcW w:w="1120" w:type="dxa"/>
            <w:vAlign w:val="bottom"/>
            <w:tcBorders>
              <w:bottom w:val="single" w:sz="8" w:color="E6E7E8"/>
            </w:tcBorders>
          </w:tcPr>
          <w:p>
            <w:pPr>
              <w:spacing w:after="0"/>
              <w:rPr>
                <w:sz w:val="12"/>
                <w:szCs w:val="12"/>
                <w:color w:val="auto"/>
              </w:rPr>
            </w:pPr>
          </w:p>
        </w:tc>
        <w:tc>
          <w:tcPr>
            <w:tcW w:w="220" w:type="dxa"/>
            <w:vAlign w:val="bottom"/>
            <w:tcBorders>
              <w:bottom w:val="single" w:sz="8" w:color="E6E7E8"/>
            </w:tcBorders>
          </w:tcPr>
          <w:p>
            <w:pPr>
              <w:spacing w:after="0"/>
              <w:rPr>
                <w:sz w:val="12"/>
                <w:szCs w:val="12"/>
                <w:color w:val="auto"/>
              </w:rPr>
            </w:pPr>
          </w:p>
        </w:tc>
        <w:tc>
          <w:tcPr>
            <w:tcW w:w="1220" w:type="dxa"/>
            <w:vAlign w:val="bottom"/>
            <w:tcBorders>
              <w:bottom w:val="single" w:sz="8" w:color="E6E7E8"/>
            </w:tcBorders>
          </w:tcPr>
          <w:p>
            <w:pPr>
              <w:spacing w:after="0"/>
              <w:rPr>
                <w:sz w:val="12"/>
                <w:szCs w:val="12"/>
                <w:color w:val="auto"/>
              </w:rPr>
            </w:pPr>
          </w:p>
        </w:tc>
        <w:tc>
          <w:tcPr>
            <w:tcW w:w="300" w:type="dxa"/>
            <w:vAlign w:val="bottom"/>
            <w:tcBorders>
              <w:bottom w:val="single" w:sz="8" w:color="E6E7E8"/>
            </w:tcBorders>
          </w:tcPr>
          <w:p>
            <w:pPr>
              <w:spacing w:after="0"/>
              <w:rPr>
                <w:sz w:val="12"/>
                <w:szCs w:val="12"/>
                <w:color w:val="auto"/>
              </w:rPr>
            </w:pPr>
          </w:p>
        </w:tc>
        <w:tc>
          <w:tcPr>
            <w:tcW w:w="1080" w:type="dxa"/>
            <w:vAlign w:val="bottom"/>
            <w:tcBorders>
              <w:bottom w:val="single" w:sz="8" w:color="E6E7E8"/>
            </w:tcBorders>
          </w:tcPr>
          <w:p>
            <w:pPr>
              <w:spacing w:after="0"/>
              <w:rPr>
                <w:sz w:val="12"/>
                <w:szCs w:val="12"/>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Index Adjusted EBITDA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1,366,008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1,222,054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1,106,973</w:t>
            </w:r>
          </w:p>
        </w:tc>
      </w:tr>
      <w:tr>
        <w:trPr>
          <w:trHeight w:val="42"/>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Analytics Adjusted EBITDA</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342,530</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328,295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274,875</w:t>
            </w:r>
          </w:p>
        </w:tc>
      </w:tr>
      <w:tr>
        <w:trPr>
          <w:trHeight w:val="43"/>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Sustainability and Climate Adjusted EBITDA</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128,477</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104,708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91,678</w:t>
            </w:r>
          </w:p>
        </w:tc>
      </w:tr>
      <w:tr>
        <w:trPr>
          <w:trHeight w:val="43"/>
        </w:trPr>
        <w:tc>
          <w:tcPr>
            <w:tcW w:w="7040" w:type="dxa"/>
            <w:vAlign w:val="bottom"/>
            <w:tcBorders>
              <w:bottom w:val="single" w:sz="8" w:color="E6E7E8"/>
            </w:tcBorders>
          </w:tcPr>
          <w:p>
            <w:pPr>
              <w:spacing w:after="0"/>
              <w:rPr>
                <w:sz w:val="3"/>
                <w:szCs w:val="3"/>
                <w:color w:val="auto"/>
              </w:rPr>
            </w:pPr>
          </w:p>
        </w:tc>
        <w:tc>
          <w:tcPr>
            <w:tcW w:w="260" w:type="dxa"/>
            <w:vAlign w:val="bottom"/>
            <w:tcBorders>
              <w:bottom w:val="single" w:sz="8" w:color="E6E7E8"/>
            </w:tcBorders>
          </w:tcPr>
          <w:p>
            <w:pPr>
              <w:spacing w:after="0"/>
              <w:rPr>
                <w:sz w:val="3"/>
                <w:szCs w:val="3"/>
                <w:color w:val="auto"/>
              </w:rPr>
            </w:pPr>
          </w:p>
        </w:tc>
        <w:tc>
          <w:tcPr>
            <w:tcW w:w="1120" w:type="dxa"/>
            <w:vAlign w:val="bottom"/>
            <w:tcBorders>
              <w:bottom w:val="single" w:sz="8" w:color="E6E7E8"/>
            </w:tcBorders>
          </w:tcPr>
          <w:p>
            <w:pPr>
              <w:spacing w:after="0"/>
              <w:rPr>
                <w:sz w:val="3"/>
                <w:szCs w:val="3"/>
                <w:color w:val="auto"/>
              </w:rPr>
            </w:pPr>
          </w:p>
        </w:tc>
        <w:tc>
          <w:tcPr>
            <w:tcW w:w="220" w:type="dxa"/>
            <w:vAlign w:val="bottom"/>
            <w:tcBorders>
              <w:bottom w:val="single" w:sz="8" w:color="E6E7E8"/>
            </w:tcBorders>
          </w:tcPr>
          <w:p>
            <w:pPr>
              <w:spacing w:after="0"/>
              <w:rPr>
                <w:sz w:val="3"/>
                <w:szCs w:val="3"/>
                <w:color w:val="auto"/>
              </w:rPr>
            </w:pPr>
          </w:p>
        </w:tc>
        <w:tc>
          <w:tcPr>
            <w:tcW w:w="1220" w:type="dxa"/>
            <w:vAlign w:val="bottom"/>
            <w:tcBorders>
              <w:bottom w:val="single" w:sz="8" w:color="E6E7E8"/>
            </w:tcBorders>
          </w:tcPr>
          <w:p>
            <w:pPr>
              <w:spacing w:after="0"/>
              <w:rPr>
                <w:sz w:val="3"/>
                <w:szCs w:val="3"/>
                <w:color w:val="auto"/>
              </w:rPr>
            </w:pPr>
          </w:p>
        </w:tc>
        <w:tc>
          <w:tcPr>
            <w:tcW w:w="300" w:type="dxa"/>
            <w:vAlign w:val="bottom"/>
            <w:tcBorders>
              <w:bottom w:val="single" w:sz="8" w:color="E6E7E8"/>
            </w:tcBorders>
          </w:tcPr>
          <w:p>
            <w:pPr>
              <w:spacing w:after="0"/>
              <w:rPr>
                <w:sz w:val="3"/>
                <w:szCs w:val="3"/>
                <w:color w:val="auto"/>
              </w:rPr>
            </w:pPr>
          </w:p>
        </w:tc>
        <w:tc>
          <w:tcPr>
            <w:tcW w:w="1080" w:type="dxa"/>
            <w:vAlign w:val="bottom"/>
            <w:tcBorders>
              <w:bottom w:val="single" w:sz="8" w:color="E6E7E8"/>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All Other – Private Assets Adjusted EBITDA</w:t>
            </w:r>
          </w:p>
        </w:tc>
        <w:tc>
          <w:tcPr>
            <w:tcW w:w="2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69,437</w:t>
            </w:r>
          </w:p>
        </w:tc>
        <w:tc>
          <w:tcPr>
            <w:tcW w:w="220" w:type="dxa"/>
            <w:vAlign w:val="bottom"/>
          </w:tcPr>
          <w:p>
            <w:pPr>
              <w:spacing w:after="0"/>
              <w:rPr>
                <w:sz w:val="19"/>
                <w:szCs w:val="19"/>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61,427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49,425</w:t>
            </w:r>
          </w:p>
        </w:tc>
      </w:tr>
      <w:tr>
        <w:trPr>
          <w:trHeight w:val="42"/>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1,906,452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1,716,484</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1,522,951</w:t>
            </w:r>
          </w:p>
        </w:tc>
      </w:tr>
      <w:tr>
        <w:trPr>
          <w:trHeight w:val="35"/>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bl>
    <w:p>
      <w:pPr>
        <w:spacing w:after="0" w:line="153" w:lineRule="exact"/>
        <w:rPr>
          <w:sz w:val="20"/>
          <w:szCs w:val="20"/>
          <w:color w:val="auto"/>
        </w:rPr>
      </w:pPr>
    </w:p>
    <w:p>
      <w:pPr>
        <w:ind w:left="260" w:right="700" w:hanging="252"/>
        <w:spacing w:after="0" w:line="239" w:lineRule="auto"/>
        <w:tabs>
          <w:tab w:leader="none" w:pos="264" w:val="left"/>
        </w:tabs>
        <w:numPr>
          <w:ilvl w:val="0"/>
          <w:numId w:val="131"/>
        </w:numPr>
        <w:rPr>
          <w:rFonts w:ascii="Arial" w:cs="Arial" w:eastAsia="Arial" w:hAnsi="Arial"/>
          <w:sz w:val="19"/>
          <w:szCs w:val="19"/>
          <w:color w:val="auto"/>
          <w:vertAlign w:val="superscript"/>
        </w:rPr>
      </w:pPr>
      <w:r>
        <w:rPr>
          <w:rFonts w:ascii="Arial" w:cs="Arial" w:eastAsia="Arial" w:hAnsi="Arial"/>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200" w:lineRule="exact"/>
        <w:rPr>
          <w:sz w:val="20"/>
          <w:szCs w:val="20"/>
          <w:color w:val="auto"/>
        </w:rPr>
      </w:pPr>
    </w:p>
    <w:p>
      <w:pPr>
        <w:spacing w:after="0" w:line="394" w:lineRule="exact"/>
        <w:rPr>
          <w:sz w:val="20"/>
          <w:szCs w:val="20"/>
          <w:color w:val="auto"/>
        </w:rPr>
      </w:pPr>
    </w:p>
    <w:p>
      <w:pPr>
        <w:ind w:left="9000"/>
        <w:spacing w:after="0"/>
        <w:tabs>
          <w:tab w:leader="none" w:pos="1096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auto"/>
        </w:rPr>
        <w:t>Annex B: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Reconciliation of Net Income and Diluted EPS to Adjusted Net Income and Adjusted EPS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00"/>
              <w:spacing w:after="0"/>
              <w:rPr>
                <w:sz w:val="20"/>
                <w:szCs w:val="20"/>
                <w:color w:val="auto"/>
              </w:rPr>
            </w:pPr>
            <w:r>
              <w:rPr>
                <w:rFonts w:ascii="Arial" w:cs="Arial" w:eastAsia="Arial" w:hAnsi="Arial"/>
                <w:sz w:val="14"/>
                <w:szCs w:val="14"/>
                <w:b w:val="1"/>
                <w:bCs w:val="1"/>
                <w:color w:val="auto"/>
              </w:rPr>
              <w:t>Years Ended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
        </w:trPr>
        <w:tc>
          <w:tcPr>
            <w:tcW w:w="7060" w:type="dxa"/>
            <w:vAlign w:val="bottom"/>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200" w:type="dxa"/>
            <w:vAlign w:val="bottom"/>
            <w:tcBorders>
              <w:bottom w:val="single" w:sz="8" w:color="1A3FD6"/>
            </w:tcBorders>
          </w:tcPr>
          <w:p>
            <w:pPr>
              <w:spacing w:after="0"/>
              <w:rPr>
                <w:sz w:val="2"/>
                <w:szCs w:val="2"/>
                <w:color w:val="auto"/>
              </w:rPr>
            </w:pPr>
          </w:p>
        </w:tc>
        <w:tc>
          <w:tcPr>
            <w:tcW w:w="320" w:type="dxa"/>
            <w:vAlign w:val="bottom"/>
            <w:tcBorders>
              <w:bottom w:val="single" w:sz="8" w:color="1A3FD6"/>
            </w:tcBorders>
          </w:tcPr>
          <w:p>
            <w:pPr>
              <w:spacing w:after="0"/>
              <w:rPr>
                <w:sz w:val="2"/>
                <w:szCs w:val="2"/>
                <w:color w:val="auto"/>
              </w:rPr>
            </w:pPr>
          </w:p>
        </w:tc>
        <w:tc>
          <w:tcPr>
            <w:tcW w:w="1060" w:type="dxa"/>
            <w:vAlign w:val="bottom"/>
            <w:tcBorders>
              <w:bottom w:val="single" w:sz="8" w:color="1A3FD6"/>
            </w:tcBorders>
          </w:tcPr>
          <w:p>
            <w:pPr>
              <w:spacing w:after="0"/>
              <w:rPr>
                <w:sz w:val="2"/>
                <w:szCs w:val="2"/>
                <w:color w:val="auto"/>
              </w:rPr>
            </w:pPr>
          </w:p>
        </w:tc>
      </w:tr>
      <w:tr>
        <w:trPr>
          <w:trHeight w:val="208"/>
        </w:trPr>
        <w:tc>
          <w:tcPr>
            <w:tcW w:w="70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 31, 2025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Dec. 31, 2024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 31, 2023</w:t>
            </w:r>
          </w:p>
        </w:tc>
      </w:tr>
      <w:tr>
        <w:trPr>
          <w:trHeight w:val="29"/>
        </w:trPr>
        <w:tc>
          <w:tcPr>
            <w:tcW w:w="7060" w:type="dxa"/>
            <w:vAlign w:val="bottom"/>
            <w:tcBorders>
              <w:bottom w:val="single" w:sz="8" w:color="1A3FD6"/>
            </w:tcBorders>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200" w:type="dxa"/>
            <w:vAlign w:val="bottom"/>
            <w:tcBorders>
              <w:bottom w:val="single" w:sz="8" w:color="1A3FD6"/>
            </w:tcBorders>
          </w:tcPr>
          <w:p>
            <w:pPr>
              <w:spacing w:after="0"/>
              <w:rPr>
                <w:sz w:val="2"/>
                <w:szCs w:val="2"/>
                <w:color w:val="auto"/>
              </w:rPr>
            </w:pPr>
          </w:p>
        </w:tc>
        <w:tc>
          <w:tcPr>
            <w:tcW w:w="320" w:type="dxa"/>
            <w:vAlign w:val="bottom"/>
            <w:tcBorders>
              <w:bottom w:val="single" w:sz="8" w:color="1A3FD6"/>
            </w:tcBorders>
          </w:tcPr>
          <w:p>
            <w:pPr>
              <w:spacing w:after="0"/>
              <w:rPr>
                <w:sz w:val="2"/>
                <w:szCs w:val="2"/>
                <w:color w:val="auto"/>
              </w:rPr>
            </w:pPr>
          </w:p>
        </w:tc>
        <w:tc>
          <w:tcPr>
            <w:tcW w:w="1060" w:type="dxa"/>
            <w:vAlign w:val="bottom"/>
            <w:tcBorders>
              <w:bottom w:val="single" w:sz="8" w:color="1A3FD6"/>
            </w:tcBorders>
          </w:tcPr>
          <w:p>
            <w:pPr>
              <w:spacing w:after="0"/>
              <w:rPr>
                <w:sz w:val="2"/>
                <w:szCs w:val="2"/>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1,202,305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1,109,128</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1,148,592</w:t>
            </w:r>
          </w:p>
        </w:tc>
      </w:tr>
      <w:tr>
        <w:trPr>
          <w:trHeight w:val="34"/>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Amortization of acquired intangible assets and equity method investment basis difference</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90,606</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103,041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75,229</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Impairment related to sublease of leased property</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63"/>
        </w:trPr>
        <w:tc>
          <w:tcPr>
            <w:tcW w:w="7060" w:type="dxa"/>
            <w:vAlign w:val="bottom"/>
            <w:tcBorders>
              <w:bottom w:val="single" w:sz="8" w:color="E6E7EB"/>
            </w:tcBorders>
          </w:tcPr>
          <w:p>
            <w:pPr>
              <w:ind w:left="20"/>
              <w:spacing w:after="0"/>
              <w:rPr>
                <w:sz w:val="20"/>
                <w:szCs w:val="20"/>
                <w:color w:val="auto"/>
              </w:rPr>
            </w:pPr>
            <w:r>
              <w:rPr>
                <w:rFonts w:ascii="Arial" w:cs="Arial" w:eastAsia="Arial" w:hAnsi="Arial"/>
                <w:sz w:val="16"/>
                <w:szCs w:val="16"/>
                <w:color w:val="auto"/>
              </w:rPr>
              <w:t>Plus: Acquisition-related integration and transaction costs</w:t>
            </w:r>
            <w:r>
              <w:rPr>
                <w:rFonts w:ascii="Arial" w:cs="Arial" w:eastAsia="Arial" w:hAnsi="Arial"/>
                <w:sz w:val="21"/>
                <w:szCs w:val="21"/>
                <w:color w:val="auto"/>
                <w:vertAlign w:val="superscript"/>
              </w:rPr>
              <w:t>(1)</w:t>
            </w:r>
          </w:p>
        </w:tc>
        <w:tc>
          <w:tcPr>
            <w:tcW w:w="260" w:type="dxa"/>
            <w:vAlign w:val="bottom"/>
            <w:tcBorders>
              <w:bottom w:val="single" w:sz="8" w:color="E6E7EB"/>
            </w:tcBorders>
          </w:tcPr>
          <w:p>
            <w:pPr>
              <w:spacing w:after="0"/>
              <w:rPr>
                <w:sz w:val="22"/>
                <w:szCs w:val="22"/>
                <w:color w:val="auto"/>
              </w:rPr>
            </w:pPr>
          </w:p>
        </w:tc>
        <w:tc>
          <w:tcPr>
            <w:tcW w:w="1120" w:type="dxa"/>
            <w:vAlign w:val="bottom"/>
            <w:tcBorders>
              <w:bottom w:val="single" w:sz="8" w:color="E6E7EB"/>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6E7EB"/>
            </w:tcBorders>
          </w:tcPr>
          <w:p>
            <w:pPr>
              <w:spacing w:after="0"/>
              <w:rPr>
                <w:sz w:val="22"/>
                <w:szCs w:val="22"/>
                <w:color w:val="auto"/>
              </w:rPr>
            </w:pPr>
          </w:p>
        </w:tc>
        <w:tc>
          <w:tcPr>
            <w:tcW w:w="1200" w:type="dxa"/>
            <w:vAlign w:val="bottom"/>
            <w:tcBorders>
              <w:bottom w:val="single" w:sz="8" w:color="E6E7EB"/>
            </w:tcBorders>
          </w:tcPr>
          <w:p>
            <w:pPr>
              <w:jc w:val="right"/>
              <w:ind w:right="20"/>
              <w:spacing w:after="0"/>
              <w:rPr>
                <w:sz w:val="20"/>
                <w:szCs w:val="20"/>
                <w:color w:val="auto"/>
              </w:rPr>
            </w:pPr>
            <w:r>
              <w:rPr>
                <w:rFonts w:ascii="Arial" w:cs="Arial" w:eastAsia="Arial" w:hAnsi="Arial"/>
                <w:sz w:val="16"/>
                <w:szCs w:val="16"/>
                <w:color w:val="auto"/>
              </w:rPr>
              <w:t>6,994</w:t>
            </w:r>
          </w:p>
        </w:tc>
        <w:tc>
          <w:tcPr>
            <w:tcW w:w="320" w:type="dxa"/>
            <w:vAlign w:val="bottom"/>
            <w:tcBorders>
              <w:bottom w:val="single" w:sz="8" w:color="E6E7EB"/>
            </w:tcBorders>
          </w:tcPr>
          <w:p>
            <w:pPr>
              <w:spacing w:after="0"/>
              <w:rPr>
                <w:sz w:val="22"/>
                <w:szCs w:val="22"/>
                <w:color w:val="auto"/>
              </w:rPr>
            </w:pPr>
          </w:p>
        </w:tc>
        <w:tc>
          <w:tcPr>
            <w:tcW w:w="1060" w:type="dxa"/>
            <w:vAlign w:val="bottom"/>
            <w:tcBorders>
              <w:bottom w:val="single" w:sz="8" w:color="E6E7EB"/>
            </w:tcBorders>
          </w:tcPr>
          <w:p>
            <w:pPr>
              <w:jc w:val="right"/>
              <w:spacing w:after="0"/>
              <w:rPr>
                <w:sz w:val="20"/>
                <w:szCs w:val="20"/>
                <w:color w:val="auto"/>
              </w:rPr>
            </w:pPr>
            <w:r>
              <w:rPr>
                <w:rFonts w:ascii="Arial" w:cs="Arial" w:eastAsia="Arial" w:hAnsi="Arial"/>
                <w:sz w:val="16"/>
                <w:szCs w:val="16"/>
                <w:color w:val="auto"/>
              </w:rPr>
              <w:t>2,427</w:t>
            </w: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Write-off of deferred fees on debt extinguishment</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1,510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Less: Gain from changes in ownership interest of equity method investee</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(143,476)</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63"/>
        </w:trPr>
        <w:tc>
          <w:tcPr>
            <w:tcW w:w="7060" w:type="dxa"/>
            <w:vAlign w:val="bottom"/>
            <w:tcBorders>
              <w:bottom w:val="single" w:sz="8" w:color="E6E7EB"/>
            </w:tcBorders>
          </w:tcPr>
          <w:p>
            <w:pPr>
              <w:ind w:left="20"/>
              <w:spacing w:after="0"/>
              <w:rPr>
                <w:sz w:val="20"/>
                <w:szCs w:val="20"/>
                <w:color w:val="auto"/>
              </w:rPr>
            </w:pPr>
            <w:r>
              <w:rPr>
                <w:rFonts w:ascii="Arial" w:cs="Arial" w:eastAsia="Arial" w:hAnsi="Arial"/>
                <w:sz w:val="16"/>
                <w:szCs w:val="16"/>
                <w:color w:val="auto"/>
              </w:rPr>
              <w:t>Plus: Tax impact of internal legal entity restructuring</w:t>
            </w:r>
            <w:r>
              <w:rPr>
                <w:rFonts w:ascii="Arial" w:cs="Arial" w:eastAsia="Arial" w:hAnsi="Arial"/>
                <w:sz w:val="21"/>
                <w:szCs w:val="21"/>
                <w:color w:val="auto"/>
                <w:vertAlign w:val="superscript"/>
              </w:rPr>
              <w:t>(2)</w:t>
            </w:r>
          </w:p>
        </w:tc>
        <w:tc>
          <w:tcPr>
            <w:tcW w:w="260" w:type="dxa"/>
            <w:vAlign w:val="bottom"/>
            <w:tcBorders>
              <w:bottom w:val="single" w:sz="8" w:color="E6E7EB"/>
            </w:tcBorders>
          </w:tcPr>
          <w:p>
            <w:pPr>
              <w:spacing w:after="0"/>
              <w:rPr>
                <w:sz w:val="22"/>
                <w:szCs w:val="22"/>
                <w:color w:val="auto"/>
              </w:rPr>
            </w:pPr>
          </w:p>
        </w:tc>
        <w:tc>
          <w:tcPr>
            <w:tcW w:w="1120" w:type="dxa"/>
            <w:vAlign w:val="bottom"/>
            <w:tcBorders>
              <w:bottom w:val="single" w:sz="8" w:color="E6E7EB"/>
            </w:tcBorders>
          </w:tcPr>
          <w:p>
            <w:pPr>
              <w:jc w:val="right"/>
              <w:ind w:right="39"/>
              <w:spacing w:after="0"/>
              <w:rPr>
                <w:sz w:val="20"/>
                <w:szCs w:val="20"/>
                <w:color w:val="auto"/>
              </w:rPr>
            </w:pPr>
            <w:r>
              <w:rPr>
                <w:rFonts w:ascii="Arial" w:cs="Arial" w:eastAsia="Arial" w:hAnsi="Arial"/>
                <w:sz w:val="16"/>
                <w:szCs w:val="16"/>
                <w:color w:val="auto"/>
              </w:rPr>
              <w:t>38,124</w:t>
            </w:r>
          </w:p>
        </w:tc>
        <w:tc>
          <w:tcPr>
            <w:tcW w:w="220" w:type="dxa"/>
            <w:vAlign w:val="bottom"/>
            <w:tcBorders>
              <w:bottom w:val="single" w:sz="8" w:color="E6E7EB"/>
            </w:tcBorders>
          </w:tcPr>
          <w:p>
            <w:pPr>
              <w:spacing w:after="0"/>
              <w:rPr>
                <w:sz w:val="22"/>
                <w:szCs w:val="22"/>
                <w:color w:val="auto"/>
              </w:rPr>
            </w:pPr>
          </w:p>
        </w:tc>
        <w:tc>
          <w:tcPr>
            <w:tcW w:w="1200" w:type="dxa"/>
            <w:vAlign w:val="bottom"/>
            <w:tcBorders>
              <w:bottom w:val="single" w:sz="8" w:color="E6E7EB"/>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6E7EB"/>
            </w:tcBorders>
          </w:tcPr>
          <w:p>
            <w:pPr>
              <w:spacing w:after="0"/>
              <w:rPr>
                <w:sz w:val="22"/>
                <w:szCs w:val="22"/>
                <w:color w:val="auto"/>
              </w:rPr>
            </w:pPr>
          </w:p>
        </w:tc>
        <w:tc>
          <w:tcPr>
            <w:tcW w:w="1060" w:type="dxa"/>
            <w:vAlign w:val="bottom"/>
            <w:tcBorders>
              <w:bottom w:val="single" w:sz="8" w:color="E6E7EB"/>
            </w:tcBorders>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Loss on investment in investee</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11,768</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63"/>
        </w:trPr>
        <w:tc>
          <w:tcPr>
            <w:tcW w:w="7060" w:type="dxa"/>
            <w:vAlign w:val="bottom"/>
            <w:tcBorders>
              <w:bottom w:val="single" w:sz="8" w:color="1A3FD6"/>
            </w:tcBorders>
          </w:tcPr>
          <w:p>
            <w:pPr>
              <w:ind w:left="20"/>
              <w:spacing w:after="0"/>
              <w:rPr>
                <w:sz w:val="20"/>
                <w:szCs w:val="20"/>
                <w:color w:val="auto"/>
              </w:rPr>
            </w:pPr>
            <w:r>
              <w:rPr>
                <w:rFonts w:ascii="Arial" w:cs="Arial" w:eastAsia="Arial" w:hAnsi="Arial"/>
                <w:sz w:val="16"/>
                <w:szCs w:val="16"/>
                <w:color w:val="auto"/>
              </w:rPr>
              <w:t>Less: Income tax effect</w:t>
            </w:r>
            <w:r>
              <w:rPr>
                <w:rFonts w:ascii="Arial" w:cs="Arial" w:eastAsia="Arial" w:hAnsi="Arial"/>
                <w:sz w:val="21"/>
                <w:szCs w:val="21"/>
                <w:color w:val="auto"/>
                <w:vertAlign w:val="superscript"/>
              </w:rPr>
              <w:t>(3)(4)</w:t>
            </w:r>
          </w:p>
        </w:tc>
        <w:tc>
          <w:tcPr>
            <w:tcW w:w="260" w:type="dxa"/>
            <w:vAlign w:val="bottom"/>
            <w:tcBorders>
              <w:bottom w:val="single" w:sz="8" w:color="1A3FD6"/>
            </w:tcBorders>
          </w:tcPr>
          <w:p>
            <w:pPr>
              <w:spacing w:after="0"/>
              <w:rPr>
                <w:sz w:val="22"/>
                <w:szCs w:val="22"/>
                <w:color w:val="auto"/>
              </w:rPr>
            </w:pPr>
          </w:p>
        </w:tc>
        <w:tc>
          <w:tcPr>
            <w:tcW w:w="112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(18,227)</w:t>
            </w:r>
          </w:p>
        </w:tc>
        <w:tc>
          <w:tcPr>
            <w:tcW w:w="220" w:type="dxa"/>
            <w:vAlign w:val="bottom"/>
            <w:tcBorders>
              <w:bottom w:val="single" w:sz="8" w:color="1A3FD6"/>
            </w:tcBorders>
          </w:tcPr>
          <w:p>
            <w:pPr>
              <w:spacing w:after="0"/>
              <w:rPr>
                <w:sz w:val="22"/>
                <w:szCs w:val="22"/>
                <w:color w:val="auto"/>
              </w:rPr>
            </w:pPr>
          </w:p>
        </w:tc>
        <w:tc>
          <w:tcPr>
            <w:tcW w:w="120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(20,415)</w:t>
            </w:r>
          </w:p>
        </w:tc>
        <w:tc>
          <w:tcPr>
            <w:tcW w:w="320" w:type="dxa"/>
            <w:vAlign w:val="bottom"/>
            <w:tcBorders>
              <w:bottom w:val="single" w:sz="8" w:color="1A3FD6"/>
            </w:tcBorders>
          </w:tcPr>
          <w:p>
            <w:pPr>
              <w:spacing w:after="0"/>
              <w:rPr>
                <w:sz w:val="22"/>
                <w:szCs w:val="22"/>
                <w:color w:val="auto"/>
              </w:rPr>
            </w:pPr>
          </w:p>
        </w:tc>
        <w:tc>
          <w:tcPr>
            <w:tcW w:w="106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(3,809)</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1,324,576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1,200,258</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1,079,455</w:t>
            </w:r>
          </w:p>
        </w:tc>
      </w:tr>
      <w:tr>
        <w:trPr>
          <w:trHeight w:val="34"/>
        </w:trPr>
        <w:tc>
          <w:tcPr>
            <w:tcW w:w="706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00" w:type="dxa"/>
            <w:vAlign w:val="bottom"/>
            <w:tcBorders>
              <w:bottom w:val="single" w:sz="8" w:color="1A3FD6"/>
            </w:tcBorders>
          </w:tcPr>
          <w:p>
            <w:pPr>
              <w:spacing w:after="0"/>
              <w:rPr>
                <w:sz w:val="3"/>
                <w:szCs w:val="3"/>
                <w:color w:val="auto"/>
              </w:rPr>
            </w:pPr>
          </w:p>
        </w:tc>
        <w:tc>
          <w:tcPr>
            <w:tcW w:w="320" w:type="dxa"/>
            <w:vAlign w:val="bottom"/>
            <w:tcBorders>
              <w:bottom w:val="single" w:sz="8" w:color="1A3FD6"/>
            </w:tcBorders>
          </w:tcPr>
          <w:p>
            <w:pPr>
              <w:spacing w:after="0"/>
              <w:rPr>
                <w:sz w:val="3"/>
                <w:szCs w:val="3"/>
                <w:color w:val="auto"/>
              </w:rPr>
            </w:pPr>
          </w:p>
        </w:tc>
        <w:tc>
          <w:tcPr>
            <w:tcW w:w="1060" w:type="dxa"/>
            <w:vAlign w:val="bottom"/>
            <w:tcBorders>
              <w:bottom w:val="single" w:sz="8" w:color="1A3FD6"/>
            </w:tcBorders>
          </w:tcPr>
          <w:p>
            <w:pPr>
              <w:spacing w:after="0"/>
              <w:rPr>
                <w:sz w:val="3"/>
                <w:szCs w:val="3"/>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15.69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14.05</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14.39</w:t>
            </w:r>
          </w:p>
        </w:tc>
      </w:tr>
      <w:tr>
        <w:trPr>
          <w:trHeight w:val="34"/>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Amortization of acquired intangible assets and equity method investment basis difference</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Impairment related to sublease of leased property</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64"/>
        </w:trPr>
        <w:tc>
          <w:tcPr>
            <w:tcW w:w="7060" w:type="dxa"/>
            <w:vAlign w:val="bottom"/>
            <w:tcBorders>
              <w:bottom w:val="single" w:sz="8" w:color="E6E7EB"/>
            </w:tcBorders>
          </w:tcPr>
          <w:p>
            <w:pPr>
              <w:ind w:left="20"/>
              <w:spacing w:after="0"/>
              <w:rPr>
                <w:sz w:val="20"/>
                <w:szCs w:val="20"/>
                <w:color w:val="auto"/>
              </w:rPr>
            </w:pPr>
            <w:r>
              <w:rPr>
                <w:rFonts w:ascii="Arial" w:cs="Arial" w:eastAsia="Arial" w:hAnsi="Arial"/>
                <w:sz w:val="16"/>
                <w:szCs w:val="16"/>
                <w:color w:val="auto"/>
              </w:rPr>
              <w:t>Plus: Acquisition-related integration and transaction costs</w:t>
            </w:r>
            <w:r>
              <w:rPr>
                <w:rFonts w:ascii="Arial" w:cs="Arial" w:eastAsia="Arial" w:hAnsi="Arial"/>
                <w:sz w:val="21"/>
                <w:szCs w:val="21"/>
                <w:color w:val="auto"/>
                <w:vertAlign w:val="superscript"/>
              </w:rPr>
              <w:t>(1)</w:t>
            </w:r>
          </w:p>
        </w:tc>
        <w:tc>
          <w:tcPr>
            <w:tcW w:w="260" w:type="dxa"/>
            <w:vAlign w:val="bottom"/>
            <w:tcBorders>
              <w:bottom w:val="single" w:sz="8" w:color="E6E7EB"/>
            </w:tcBorders>
          </w:tcPr>
          <w:p>
            <w:pPr>
              <w:spacing w:after="0"/>
              <w:rPr>
                <w:sz w:val="22"/>
                <w:szCs w:val="22"/>
                <w:color w:val="auto"/>
              </w:rPr>
            </w:pPr>
          </w:p>
        </w:tc>
        <w:tc>
          <w:tcPr>
            <w:tcW w:w="1120" w:type="dxa"/>
            <w:vAlign w:val="bottom"/>
            <w:tcBorders>
              <w:bottom w:val="single" w:sz="8" w:color="E6E7EB"/>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6E7EB"/>
            </w:tcBorders>
          </w:tcPr>
          <w:p>
            <w:pPr>
              <w:spacing w:after="0"/>
              <w:rPr>
                <w:sz w:val="22"/>
                <w:szCs w:val="22"/>
                <w:color w:val="auto"/>
              </w:rPr>
            </w:pPr>
          </w:p>
        </w:tc>
        <w:tc>
          <w:tcPr>
            <w:tcW w:w="1200" w:type="dxa"/>
            <w:vAlign w:val="bottom"/>
            <w:tcBorders>
              <w:bottom w:val="single" w:sz="8" w:color="E6E7EB"/>
            </w:tcBorders>
          </w:tcPr>
          <w:p>
            <w:pPr>
              <w:jc w:val="right"/>
              <w:ind w:right="20"/>
              <w:spacing w:after="0"/>
              <w:rPr>
                <w:sz w:val="20"/>
                <w:szCs w:val="20"/>
                <w:color w:val="auto"/>
              </w:rPr>
            </w:pPr>
            <w:r>
              <w:rPr>
                <w:rFonts w:ascii="Arial" w:cs="Arial" w:eastAsia="Arial" w:hAnsi="Arial"/>
                <w:sz w:val="16"/>
                <w:szCs w:val="16"/>
                <w:color w:val="auto"/>
              </w:rPr>
              <w:t>0.09</w:t>
            </w:r>
          </w:p>
        </w:tc>
        <w:tc>
          <w:tcPr>
            <w:tcW w:w="320" w:type="dxa"/>
            <w:vAlign w:val="bottom"/>
            <w:tcBorders>
              <w:bottom w:val="single" w:sz="8" w:color="E6E7EB"/>
            </w:tcBorders>
          </w:tcPr>
          <w:p>
            <w:pPr>
              <w:spacing w:after="0"/>
              <w:rPr>
                <w:sz w:val="22"/>
                <w:szCs w:val="22"/>
                <w:color w:val="auto"/>
              </w:rPr>
            </w:pPr>
          </w:p>
        </w:tc>
        <w:tc>
          <w:tcPr>
            <w:tcW w:w="1060" w:type="dxa"/>
            <w:vAlign w:val="bottom"/>
            <w:tcBorders>
              <w:bottom w:val="single" w:sz="8" w:color="E6E7EB"/>
            </w:tcBorders>
          </w:tcPr>
          <w:p>
            <w:pPr>
              <w:jc w:val="right"/>
              <w:spacing w:after="0"/>
              <w:rPr>
                <w:sz w:val="20"/>
                <w:szCs w:val="20"/>
                <w:color w:val="auto"/>
              </w:rPr>
            </w:pPr>
            <w:r>
              <w:rPr>
                <w:rFonts w:ascii="Arial" w:cs="Arial" w:eastAsia="Arial" w:hAnsi="Arial"/>
                <w:sz w:val="16"/>
                <w:szCs w:val="16"/>
                <w:color w:val="auto"/>
              </w:rPr>
              <w:t>0.03</w:t>
            </w: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Write-off of deferred fees on debt extinguishment</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0.02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Less: Gain from changes in ownership interest of equity method investee</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63"/>
        </w:trPr>
        <w:tc>
          <w:tcPr>
            <w:tcW w:w="7060" w:type="dxa"/>
            <w:vAlign w:val="bottom"/>
            <w:tcBorders>
              <w:bottom w:val="single" w:sz="8" w:color="E6E7EB"/>
            </w:tcBorders>
          </w:tcPr>
          <w:p>
            <w:pPr>
              <w:ind w:left="20"/>
              <w:spacing w:after="0"/>
              <w:rPr>
                <w:sz w:val="20"/>
                <w:szCs w:val="20"/>
                <w:color w:val="auto"/>
              </w:rPr>
            </w:pPr>
            <w:r>
              <w:rPr>
                <w:rFonts w:ascii="Arial" w:cs="Arial" w:eastAsia="Arial" w:hAnsi="Arial"/>
                <w:sz w:val="16"/>
                <w:szCs w:val="16"/>
                <w:color w:val="auto"/>
              </w:rPr>
              <w:t>Plus: Tax impact of internal legal entity restructuring</w:t>
            </w:r>
            <w:r>
              <w:rPr>
                <w:rFonts w:ascii="Arial" w:cs="Arial" w:eastAsia="Arial" w:hAnsi="Arial"/>
                <w:sz w:val="21"/>
                <w:szCs w:val="21"/>
                <w:color w:val="auto"/>
                <w:vertAlign w:val="superscript"/>
              </w:rPr>
              <w:t>(2)</w:t>
            </w:r>
          </w:p>
        </w:tc>
        <w:tc>
          <w:tcPr>
            <w:tcW w:w="260" w:type="dxa"/>
            <w:vAlign w:val="bottom"/>
            <w:tcBorders>
              <w:bottom w:val="single" w:sz="8" w:color="E6E7EB"/>
            </w:tcBorders>
          </w:tcPr>
          <w:p>
            <w:pPr>
              <w:spacing w:after="0"/>
              <w:rPr>
                <w:sz w:val="22"/>
                <w:szCs w:val="22"/>
                <w:color w:val="auto"/>
              </w:rPr>
            </w:pPr>
          </w:p>
        </w:tc>
        <w:tc>
          <w:tcPr>
            <w:tcW w:w="1120" w:type="dxa"/>
            <w:vAlign w:val="bottom"/>
            <w:tcBorders>
              <w:bottom w:val="single" w:sz="8" w:color="E6E7EB"/>
            </w:tcBorders>
          </w:tcPr>
          <w:p>
            <w:pPr>
              <w:jc w:val="right"/>
              <w:ind w:right="39"/>
              <w:spacing w:after="0"/>
              <w:rPr>
                <w:sz w:val="20"/>
                <w:szCs w:val="20"/>
                <w:color w:val="auto"/>
              </w:rPr>
            </w:pPr>
            <w:r>
              <w:rPr>
                <w:rFonts w:ascii="Arial" w:cs="Arial" w:eastAsia="Arial" w:hAnsi="Arial"/>
                <w:sz w:val="16"/>
                <w:szCs w:val="16"/>
                <w:color w:val="auto"/>
              </w:rPr>
              <w:t>0.50</w:t>
            </w:r>
          </w:p>
        </w:tc>
        <w:tc>
          <w:tcPr>
            <w:tcW w:w="220" w:type="dxa"/>
            <w:vAlign w:val="bottom"/>
            <w:tcBorders>
              <w:bottom w:val="single" w:sz="8" w:color="E6E7EB"/>
            </w:tcBorders>
          </w:tcPr>
          <w:p>
            <w:pPr>
              <w:spacing w:after="0"/>
              <w:rPr>
                <w:sz w:val="22"/>
                <w:szCs w:val="22"/>
                <w:color w:val="auto"/>
              </w:rPr>
            </w:pPr>
          </w:p>
        </w:tc>
        <w:tc>
          <w:tcPr>
            <w:tcW w:w="1200" w:type="dxa"/>
            <w:vAlign w:val="bottom"/>
            <w:tcBorders>
              <w:bottom w:val="single" w:sz="8" w:color="E6E7EB"/>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6E7EB"/>
            </w:tcBorders>
          </w:tcPr>
          <w:p>
            <w:pPr>
              <w:spacing w:after="0"/>
              <w:rPr>
                <w:sz w:val="22"/>
                <w:szCs w:val="22"/>
                <w:color w:val="auto"/>
              </w:rPr>
            </w:pPr>
          </w:p>
        </w:tc>
        <w:tc>
          <w:tcPr>
            <w:tcW w:w="1060" w:type="dxa"/>
            <w:vAlign w:val="bottom"/>
            <w:tcBorders>
              <w:bottom w:val="single" w:sz="8" w:color="E6E7EB"/>
            </w:tcBorders>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7060" w:type="dxa"/>
            <w:vAlign w:val="bottom"/>
          </w:tcPr>
          <w:p>
            <w:pPr>
              <w:ind w:left="20"/>
              <w:spacing w:after="0"/>
              <w:rPr>
                <w:sz w:val="20"/>
                <w:szCs w:val="20"/>
                <w:color w:val="auto"/>
              </w:rPr>
            </w:pPr>
            <w:r>
              <w:rPr>
                <w:rFonts w:ascii="Arial" w:cs="Arial" w:eastAsia="Arial" w:hAnsi="Arial"/>
                <w:sz w:val="16"/>
                <w:szCs w:val="16"/>
                <w:color w:val="auto"/>
              </w:rPr>
              <w:t>Plus: Loss on investment in investee</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0.15</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706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00" w:type="dxa"/>
            <w:vAlign w:val="bottom"/>
            <w:tcBorders>
              <w:bottom w:val="single" w:sz="8" w:color="E6E7EB"/>
            </w:tcBorders>
          </w:tcPr>
          <w:p>
            <w:pPr>
              <w:spacing w:after="0"/>
              <w:rPr>
                <w:sz w:val="3"/>
                <w:szCs w:val="3"/>
                <w:color w:val="auto"/>
              </w:rPr>
            </w:pPr>
          </w:p>
        </w:tc>
        <w:tc>
          <w:tcPr>
            <w:tcW w:w="320" w:type="dxa"/>
            <w:vAlign w:val="bottom"/>
            <w:tcBorders>
              <w:bottom w:val="single" w:sz="8" w:color="E6E7EB"/>
            </w:tcBorders>
          </w:tcPr>
          <w:p>
            <w:pPr>
              <w:spacing w:after="0"/>
              <w:rPr>
                <w:sz w:val="3"/>
                <w:szCs w:val="3"/>
                <w:color w:val="auto"/>
              </w:rPr>
            </w:pPr>
          </w:p>
        </w:tc>
        <w:tc>
          <w:tcPr>
            <w:tcW w:w="1060" w:type="dxa"/>
            <w:vAlign w:val="bottom"/>
            <w:tcBorders>
              <w:bottom w:val="single" w:sz="8" w:color="E6E7EB"/>
            </w:tcBorders>
          </w:tcPr>
          <w:p>
            <w:pPr>
              <w:spacing w:after="0"/>
              <w:rPr>
                <w:sz w:val="3"/>
                <w:szCs w:val="3"/>
                <w:color w:val="auto"/>
              </w:rPr>
            </w:pPr>
          </w:p>
        </w:tc>
      </w:tr>
      <w:tr>
        <w:trPr>
          <w:trHeight w:val="263"/>
        </w:trPr>
        <w:tc>
          <w:tcPr>
            <w:tcW w:w="7060" w:type="dxa"/>
            <w:vAlign w:val="bottom"/>
            <w:tcBorders>
              <w:bottom w:val="single" w:sz="8" w:color="1A3FD6"/>
            </w:tcBorders>
          </w:tcPr>
          <w:p>
            <w:pPr>
              <w:ind w:left="20"/>
              <w:spacing w:after="0"/>
              <w:rPr>
                <w:sz w:val="20"/>
                <w:szCs w:val="20"/>
                <w:color w:val="auto"/>
              </w:rPr>
            </w:pPr>
            <w:r>
              <w:rPr>
                <w:rFonts w:ascii="Arial" w:cs="Arial" w:eastAsia="Arial" w:hAnsi="Arial"/>
                <w:sz w:val="16"/>
                <w:szCs w:val="16"/>
                <w:color w:val="auto"/>
              </w:rPr>
              <w:t>Less: Income tax effect</w:t>
            </w:r>
            <w:r>
              <w:rPr>
                <w:rFonts w:ascii="Arial" w:cs="Arial" w:eastAsia="Arial" w:hAnsi="Arial"/>
                <w:sz w:val="21"/>
                <w:szCs w:val="21"/>
                <w:color w:val="auto"/>
                <w:vertAlign w:val="superscript"/>
              </w:rPr>
              <w:t>(3)(4)</w:t>
            </w:r>
          </w:p>
        </w:tc>
        <w:tc>
          <w:tcPr>
            <w:tcW w:w="260" w:type="dxa"/>
            <w:vAlign w:val="bottom"/>
            <w:tcBorders>
              <w:bottom w:val="single" w:sz="8" w:color="1A3FD6"/>
            </w:tcBorders>
          </w:tcPr>
          <w:p>
            <w:pPr>
              <w:spacing w:after="0"/>
              <w:rPr>
                <w:sz w:val="22"/>
                <w:szCs w:val="22"/>
                <w:color w:val="auto"/>
              </w:rPr>
            </w:pPr>
          </w:p>
        </w:tc>
        <w:tc>
          <w:tcPr>
            <w:tcW w:w="112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(0.24)</w:t>
            </w:r>
          </w:p>
        </w:tc>
        <w:tc>
          <w:tcPr>
            <w:tcW w:w="220" w:type="dxa"/>
            <w:vAlign w:val="bottom"/>
            <w:tcBorders>
              <w:bottom w:val="single" w:sz="8" w:color="1A3FD6"/>
            </w:tcBorders>
          </w:tcPr>
          <w:p>
            <w:pPr>
              <w:spacing w:after="0"/>
              <w:rPr>
                <w:sz w:val="22"/>
                <w:szCs w:val="22"/>
                <w:color w:val="auto"/>
              </w:rPr>
            </w:pPr>
          </w:p>
        </w:tc>
        <w:tc>
          <w:tcPr>
            <w:tcW w:w="120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(0.26)</w:t>
            </w:r>
          </w:p>
        </w:tc>
        <w:tc>
          <w:tcPr>
            <w:tcW w:w="320" w:type="dxa"/>
            <w:vAlign w:val="bottom"/>
            <w:tcBorders>
              <w:bottom w:val="single" w:sz="8" w:color="1A3FD6"/>
            </w:tcBorders>
          </w:tcPr>
          <w:p>
            <w:pPr>
              <w:spacing w:after="0"/>
              <w:rPr>
                <w:sz w:val="22"/>
                <w:szCs w:val="22"/>
                <w:color w:val="auto"/>
              </w:rPr>
            </w:pPr>
          </w:p>
        </w:tc>
        <w:tc>
          <w:tcPr>
            <w:tcW w:w="106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(0.05)</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Adjusted EPS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17.28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15.20</w:t>
            </w:r>
          </w:p>
        </w:tc>
        <w:tc>
          <w:tcPr>
            <w:tcW w:w="3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13.52</w:t>
            </w:r>
          </w:p>
        </w:tc>
      </w:tr>
      <w:tr>
        <w:trPr>
          <w:trHeight w:val="34"/>
        </w:trPr>
        <w:tc>
          <w:tcPr>
            <w:tcW w:w="706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00" w:type="dxa"/>
            <w:vAlign w:val="bottom"/>
            <w:tcBorders>
              <w:bottom w:val="single" w:sz="8" w:color="1A3FD6"/>
            </w:tcBorders>
          </w:tcPr>
          <w:p>
            <w:pPr>
              <w:spacing w:after="0"/>
              <w:rPr>
                <w:sz w:val="3"/>
                <w:szCs w:val="3"/>
                <w:color w:val="auto"/>
              </w:rPr>
            </w:pPr>
          </w:p>
        </w:tc>
        <w:tc>
          <w:tcPr>
            <w:tcW w:w="320" w:type="dxa"/>
            <w:vAlign w:val="bottom"/>
            <w:tcBorders>
              <w:bottom w:val="single" w:sz="8" w:color="1A3FD6"/>
            </w:tcBorders>
          </w:tcPr>
          <w:p>
            <w:pPr>
              <w:spacing w:after="0"/>
              <w:rPr>
                <w:sz w:val="3"/>
                <w:szCs w:val="3"/>
                <w:color w:val="auto"/>
              </w:rPr>
            </w:pPr>
          </w:p>
        </w:tc>
        <w:tc>
          <w:tcPr>
            <w:tcW w:w="1060" w:type="dxa"/>
            <w:vAlign w:val="bottom"/>
            <w:tcBorders>
              <w:bottom w:val="single" w:sz="8" w:color="1A3FD6"/>
            </w:tcBorders>
          </w:tcPr>
          <w:p>
            <w:pPr>
              <w:spacing w:after="0"/>
              <w:rPr>
                <w:sz w:val="3"/>
                <w:szCs w:val="3"/>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Diluted weighted average common shares outstanding</w:t>
            </w:r>
          </w:p>
        </w:tc>
        <w:tc>
          <w:tcPr>
            <w:tcW w:w="2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76,636</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78,960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79,843</w:t>
            </w:r>
          </w:p>
        </w:tc>
      </w:tr>
      <w:tr>
        <w:trPr>
          <w:trHeight w:val="35"/>
        </w:trPr>
        <w:tc>
          <w:tcPr>
            <w:tcW w:w="706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00" w:type="dxa"/>
            <w:vAlign w:val="bottom"/>
            <w:tcBorders>
              <w:bottom w:val="single" w:sz="8" w:color="1A3FD6"/>
            </w:tcBorders>
          </w:tcPr>
          <w:p>
            <w:pPr>
              <w:spacing w:after="0"/>
              <w:rPr>
                <w:sz w:val="3"/>
                <w:szCs w:val="3"/>
                <w:color w:val="auto"/>
              </w:rPr>
            </w:pPr>
          </w:p>
        </w:tc>
        <w:tc>
          <w:tcPr>
            <w:tcW w:w="320" w:type="dxa"/>
            <w:vAlign w:val="bottom"/>
            <w:tcBorders>
              <w:bottom w:val="single" w:sz="8" w:color="1A3FD6"/>
            </w:tcBorders>
          </w:tcPr>
          <w:p>
            <w:pPr>
              <w:spacing w:after="0"/>
              <w:rPr>
                <w:sz w:val="3"/>
                <w:szCs w:val="3"/>
                <w:color w:val="auto"/>
              </w:rPr>
            </w:pPr>
          </w:p>
        </w:tc>
        <w:tc>
          <w:tcPr>
            <w:tcW w:w="1060" w:type="dxa"/>
            <w:vAlign w:val="bottom"/>
            <w:tcBorders>
              <w:bottom w:val="single" w:sz="8" w:color="1A3FD6"/>
            </w:tcBorders>
          </w:tcPr>
          <w:p>
            <w:pPr>
              <w:spacing w:after="0"/>
              <w:rPr>
                <w:sz w:val="3"/>
                <w:szCs w:val="3"/>
                <w:color w:val="auto"/>
              </w:rPr>
            </w:pPr>
          </w:p>
        </w:tc>
      </w:tr>
    </w:tbl>
    <w:p>
      <w:pPr>
        <w:spacing w:after="0" w:line="153" w:lineRule="exact"/>
        <w:rPr>
          <w:sz w:val="20"/>
          <w:szCs w:val="20"/>
          <w:color w:val="auto"/>
        </w:rPr>
      </w:pPr>
    </w:p>
    <w:p>
      <w:pPr>
        <w:ind w:left="260" w:right="700" w:hanging="252"/>
        <w:spacing w:after="0" w:line="239" w:lineRule="auto"/>
        <w:tabs>
          <w:tab w:leader="none" w:pos="264" w:val="left"/>
        </w:tabs>
        <w:numPr>
          <w:ilvl w:val="0"/>
          <w:numId w:val="132"/>
        </w:numPr>
        <w:rPr>
          <w:rFonts w:ascii="Arial" w:cs="Arial" w:eastAsia="Arial" w:hAnsi="Arial"/>
          <w:sz w:val="19"/>
          <w:szCs w:val="19"/>
          <w:color w:val="auto"/>
          <w:vertAlign w:val="superscript"/>
        </w:rPr>
      </w:pPr>
      <w:r>
        <w:rPr>
          <w:rFonts w:ascii="Arial" w:cs="Arial" w:eastAsia="Arial" w:hAnsi="Arial"/>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67" w:lineRule="exact"/>
        <w:rPr>
          <w:rFonts w:ascii="Arial" w:cs="Arial" w:eastAsia="Arial" w:hAnsi="Arial"/>
          <w:sz w:val="19"/>
          <w:szCs w:val="19"/>
          <w:color w:val="auto"/>
          <w:vertAlign w:val="superscript"/>
        </w:rPr>
      </w:pPr>
    </w:p>
    <w:p>
      <w:pPr>
        <w:ind w:left="260" w:right="60" w:hanging="252"/>
        <w:spacing w:after="0" w:line="268" w:lineRule="auto"/>
        <w:tabs>
          <w:tab w:leader="none" w:pos="250" w:val="left"/>
        </w:tabs>
        <w:numPr>
          <w:ilvl w:val="0"/>
          <w:numId w:val="132"/>
        </w:numPr>
        <w:rPr>
          <w:rFonts w:ascii="Arial" w:cs="Arial" w:eastAsia="Arial" w:hAnsi="Arial"/>
          <w:sz w:val="19"/>
          <w:szCs w:val="19"/>
          <w:color w:val="auto"/>
          <w:vertAlign w:val="superscript"/>
        </w:rPr>
      </w:pPr>
      <w:r>
        <w:rPr>
          <w:rFonts w:ascii="Arial" w:cs="Arial" w:eastAsia="Arial" w:hAnsi="Arial"/>
          <w:sz w:val="14"/>
          <w:szCs w:val="14"/>
          <w:color w:val="auto"/>
        </w:rPr>
        <w:t>This adjustment reflects discrete income tax expense recognized in connection with a multi-phase internal legal entity restructuring that commenced in Q4 2025 and was completed on January 4, 2026. In Q4 2025, the Company recognized discrete tax expense of $38 million related to the first phase, and expects to recognize a discrete tax benefit of approximately $88 million in 2026 related to the subsequent phases of this internal legal entity restructuring. Management excludes these discrete tax effects from non-GAAP results because they are not indicative of ongoing operating performance or the Company’s underlying tax profile. Amounts relating to 2026 tax impacts are preliminary and subject to adjustment pending finalization of tax calculations related to the restructuring.</w:t>
      </w:r>
    </w:p>
    <w:p>
      <w:pPr>
        <w:spacing w:after="0" w:line="49" w:lineRule="exact"/>
        <w:rPr>
          <w:rFonts w:ascii="Arial" w:cs="Arial" w:eastAsia="Arial" w:hAnsi="Arial"/>
          <w:sz w:val="19"/>
          <w:szCs w:val="19"/>
          <w:color w:val="auto"/>
          <w:vertAlign w:val="superscript"/>
        </w:rPr>
      </w:pPr>
    </w:p>
    <w:p>
      <w:pPr>
        <w:ind w:left="260" w:right="320" w:hanging="252"/>
        <w:spacing w:after="0" w:line="239" w:lineRule="auto"/>
        <w:tabs>
          <w:tab w:leader="none" w:pos="250" w:val="left"/>
        </w:tabs>
        <w:numPr>
          <w:ilvl w:val="0"/>
          <w:numId w:val="132"/>
        </w:numPr>
        <w:rPr>
          <w:rFonts w:ascii="Arial" w:cs="Arial" w:eastAsia="Arial" w:hAnsi="Arial"/>
          <w:sz w:val="19"/>
          <w:szCs w:val="19"/>
          <w:color w:val="auto"/>
          <w:vertAlign w:val="superscript"/>
        </w:rPr>
      </w:pPr>
      <w:r>
        <w:rPr>
          <w:rFonts w:ascii="Arial" w:cs="Arial" w:eastAsia="Arial" w:hAnsi="Arial"/>
          <w:sz w:val="14"/>
          <w:szCs w:val="14"/>
          <w:color w:val="auto"/>
        </w:rPr>
        <w:t>The pre-tax gain from changes in ownership interest of Burgiss of $143.0 million is non-taxable; however, $8.6 million of income tax expense recognized during the year ended December 31, 2023 was related to the remeasurement of the deferred tax liability on the Company’s previous equity method investment in Burgiss.</w:t>
      </w:r>
    </w:p>
    <w:p>
      <w:pPr>
        <w:spacing w:after="0" w:line="67" w:lineRule="exact"/>
        <w:rPr>
          <w:rFonts w:ascii="Arial" w:cs="Arial" w:eastAsia="Arial" w:hAnsi="Arial"/>
          <w:sz w:val="19"/>
          <w:szCs w:val="19"/>
          <w:color w:val="auto"/>
          <w:vertAlign w:val="superscript"/>
        </w:rPr>
      </w:pPr>
    </w:p>
    <w:p>
      <w:pPr>
        <w:ind w:left="260" w:right="40" w:hanging="252"/>
        <w:spacing w:after="0" w:line="239" w:lineRule="auto"/>
        <w:tabs>
          <w:tab w:leader="none" w:pos="250" w:val="left"/>
        </w:tabs>
        <w:numPr>
          <w:ilvl w:val="0"/>
          <w:numId w:val="132"/>
        </w:numPr>
        <w:rPr>
          <w:rFonts w:ascii="Arial" w:cs="Arial" w:eastAsia="Arial" w:hAnsi="Arial"/>
          <w:sz w:val="19"/>
          <w:szCs w:val="19"/>
          <w:color w:val="auto"/>
          <w:vertAlign w:val="superscript"/>
        </w:rPr>
      </w:pPr>
      <w:r>
        <w:rPr>
          <w:rFonts w:ascii="Arial" w:cs="Arial" w:eastAsia="Arial" w:hAnsi="Arial"/>
          <w:sz w:val="14"/>
          <w:szCs w:val="14"/>
          <w:color w:val="auto"/>
        </w:rPr>
        <w:t>Adjustments relate to the tax effect of non-GAAP adjustments, other than the tax impact of internal legal entity restructuring which is reflected above, which were determined based on the nature of the underlying non-GAAP adjustments and their relevant jurisdictional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288925</wp:posOffset>
            </wp:positionV>
            <wp:extent cx="556895"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4"/>
          <w:szCs w:val="14"/>
          <w:color w:val="auto"/>
        </w:rPr>
        <w:t>Annex B: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Run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02"/>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
        </w:trPr>
        <w:tc>
          <w:tcPr>
            <w:tcW w:w="7040" w:type="dxa"/>
            <w:vAlign w:val="bottom"/>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220" w:type="dxa"/>
            <w:vAlign w:val="bottom"/>
            <w:tcBorders>
              <w:bottom w:val="single" w:sz="8" w:color="1A3FD6"/>
            </w:tcBorders>
          </w:tcPr>
          <w:p>
            <w:pPr>
              <w:spacing w:after="0"/>
              <w:rPr>
                <w:sz w:val="2"/>
                <w:szCs w:val="2"/>
                <w:color w:val="auto"/>
              </w:rPr>
            </w:pPr>
          </w:p>
        </w:tc>
        <w:tc>
          <w:tcPr>
            <w:tcW w:w="30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r>
      <w:tr>
        <w:trPr>
          <w:trHeight w:val="208"/>
        </w:trPr>
        <w:tc>
          <w:tcPr>
            <w:tcW w:w="7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 31, 2025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 31, 2024</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 31, 2023</w:t>
            </w:r>
          </w:p>
        </w:tc>
      </w:tr>
      <w:tr>
        <w:trPr>
          <w:trHeight w:val="29"/>
        </w:trPr>
        <w:tc>
          <w:tcPr>
            <w:tcW w:w="7040" w:type="dxa"/>
            <w:vAlign w:val="bottom"/>
            <w:tcBorders>
              <w:bottom w:val="single" w:sz="8" w:color="1A3FD6"/>
            </w:tcBorders>
          </w:tcPr>
          <w:p>
            <w:pPr>
              <w:spacing w:after="0"/>
              <w:rPr>
                <w:sz w:val="2"/>
                <w:szCs w:val="2"/>
                <w:color w:val="auto"/>
              </w:rPr>
            </w:pPr>
          </w:p>
        </w:tc>
        <w:tc>
          <w:tcPr>
            <w:tcW w:w="260" w:type="dxa"/>
            <w:vAlign w:val="bottom"/>
            <w:tcBorders>
              <w:bottom w:val="single" w:sz="8" w:color="1A3FD6"/>
            </w:tcBorders>
          </w:tcPr>
          <w:p>
            <w:pPr>
              <w:spacing w:after="0"/>
              <w:rPr>
                <w:sz w:val="2"/>
                <w:szCs w:val="2"/>
                <w:color w:val="auto"/>
              </w:rPr>
            </w:pPr>
          </w:p>
        </w:tc>
        <w:tc>
          <w:tcPr>
            <w:tcW w:w="1120" w:type="dxa"/>
            <w:vAlign w:val="bottom"/>
            <w:tcBorders>
              <w:bottom w:val="single" w:sz="8" w:color="1A3FD6"/>
            </w:tcBorders>
          </w:tcPr>
          <w:p>
            <w:pPr>
              <w:spacing w:after="0"/>
              <w:rPr>
                <w:sz w:val="2"/>
                <w:szCs w:val="2"/>
                <w:color w:val="auto"/>
              </w:rPr>
            </w:pPr>
          </w:p>
        </w:tc>
        <w:tc>
          <w:tcPr>
            <w:tcW w:w="220" w:type="dxa"/>
            <w:vAlign w:val="bottom"/>
            <w:tcBorders>
              <w:bottom w:val="single" w:sz="8" w:color="1A3FD6"/>
            </w:tcBorders>
          </w:tcPr>
          <w:p>
            <w:pPr>
              <w:spacing w:after="0"/>
              <w:rPr>
                <w:sz w:val="2"/>
                <w:szCs w:val="2"/>
                <w:color w:val="auto"/>
              </w:rPr>
            </w:pPr>
          </w:p>
        </w:tc>
        <w:tc>
          <w:tcPr>
            <w:tcW w:w="1220" w:type="dxa"/>
            <w:vAlign w:val="bottom"/>
            <w:tcBorders>
              <w:bottom w:val="single" w:sz="8" w:color="1A3FD6"/>
            </w:tcBorders>
          </w:tcPr>
          <w:p>
            <w:pPr>
              <w:spacing w:after="0"/>
              <w:rPr>
                <w:sz w:val="2"/>
                <w:szCs w:val="2"/>
                <w:color w:val="auto"/>
              </w:rPr>
            </w:pPr>
          </w:p>
        </w:tc>
        <w:tc>
          <w:tcPr>
            <w:tcW w:w="300" w:type="dxa"/>
            <w:vAlign w:val="bottom"/>
            <w:tcBorders>
              <w:bottom w:val="single" w:sz="8" w:color="1A3FD6"/>
            </w:tcBorders>
          </w:tcPr>
          <w:p>
            <w:pPr>
              <w:spacing w:after="0"/>
              <w:rPr>
                <w:sz w:val="2"/>
                <w:szCs w:val="2"/>
                <w:color w:val="auto"/>
              </w:rPr>
            </w:pPr>
          </w:p>
        </w:tc>
        <w:tc>
          <w:tcPr>
            <w:tcW w:w="1080" w:type="dxa"/>
            <w:vAlign w:val="bottom"/>
            <w:tcBorders>
              <w:bottom w:val="single" w:sz="8" w:color="1A3FD6"/>
            </w:tcBorders>
          </w:tcPr>
          <w:p>
            <w:pPr>
              <w:spacing w:after="0"/>
              <w:rPr>
                <w:sz w:val="2"/>
                <w:szCs w:val="2"/>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Index Run Rate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1,874,115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1,612,850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1,452,238</w:t>
            </w:r>
          </w:p>
        </w:tc>
      </w:tr>
      <w:tr>
        <w:trPr>
          <w:trHeight w:val="34"/>
        </w:trPr>
        <w:tc>
          <w:tcPr>
            <w:tcW w:w="704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20" w:type="dxa"/>
            <w:vAlign w:val="bottom"/>
            <w:tcBorders>
              <w:bottom w:val="single" w:sz="8" w:color="E6E7EB"/>
            </w:tcBorders>
          </w:tcPr>
          <w:p>
            <w:pPr>
              <w:spacing w:after="0"/>
              <w:rPr>
                <w:sz w:val="3"/>
                <w:szCs w:val="3"/>
                <w:color w:val="auto"/>
              </w:rPr>
            </w:pPr>
          </w:p>
        </w:tc>
        <w:tc>
          <w:tcPr>
            <w:tcW w:w="300" w:type="dxa"/>
            <w:vAlign w:val="bottom"/>
            <w:tcBorders>
              <w:bottom w:val="single" w:sz="8" w:color="E6E7EB"/>
            </w:tcBorders>
          </w:tcPr>
          <w:p>
            <w:pPr>
              <w:spacing w:after="0"/>
              <w:rPr>
                <w:sz w:val="3"/>
                <w:szCs w:val="3"/>
                <w:color w:val="auto"/>
              </w:rPr>
            </w:pPr>
          </w:p>
        </w:tc>
        <w:tc>
          <w:tcPr>
            <w:tcW w:w="1080" w:type="dxa"/>
            <w:vAlign w:val="bottom"/>
            <w:tcBorders>
              <w:bottom w:val="single" w:sz="8" w:color="E6E7EB"/>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Analytics Run Rate</w:t>
            </w:r>
          </w:p>
        </w:tc>
        <w:tc>
          <w:tcPr>
            <w:tcW w:w="2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757,366</w:t>
            </w:r>
          </w:p>
        </w:tc>
        <w:tc>
          <w:tcPr>
            <w:tcW w:w="22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698,377</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661,922</w:t>
            </w:r>
          </w:p>
        </w:tc>
      </w:tr>
      <w:tr>
        <w:trPr>
          <w:trHeight w:val="43"/>
        </w:trPr>
        <w:tc>
          <w:tcPr>
            <w:tcW w:w="704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20" w:type="dxa"/>
            <w:vAlign w:val="bottom"/>
            <w:tcBorders>
              <w:bottom w:val="single" w:sz="8" w:color="E6E7EB"/>
            </w:tcBorders>
          </w:tcPr>
          <w:p>
            <w:pPr>
              <w:spacing w:after="0"/>
              <w:rPr>
                <w:sz w:val="3"/>
                <w:szCs w:val="3"/>
                <w:color w:val="auto"/>
              </w:rPr>
            </w:pPr>
          </w:p>
        </w:tc>
        <w:tc>
          <w:tcPr>
            <w:tcW w:w="300" w:type="dxa"/>
            <w:vAlign w:val="bottom"/>
            <w:tcBorders>
              <w:bottom w:val="single" w:sz="8" w:color="E6E7EB"/>
            </w:tcBorders>
          </w:tcPr>
          <w:p>
            <w:pPr>
              <w:spacing w:after="0"/>
              <w:rPr>
                <w:sz w:val="3"/>
                <w:szCs w:val="3"/>
                <w:color w:val="auto"/>
              </w:rPr>
            </w:pPr>
          </w:p>
        </w:tc>
        <w:tc>
          <w:tcPr>
            <w:tcW w:w="1080" w:type="dxa"/>
            <w:vAlign w:val="bottom"/>
            <w:tcBorders>
              <w:bottom w:val="single" w:sz="8" w:color="E6E7EB"/>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Sustainability and Climate Run Rate</w:t>
            </w:r>
          </w:p>
        </w:tc>
        <w:tc>
          <w:tcPr>
            <w:tcW w:w="2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378,102</w:t>
            </w:r>
          </w:p>
        </w:tc>
        <w:tc>
          <w:tcPr>
            <w:tcW w:w="220" w:type="dxa"/>
            <w:vAlign w:val="bottom"/>
          </w:tcPr>
          <w:p>
            <w:pPr>
              <w:spacing w:after="0"/>
              <w:rPr>
                <w:sz w:val="19"/>
                <w:szCs w:val="19"/>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343,741</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319,324</w:t>
            </w:r>
          </w:p>
        </w:tc>
      </w:tr>
      <w:tr>
        <w:trPr>
          <w:trHeight w:val="43"/>
        </w:trPr>
        <w:tc>
          <w:tcPr>
            <w:tcW w:w="7040" w:type="dxa"/>
            <w:vAlign w:val="bottom"/>
            <w:tcBorders>
              <w:bottom w:val="single" w:sz="8" w:color="E6E7EB"/>
            </w:tcBorders>
          </w:tcPr>
          <w:p>
            <w:pPr>
              <w:spacing w:after="0"/>
              <w:rPr>
                <w:sz w:val="3"/>
                <w:szCs w:val="3"/>
                <w:color w:val="auto"/>
              </w:rPr>
            </w:pPr>
          </w:p>
        </w:tc>
        <w:tc>
          <w:tcPr>
            <w:tcW w:w="260" w:type="dxa"/>
            <w:vAlign w:val="bottom"/>
            <w:tcBorders>
              <w:bottom w:val="single" w:sz="8" w:color="E6E7EB"/>
            </w:tcBorders>
          </w:tcPr>
          <w:p>
            <w:pPr>
              <w:spacing w:after="0"/>
              <w:rPr>
                <w:sz w:val="3"/>
                <w:szCs w:val="3"/>
                <w:color w:val="auto"/>
              </w:rPr>
            </w:pPr>
          </w:p>
        </w:tc>
        <w:tc>
          <w:tcPr>
            <w:tcW w:w="1120" w:type="dxa"/>
            <w:vAlign w:val="bottom"/>
            <w:tcBorders>
              <w:bottom w:val="single" w:sz="8" w:color="E6E7EB"/>
            </w:tcBorders>
          </w:tcPr>
          <w:p>
            <w:pPr>
              <w:spacing w:after="0"/>
              <w:rPr>
                <w:sz w:val="3"/>
                <w:szCs w:val="3"/>
                <w:color w:val="auto"/>
              </w:rPr>
            </w:pPr>
          </w:p>
        </w:tc>
        <w:tc>
          <w:tcPr>
            <w:tcW w:w="220" w:type="dxa"/>
            <w:vAlign w:val="bottom"/>
            <w:tcBorders>
              <w:bottom w:val="single" w:sz="8" w:color="E6E7EB"/>
            </w:tcBorders>
          </w:tcPr>
          <w:p>
            <w:pPr>
              <w:spacing w:after="0"/>
              <w:rPr>
                <w:sz w:val="3"/>
                <w:szCs w:val="3"/>
                <w:color w:val="auto"/>
              </w:rPr>
            </w:pPr>
          </w:p>
        </w:tc>
        <w:tc>
          <w:tcPr>
            <w:tcW w:w="1220" w:type="dxa"/>
            <w:vAlign w:val="bottom"/>
            <w:tcBorders>
              <w:bottom w:val="single" w:sz="8" w:color="E6E7EB"/>
            </w:tcBorders>
          </w:tcPr>
          <w:p>
            <w:pPr>
              <w:spacing w:after="0"/>
              <w:rPr>
                <w:sz w:val="3"/>
                <w:szCs w:val="3"/>
                <w:color w:val="auto"/>
              </w:rPr>
            </w:pPr>
          </w:p>
        </w:tc>
        <w:tc>
          <w:tcPr>
            <w:tcW w:w="300" w:type="dxa"/>
            <w:vAlign w:val="bottom"/>
            <w:tcBorders>
              <w:bottom w:val="single" w:sz="8" w:color="E6E7EB"/>
            </w:tcBorders>
          </w:tcPr>
          <w:p>
            <w:pPr>
              <w:spacing w:after="0"/>
              <w:rPr>
                <w:sz w:val="3"/>
                <w:szCs w:val="3"/>
                <w:color w:val="auto"/>
              </w:rPr>
            </w:pPr>
          </w:p>
        </w:tc>
        <w:tc>
          <w:tcPr>
            <w:tcW w:w="1080" w:type="dxa"/>
            <w:vAlign w:val="bottom"/>
            <w:tcBorders>
              <w:bottom w:val="single" w:sz="8" w:color="E6E7EB"/>
            </w:tcBorders>
          </w:tcPr>
          <w:p>
            <w:pPr>
              <w:spacing w:after="0"/>
              <w:rPr>
                <w:sz w:val="3"/>
                <w:szCs w:val="3"/>
                <w:color w:val="auto"/>
              </w:rPr>
            </w:pPr>
          </w:p>
        </w:tc>
      </w:tr>
      <w:tr>
        <w:trPr>
          <w:trHeight w:val="221"/>
        </w:trPr>
        <w:tc>
          <w:tcPr>
            <w:tcW w:w="7040" w:type="dxa"/>
            <w:vAlign w:val="bottom"/>
          </w:tcPr>
          <w:p>
            <w:pPr>
              <w:ind w:left="20"/>
              <w:spacing w:after="0"/>
              <w:rPr>
                <w:sz w:val="20"/>
                <w:szCs w:val="20"/>
                <w:color w:val="auto"/>
              </w:rPr>
            </w:pPr>
            <w:r>
              <w:rPr>
                <w:rFonts w:ascii="Arial" w:cs="Arial" w:eastAsia="Arial" w:hAnsi="Arial"/>
                <w:sz w:val="16"/>
                <w:szCs w:val="16"/>
                <w:color w:val="auto"/>
              </w:rPr>
              <w:t>All Other – Private Assets Run Rate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291,993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266,719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252,677</w:t>
            </w:r>
          </w:p>
        </w:tc>
      </w:tr>
      <w:tr>
        <w:trPr>
          <w:trHeight w:val="43"/>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Total Run Rate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3,301,576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42"/>
              <w:spacing w:after="0"/>
              <w:rPr>
                <w:sz w:val="20"/>
                <w:szCs w:val="20"/>
                <w:color w:val="auto"/>
              </w:rPr>
            </w:pPr>
            <w:r>
              <w:rPr>
                <w:rFonts w:ascii="Arial" w:cs="Arial" w:eastAsia="Arial" w:hAnsi="Arial"/>
                <w:sz w:val="16"/>
                <w:szCs w:val="16"/>
                <w:b w:val="1"/>
                <w:bCs w:val="1"/>
                <w:color w:val="auto"/>
              </w:rPr>
              <w:t>2,921,687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$2,686,161</w:t>
            </w:r>
          </w:p>
        </w:tc>
      </w:tr>
      <w:tr>
        <w:trPr>
          <w:trHeight w:val="34"/>
        </w:trPr>
        <w:tc>
          <w:tcPr>
            <w:tcW w:w="7040" w:type="dxa"/>
            <w:vAlign w:val="bottom"/>
            <w:tcBorders>
              <w:bottom w:val="single" w:sz="8" w:color="1A3FD6"/>
            </w:tcBorders>
          </w:tcPr>
          <w:p>
            <w:pPr>
              <w:spacing w:after="0"/>
              <w:rPr>
                <w:sz w:val="3"/>
                <w:szCs w:val="3"/>
                <w:color w:val="auto"/>
              </w:rPr>
            </w:pPr>
          </w:p>
        </w:tc>
        <w:tc>
          <w:tcPr>
            <w:tcW w:w="260" w:type="dxa"/>
            <w:vAlign w:val="bottom"/>
            <w:tcBorders>
              <w:bottom w:val="single" w:sz="8" w:color="1A3FD6"/>
            </w:tcBorders>
          </w:tcPr>
          <w:p>
            <w:pPr>
              <w:spacing w:after="0"/>
              <w:rPr>
                <w:sz w:val="3"/>
                <w:szCs w:val="3"/>
                <w:color w:val="auto"/>
              </w:rPr>
            </w:pPr>
          </w:p>
        </w:tc>
        <w:tc>
          <w:tcPr>
            <w:tcW w:w="1120" w:type="dxa"/>
            <w:vAlign w:val="bottom"/>
            <w:tcBorders>
              <w:bottom w:val="single" w:sz="8" w:color="1A3FD6"/>
            </w:tcBorders>
          </w:tcPr>
          <w:p>
            <w:pPr>
              <w:spacing w:after="0"/>
              <w:rPr>
                <w:sz w:val="3"/>
                <w:szCs w:val="3"/>
                <w:color w:val="auto"/>
              </w:rPr>
            </w:pPr>
          </w:p>
        </w:tc>
        <w:tc>
          <w:tcPr>
            <w:tcW w:w="220" w:type="dxa"/>
            <w:vAlign w:val="bottom"/>
            <w:tcBorders>
              <w:bottom w:val="single" w:sz="8" w:color="1A3FD6"/>
            </w:tcBorders>
          </w:tcPr>
          <w:p>
            <w:pPr>
              <w:spacing w:after="0"/>
              <w:rPr>
                <w:sz w:val="3"/>
                <w:szCs w:val="3"/>
                <w:color w:val="auto"/>
              </w:rPr>
            </w:pPr>
          </w:p>
        </w:tc>
        <w:tc>
          <w:tcPr>
            <w:tcW w:w="1220" w:type="dxa"/>
            <w:vAlign w:val="bottom"/>
            <w:tcBorders>
              <w:bottom w:val="single" w:sz="8" w:color="1A3FD6"/>
            </w:tcBorders>
          </w:tcPr>
          <w:p>
            <w:pPr>
              <w:spacing w:after="0"/>
              <w:rPr>
                <w:sz w:val="3"/>
                <w:szCs w:val="3"/>
                <w:color w:val="auto"/>
              </w:rPr>
            </w:pPr>
          </w:p>
        </w:tc>
        <w:tc>
          <w:tcPr>
            <w:tcW w:w="300" w:type="dxa"/>
            <w:vAlign w:val="bottom"/>
            <w:tcBorders>
              <w:bottom w:val="single" w:sz="8" w:color="1A3FD6"/>
            </w:tcBorders>
          </w:tcPr>
          <w:p>
            <w:pPr>
              <w:spacing w:after="0"/>
              <w:rPr>
                <w:sz w:val="3"/>
                <w:szCs w:val="3"/>
                <w:color w:val="auto"/>
              </w:rPr>
            </w:pPr>
          </w:p>
        </w:tc>
        <w:tc>
          <w:tcPr>
            <w:tcW w:w="1080" w:type="dxa"/>
            <w:vAlign w:val="bottom"/>
            <w:tcBorders>
              <w:bottom w:val="single" w:sz="8" w:color="1A3FD6"/>
            </w:tcBorders>
          </w:tcPr>
          <w:p>
            <w:pPr>
              <w:spacing w:after="0"/>
              <w:rPr>
                <w:sz w:val="3"/>
                <w:szCs w:val="3"/>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40"/>
          <w:szCs w:val="40"/>
          <w:b w:val="1"/>
          <w:bCs w:val="1"/>
          <w:color w:val="1A3FD6"/>
        </w:rPr>
        <w:t>Notes Regarding the Use of Non-GAAP Financial Measures</w:t>
      </w:r>
    </w:p>
    <w:p>
      <w:pPr>
        <w:spacing w:after="0" w:line="18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MSCI has presented supplemental non-GAAP financial measures as part of this Proxy Statement. A reconciliation is provided that reconciles each non-GAAP financial measure with the most comparable GAAP measure. The non-GAAP financial measures presented in this Proxy Statement should not be considered as alternative measures for the most directly comparable GAAP financial measures. The non-GAAP financial measures presented in this Proxy Statement are used by management to monitor the financial performance of the business, inform business decision-making and forecast future results.</w:t>
      </w:r>
    </w:p>
    <w:p>
      <w:pPr>
        <w:spacing w:after="0" w:line="9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“Adjusted EBITDA” is defined as net income before (1) provision for income taxes, (2) other expense (income), net, (3) depreciation and amortization of property, equipment and leasehold improvements, (4) amortization of intangible assets and, at times, (5) certain other transactions or adjustments, including, when applicable, impairment related to sublease of leased property and certain acquisition-related integration and transaction costs.</w:t>
      </w:r>
    </w:p>
    <w:p>
      <w:pPr>
        <w:spacing w:after="0" w:line="111"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“Adjusted net income” and “adjusted EPS” are defined as net income and diluted EPS, respectively, before the after-tax impact of: the amortization of acquired intangible assets and, at times, certain other transactions or adjustments, including, when applicable, the impact related to certain acquisition-related integration and transaction costs, the impact related to the write-off of deferred fees on debt extinguishment, the impact related to certain gains or losses on investees, and the impact of certain discrete tax items.</w:t>
      </w:r>
    </w:p>
    <w:p>
      <w:pPr>
        <w:spacing w:after="0" w:line="11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Asset-based fees adjusted for the impact of foreign currency exchange rate fluctuations does not adjust for the impact from foreign currency exchange rate fluctuations on the underlying assets under management.</w:t>
      </w:r>
    </w:p>
    <w:p>
      <w:pPr>
        <w:spacing w:after="0" w:line="101"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We believe adjusted EBITDA is a meaningful measure of the operating performance of MSCI because it adjusts for significant one-time, unusual or non-recurring items as well as eliminates the accounting effects of certain capital spending and acquisitions that do not directly affect what management considers to be our ongoing operating performance in the period.</w:t>
      </w:r>
    </w:p>
    <w:p>
      <w:pPr>
        <w:spacing w:after="0" w:line="98"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We believe adjusted net income and adjusted EPS are meaningful measures of the performance of MSCI because they adjust for the after-tax impact of significant one-time, unusual or non-recurring items as well as eliminate the impact of any transactions that do not directly affect what management considers to be our ongoing operating performance in the period. We also exclude the after-tax impact of the amortization of acquired intangible assets and amortization of the basis difference between the cost of the equity method investment and MSCI’s share of the net assets of the investee at historical carrying value, as these non-cash amounts are significantly impacted by the timing and size of each acquisition and therefore not meaningful to the ongoing operating performance in the period.</w:t>
      </w:r>
    </w:p>
    <w:p>
      <w:pPr>
        <w:spacing w:after="0" w:line="107"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We believe that the non-GAAP financial measures presented in this Proxy Statement facilitate meaningful period-to-period comparisons and provide a baseline for the evaluation of future results.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000"/>
        <w:spacing w:after="0"/>
        <w:tabs>
          <w:tab w:leader="none" w:pos="10960" w:val="left"/>
        </w:tabs>
        <w:rPr>
          <w:sz w:val="20"/>
          <w:szCs w:val="20"/>
          <w:color w:val="auto"/>
        </w:rPr>
      </w:pPr>
      <w:r>
        <w:rPr>
          <w:rFonts w:ascii="Arial" w:cs="Arial" w:eastAsia="Arial" w:hAnsi="Arial"/>
          <w:sz w:val="14"/>
          <w:szCs w:val="14"/>
          <w:b w:val="1"/>
          <w:bCs w:val="1"/>
          <w:color w:val="1A3FD6"/>
        </w:rPr>
        <w:t xml:space="preserve">2026 </w:t>
      </w:r>
      <w:r>
        <w:rPr>
          <w:rFonts w:ascii="Arial" w:cs="Arial" w:eastAsia="Arial" w:hAnsi="Arial"/>
          <w:sz w:val="14"/>
          <w:szCs w:val="14"/>
          <w:color w:val="000000"/>
        </w:rPr>
        <w:t>PROXY STATEMENT</w:t>
      </w:r>
      <w:r>
        <w:rPr>
          <w:rFonts w:ascii="Arial" w:cs="Arial" w:eastAsia="Arial" w:hAnsi="Arial"/>
          <w:sz w:val="14"/>
          <w:szCs w:val="14"/>
          <w:b w:val="1"/>
          <w:bCs w:val="1"/>
          <w:color w:val="auto"/>
        </w:rPr>
        <w:tab/>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color w:val="auto"/>
        </w:rPr>
        <w:t>Annex B: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Adjusted EBITDA, adjusted net income, adjusted EPS and Capex are not defined in the same manner by all companies and may not be comparable to similarly-titled non-GAAP financial measures of other companies. These measures can differ significantly from company to company depending on, among other things, long-term strategic decisions regarding capital structure, the tax jurisdictions in which companies operate and capital investments. Accordingly, the Company’s computation of these measures may not be comparable to similarly-titled measures computed by other companies.</w:t>
      </w:r>
    </w:p>
    <w:p>
      <w:pPr>
        <w:spacing w:after="0" w:line="242" w:lineRule="exact"/>
        <w:rPr>
          <w:sz w:val="20"/>
          <w:szCs w:val="20"/>
          <w:color w:val="auto"/>
        </w:rPr>
      </w:pPr>
    </w:p>
    <w:p>
      <w:pPr>
        <w:ind w:right="500"/>
        <w:spacing w:after="0" w:line="290" w:lineRule="auto"/>
        <w:rPr>
          <w:sz w:val="20"/>
          <w:szCs w:val="20"/>
          <w:color w:val="auto"/>
        </w:rPr>
      </w:pPr>
      <w:r>
        <w:rPr>
          <w:rFonts w:ascii="Arial" w:cs="Arial" w:eastAsia="Arial" w:hAnsi="Arial"/>
          <w:sz w:val="40"/>
          <w:szCs w:val="40"/>
          <w:b w:val="1"/>
          <w:bCs w:val="1"/>
          <w:color w:val="1A3FD6"/>
        </w:rPr>
        <w:t>Supplemental Information Regarding Run Rate and other Metrics</w:t>
      </w:r>
    </w:p>
    <w:p>
      <w:pPr>
        <w:spacing w:after="0" w:line="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Run Rate is a key operating metric and is important because an increase or decrease in our Run Rate ultimately impacts our operating revenues over time. At the end of any period, we generally have subscription and investment product license agreements in place for a large portion of total revenues for the following 12 months. We measure the fees related to these agreements and refer to this as “Run Rate.”</w:t>
      </w:r>
    </w:p>
    <w:p>
      <w:pPr>
        <w:spacing w:after="0" w:line="9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Run Rate estimates, at a specific point in time, the annualized value of the recurring portion of executed client contracts (“Client Contracts”) expected to generate revenues over the next 12 months, assuming that all such Client Contracts are renewed and using fixed foreign exchange rates. Run Rate includes new Client Contracts upon execution, even if the license start date and related revenue recognition occur later.</w:t>
      </w:r>
    </w:p>
    <w:p>
      <w:pPr>
        <w:spacing w:after="0" w:line="98"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For Client Contracts where fees are linked to an investment product’s assets or trading volume or fees (referred to as “Asset-based Fees”), the Run Rate calculation is based on:</w:t>
      </w:r>
    </w:p>
    <w:p>
      <w:pPr>
        <w:spacing w:after="0" w:line="87" w:lineRule="exact"/>
        <w:rPr>
          <w:sz w:val="20"/>
          <w:szCs w:val="20"/>
          <w:color w:val="auto"/>
        </w:rPr>
      </w:pPr>
    </w:p>
    <w:p>
      <w:pPr>
        <w:ind w:left="160" w:hanging="152"/>
        <w:spacing w:after="0"/>
        <w:tabs>
          <w:tab w:leader="none" w:pos="160" w:val="left"/>
        </w:tabs>
        <w:numPr>
          <w:ilvl w:val="0"/>
          <w:numId w:val="133"/>
        </w:numPr>
        <w:rPr>
          <w:rFonts w:ascii="Arial" w:cs="Arial" w:eastAsia="Arial" w:hAnsi="Arial"/>
          <w:sz w:val="16"/>
          <w:szCs w:val="16"/>
          <w:color w:val="00A798"/>
        </w:rPr>
      </w:pPr>
      <w:r>
        <w:rPr>
          <w:rFonts w:ascii="Arial" w:cs="Arial" w:eastAsia="Arial" w:hAnsi="Arial"/>
          <w:sz w:val="16"/>
          <w:szCs w:val="16"/>
          <w:color w:val="auto"/>
        </w:rPr>
        <w:t>For exchange-traded funds (“ETFs”): assets under management as of the last trading day of the period;</w:t>
      </w:r>
    </w:p>
    <w:p>
      <w:pPr>
        <w:spacing w:after="0" w:line="99" w:lineRule="exact"/>
        <w:rPr>
          <w:rFonts w:ascii="Arial" w:cs="Arial" w:eastAsia="Arial" w:hAnsi="Arial"/>
          <w:sz w:val="16"/>
          <w:szCs w:val="16"/>
          <w:color w:val="00A798"/>
        </w:rPr>
      </w:pPr>
    </w:p>
    <w:p>
      <w:pPr>
        <w:ind w:left="160" w:hanging="152"/>
        <w:spacing w:after="0"/>
        <w:tabs>
          <w:tab w:leader="none" w:pos="160" w:val="left"/>
        </w:tabs>
        <w:numPr>
          <w:ilvl w:val="0"/>
          <w:numId w:val="133"/>
        </w:numPr>
        <w:rPr>
          <w:rFonts w:ascii="Arial" w:cs="Arial" w:eastAsia="Arial" w:hAnsi="Arial"/>
          <w:sz w:val="16"/>
          <w:szCs w:val="16"/>
          <w:color w:val="00A798"/>
        </w:rPr>
      </w:pPr>
      <w:r>
        <w:rPr>
          <w:rFonts w:ascii="Arial" w:cs="Arial" w:eastAsia="Arial" w:hAnsi="Arial"/>
          <w:sz w:val="16"/>
          <w:szCs w:val="16"/>
          <w:color w:val="auto"/>
        </w:rPr>
        <w:t>For non-ETF products: the most recent client-reported assets under management; and</w:t>
      </w:r>
    </w:p>
    <w:p>
      <w:pPr>
        <w:spacing w:after="0" w:line="86" w:lineRule="exact"/>
        <w:rPr>
          <w:rFonts w:ascii="Arial" w:cs="Arial" w:eastAsia="Arial" w:hAnsi="Arial"/>
          <w:sz w:val="16"/>
          <w:szCs w:val="16"/>
          <w:color w:val="00A798"/>
        </w:rPr>
      </w:pPr>
    </w:p>
    <w:p>
      <w:pPr>
        <w:ind w:left="160" w:hanging="152"/>
        <w:spacing w:after="0"/>
        <w:tabs>
          <w:tab w:leader="none" w:pos="160" w:val="left"/>
        </w:tabs>
        <w:numPr>
          <w:ilvl w:val="0"/>
          <w:numId w:val="133"/>
        </w:numPr>
        <w:rPr>
          <w:rFonts w:ascii="Arial" w:cs="Arial" w:eastAsia="Arial" w:hAnsi="Arial"/>
          <w:sz w:val="16"/>
          <w:szCs w:val="16"/>
          <w:color w:val="00A798"/>
        </w:rPr>
      </w:pPr>
      <w:r>
        <w:rPr>
          <w:rFonts w:ascii="Arial" w:cs="Arial" w:eastAsia="Arial" w:hAnsi="Arial"/>
          <w:sz w:val="16"/>
          <w:szCs w:val="16"/>
          <w:color w:val="auto"/>
        </w:rPr>
        <w:t>For listed futures and options contracts: the most recent quarterly volumes and/or reported exchange fees.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Run Rate excludes fees associated with one-time or other non-recurring transactions.</w:t>
      </w:r>
    </w:p>
    <w:p>
      <w:pPr>
        <w:spacing w:after="0" w:line="16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remove from Run Rate the annualized fee value associated with products or services under any Client Contracts when (i) we have received a notice of termination, reduction in fees, non-renewal or other clear indication that the client does not intend to continue its subscription at then current fees; and (ii) management has determined that such notice or indication reflects the client’s final decision to terminate, not renew or renew at a lower fee the applicable products or services, even if such termination or non-renewal is not yet effective (each such event, a “Subscription Cancellation”).</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general, when a client reduces the fees paid to MSCI associated with a reduction in the number of products or services to which it subscribes within a segment, or a switch between products or services within a segment, unless the client switches to a product or service that management considers a replacement, such reduction or switch is treated as a Subscription Cancellation. In the cases where the client switches products or services to a replacement service, only the net decrease, if any, is reported as a cancellation.</w:t>
      </w:r>
    </w:p>
    <w:p>
      <w:pPr>
        <w:spacing w:after="0" w:line="99" w:lineRule="exact"/>
        <w:rPr>
          <w:sz w:val="20"/>
          <w:szCs w:val="20"/>
          <w:color w:val="auto"/>
        </w:rPr>
      </w:pPr>
    </w:p>
    <w:p>
      <w:pPr>
        <w:ind w:left="200" w:right="40" w:hanging="192"/>
        <w:spacing w:after="0" w:line="304" w:lineRule="auto"/>
        <w:tabs>
          <w:tab w:leader="none" w:pos="157" w:val="left"/>
        </w:tabs>
        <w:numPr>
          <w:ilvl w:val="0"/>
          <w:numId w:val="134"/>
        </w:numPr>
        <w:rPr>
          <w:rFonts w:ascii="Arial" w:cs="Arial" w:eastAsia="Arial" w:hAnsi="Arial"/>
          <w:sz w:val="16"/>
          <w:szCs w:val="16"/>
          <w:color w:val="00A798"/>
        </w:rPr>
      </w:pPr>
      <w:r>
        <w:rPr>
          <w:rFonts w:ascii="Arial" w:cs="Arial" w:eastAsia="Arial" w:hAnsi="Arial"/>
          <w:sz w:val="16"/>
          <w:szCs w:val="16"/>
          <w:color w:val="auto"/>
        </w:rPr>
        <w:t>In the Analytics and Sustainability and Climate operating segments, substantially all such product or service switches are treated as replacements and are netted accordingly.</w:t>
      </w:r>
    </w:p>
    <w:p>
      <w:pPr>
        <w:spacing w:after="0" w:line="19" w:lineRule="exact"/>
        <w:rPr>
          <w:rFonts w:ascii="Arial" w:cs="Arial" w:eastAsia="Arial" w:hAnsi="Arial"/>
          <w:sz w:val="16"/>
          <w:szCs w:val="16"/>
          <w:color w:val="00A798"/>
        </w:rPr>
      </w:pPr>
    </w:p>
    <w:p>
      <w:pPr>
        <w:ind w:left="160" w:hanging="152"/>
        <w:spacing w:after="0"/>
        <w:tabs>
          <w:tab w:leader="none" w:pos="160" w:val="left"/>
        </w:tabs>
        <w:numPr>
          <w:ilvl w:val="0"/>
          <w:numId w:val="134"/>
        </w:numPr>
        <w:rPr>
          <w:rFonts w:ascii="Arial" w:cs="Arial" w:eastAsia="Arial" w:hAnsi="Arial"/>
          <w:sz w:val="16"/>
          <w:szCs w:val="16"/>
          <w:color w:val="00A798"/>
        </w:rPr>
      </w:pPr>
      <w:r>
        <w:rPr>
          <w:rFonts w:ascii="Arial" w:cs="Arial" w:eastAsia="Arial" w:hAnsi="Arial"/>
          <w:sz w:val="16"/>
          <w:szCs w:val="16"/>
          <w:color w:val="auto"/>
        </w:rPr>
        <w:t>In contrast, in the Index, Real Assets, and Private Capital Solutions operating segments, such netting treatment is applied only in limited circumstances.</w:t>
      </w:r>
    </w:p>
    <w:p>
      <w:pPr>
        <w:spacing w:after="0" w:line="167"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Non-recurring sales represent the aggregate value of client agreements entered into during the period that generate non-recurring fees and are not included in Run Rate, even if such agreements span multiple periods or years.</w:t>
      </w:r>
    </w:p>
    <w:p>
      <w:pPr>
        <w:spacing w:after="0" w:line="87" w:lineRule="exact"/>
        <w:rPr>
          <w:sz w:val="20"/>
          <w:szCs w:val="20"/>
          <w:color w:val="auto"/>
        </w:rPr>
      </w:pPr>
    </w:p>
    <w:p>
      <w:pPr>
        <w:ind w:right="880"/>
        <w:spacing w:after="0" w:line="304" w:lineRule="auto"/>
        <w:rPr>
          <w:sz w:val="20"/>
          <w:szCs w:val="20"/>
          <w:color w:val="auto"/>
        </w:rPr>
      </w:pPr>
      <w:r>
        <w:rPr>
          <w:rFonts w:ascii="Arial" w:cs="Arial" w:eastAsia="Arial" w:hAnsi="Arial"/>
          <w:sz w:val="16"/>
          <w:szCs w:val="16"/>
          <w:color w:val="auto"/>
        </w:rPr>
        <w:t>Net new recurring subscription sales (also referred to as recurring net new sales) represent new recurring subscription sales minus the impact of subscription cancellations, capturing the net impact to Run Rate for the period.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AIP, Total Net Sales reflects net new recurring subscription sales plus non-recurring sales weighted at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363855</wp:posOffset>
            </wp:positionV>
            <wp:extent cx="556895" cy="146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55689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9022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157720" cy="9022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337185</wp:posOffset>
            </wp:positionV>
            <wp:extent cx="7157720" cy="89541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57720" cy="8954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337185</wp:posOffset>
            </wp:positionV>
            <wp:extent cx="6789420" cy="8778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1)"/>
      <w:numFmt w:val="decimal"/>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6"/>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1)"/>
      <w:numFmt w:val="decimal"/>
      <w:start w:val="1"/>
    </w:lvl>
  </w:abstractNum>
  <w:abstractNum w:abstractNumId="15">
    <w:nsid w:val="7BD3EE7B"/>
    <w:multiLevelType w:val="hybridMultilevel"/>
    <w:lvl w:ilvl="0">
      <w:lvlJc w:val="left"/>
      <w:lvlText w:val="(%1)"/>
      <w:numFmt w:val="decimal"/>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6"/>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9"/>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4"/>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5"/>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lvl w:ilvl="1">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1)"/>
      <w:numFmt w:val="decimal"/>
      <w:start w:val="1"/>
    </w:lvl>
  </w:abstractNum>
  <w:abstractNum w:abstractNumId="61">
    <w:nsid w:val="5FB8011C"/>
    <w:multiLevelType w:val="hybridMultilevel"/>
    <w:lvl w:ilvl="0">
      <w:lvlJc w:val="left"/>
      <w:lvlText w:val="(%1)"/>
      <w:numFmt w:val="decimal"/>
      <w:start w:val="3"/>
    </w:lvl>
  </w:abstractNum>
  <w:abstractNum w:abstractNumId="62">
    <w:nsid w:val="6AA78F7F"/>
    <w:multiLevelType w:val="hybridMultilevel"/>
    <w:lvl w:ilvl="0">
      <w:lvlJc w:val="left"/>
      <w:lvlText w:val="(%1)"/>
      <w:numFmt w:val="decimal"/>
      <w:start w:val="5"/>
    </w:lvl>
  </w:abstractNum>
  <w:abstractNum w:abstractNumId="63">
    <w:nsid w:val="7672BD23"/>
    <w:multiLevelType w:val="hybridMultilevel"/>
    <w:lvl w:ilvl="0">
      <w:lvlJc w:val="left"/>
      <w:lvlText w:val="(%1)"/>
      <w:numFmt w:val="decimal"/>
      <w:start w:val="6"/>
    </w:lvl>
  </w:abstractNum>
  <w:abstractNum w:abstractNumId="64">
    <w:nsid w:val="6FC75AF8"/>
    <w:multiLevelType w:val="hybridMultilevel"/>
    <w:lvl w:ilvl="0">
      <w:lvlJc w:val="left"/>
      <w:lvlText w:val="%1."/>
      <w:numFmt w:val="decimal"/>
      <w:start w:val="1"/>
    </w:lvl>
  </w:abstractNum>
  <w:abstractNum w:abstractNumId="65">
    <w:nsid w:val="6A5F7029"/>
    <w:multiLevelType w:val="hybridMultilevel"/>
    <w:lvl w:ilvl="0">
      <w:lvlJc w:val="left"/>
      <w:lvlText w:val="(%1)"/>
      <w:numFmt w:val="decimal"/>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1)"/>
      <w:numFmt w:val="decimal"/>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1)"/>
      <w:numFmt w:val="decimal"/>
      <w:start w:val="1"/>
    </w:lvl>
  </w:abstractNum>
  <w:abstractNum w:abstractNumId="74">
    <w:nsid w:val="71C91298"/>
    <w:multiLevelType w:val="hybridMultilevel"/>
    <w:lvl w:ilvl="0">
      <w:lvlJc w:val="left"/>
      <w:lvlText w:val="(%1)"/>
      <w:numFmt w:val="decimal"/>
      <w:start w:val="1"/>
    </w:lvl>
  </w:abstractNum>
  <w:abstractNum w:abstractNumId="75">
    <w:nsid w:val="9DAF632"/>
    <w:multiLevelType w:val="hybridMultilevel"/>
    <w:lvl w:ilvl="0">
      <w:lvlJc w:val="left"/>
      <w:lvlText w:val="n"/>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n"/>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1."/>
      <w:numFmt w:val="decimal"/>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1)"/>
      <w:numFmt w:val="decimal"/>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1)"/>
      <w:numFmt w:val="decimal"/>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1)"/>
      <w:numFmt w:val="decimal"/>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1)"/>
      <w:numFmt w:val="decimal"/>
      <w:start w:val="3"/>
    </w:lvl>
  </w:abstractNum>
  <w:abstractNum w:abstractNumId="100">
    <w:nsid w:val="379E21B5"/>
    <w:multiLevelType w:val="hybridMultilevel"/>
    <w:lvl w:ilvl="0">
      <w:lvlJc w:val="left"/>
      <w:lvlText w:val="(%1)"/>
      <w:numFmt w:val="decimal"/>
      <w:start w:val="8"/>
    </w:lvl>
  </w:abstractNum>
  <w:abstractNum w:abstractNumId="101">
    <w:nsid w:val="69E373"/>
    <w:multiLevelType w:val="hybridMultilevel"/>
    <w:lvl w:ilvl="0">
      <w:lvlJc w:val="left"/>
      <w:lvlText w:val="(%1)"/>
      <w:numFmt w:val="decimal"/>
      <w:start w:val="1"/>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5"/>
    </w:lvl>
  </w:abstractNum>
  <w:abstractNum w:abstractNumId="104">
    <w:nsid w:val="6AA7B75C"/>
    <w:multiLevelType w:val="hybridMultilevel"/>
    <w:lvl w:ilvl="0">
      <w:lvlJc w:val="left"/>
      <w:lvlText w:val="(%1)"/>
      <w:numFmt w:val="decimal"/>
      <w:start w:val="6"/>
    </w:lvl>
  </w:abstractNum>
  <w:abstractNum w:abstractNumId="105">
    <w:nsid w:val="1DF029D3"/>
    <w:multiLevelType w:val="hybridMultilevel"/>
    <w:lvl w:ilvl="0">
      <w:lvlJc w:val="left"/>
      <w:lvlText w:val="(%1)"/>
      <w:numFmt w:val="decimal"/>
      <w:start w:val="1"/>
    </w:lvl>
  </w:abstractNum>
  <w:abstractNum w:abstractNumId="106">
    <w:nsid w:val="5675FF36"/>
    <w:multiLevelType w:val="hybridMultilevel"/>
    <w:lvl w:ilvl="0">
      <w:lvlJc w:val="left"/>
      <w:lvlText w:val="(%1)"/>
      <w:numFmt w:val="decimal"/>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1)"/>
      <w:numFmt w:val="decimal"/>
      <w:start w:val="1"/>
    </w:lvl>
  </w:abstractNum>
  <w:abstractNum w:abstractNumId="113">
    <w:nsid w:val="53B0A9E"/>
    <w:multiLevelType w:val="hybridMultilevel"/>
    <w:lvl w:ilvl="0">
      <w:lvlJc w:val="left"/>
      <w:lvlText w:val="(%1)"/>
      <w:numFmt w:val="decimal"/>
      <w:start w:val="3"/>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1)"/>
      <w:numFmt w:val="decimal"/>
      <w:start w:val="1"/>
    </w:lvl>
  </w:abstractNum>
  <w:abstractNum w:abstractNumId="116">
    <w:nsid w:val="56438D15"/>
    <w:multiLevelType w:val="hybridMultilevel"/>
    <w:lvl w:ilvl="0">
      <w:lvlJc w:val="left"/>
      <w:lvlText w:val="(%1)"/>
      <w:numFmt w:val="decimal"/>
      <w:start w:val="1"/>
    </w:lvl>
  </w:abstractNum>
  <w:abstractNum w:abstractNumId="117">
    <w:nsid w:val="519E3149"/>
    <w:multiLevelType w:val="hybridMultilevel"/>
    <w:lvl w:ilvl="0">
      <w:lvlJc w:val="left"/>
      <w:lvlText w:val="(%1)"/>
      <w:numFmt w:val="decimal"/>
      <w:start w:val="3"/>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2"/>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
      <w:numFmt w:val="bullet"/>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decimal"/>
      <w:start w:val="1"/>
    </w:lvl>
  </w:abstractNum>
  <w:abstractNum w:abstractNumId="131">
    <w:nsid w:val="B37E80A"/>
    <w:multiLevelType w:val="hybridMultilevel"/>
    <w:lvl w:ilvl="0">
      <w:lvlJc w:val="left"/>
      <w:lvlText w:val="(%1)"/>
      <w:numFmt w:val="decimal"/>
      <w:start w:val="1"/>
    </w:lvl>
  </w:abstractNum>
  <w:abstractNum w:abstractNumId="132">
    <w:nsid w:val="2157F6BC"/>
    <w:multiLevelType w:val="hybridMultilevel"/>
    <w:lvl w:ilvl="0">
      <w:lvlJc w:val="left"/>
      <w:lvlText w:val="•"/>
      <w:numFmt w:val="bullet"/>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jpe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jpe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jpe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jpe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jpe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jpe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jpe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jpe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jpe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jpeg"/><Relationship Id="rId426" Type="http://schemas.openxmlformats.org/officeDocument/2006/relationships/image" Target="media/image417.jpeg"/><Relationship Id="rId427" Type="http://schemas.openxmlformats.org/officeDocument/2006/relationships/image" Target="media/image418.png"/><Relationship Id="rId428" Type="http://schemas.openxmlformats.org/officeDocument/2006/relationships/image" Target="media/image419.jpeg"/><Relationship Id="rId429" Type="http://schemas.openxmlformats.org/officeDocument/2006/relationships/image" Target="media/image420.jpe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jpe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jpe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jpe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jpe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jpe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jpe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jpeg"/><Relationship Id="rId467" Type="http://schemas.openxmlformats.org/officeDocument/2006/relationships/image" Target="media/image458.png"/><Relationship Id="rId468" Type="http://schemas.openxmlformats.org/officeDocument/2006/relationships/image" Target="media/image459.jpe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jpe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jpe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jpe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jpeg"/><Relationship Id="rId386" Type="http://schemas.openxmlformats.org/officeDocument/2006/relationships/hyperlink" Target="https://www.sec.gov/Archives/edgar/data/1408198/000120677422000723/msci4002911-def14a.htm#d400291b016" TargetMode="External"/><Relationship Id="rId387" Type="http://schemas.openxmlformats.org/officeDocument/2006/relationships/hyperlink" Target="https://www.sec.gov/Archives/edgar/data/1408198/000140819824000061/msci-20240313.htm#i7ef60899dfb244338e2ef388cab05770_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2026-03-11T10:12:26Z</dcterms:created>
  <dcterms:modified xsi:type="dcterms:W3CDTF">2026-03-11T10:12:26Z</dcterms:modified>
</cp:coreProperties>
</file>